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2A44"/>
          <w:sz w:val="32"/>
          <w:szCs w:val="32"/>
        </w:rPr>
        <w:t xml:space="preserve">ACCEPTABLE USE POLICY</w:t>
      </w:r>
    </w:p>
    <w:p>
      <w:pPr>
        <w:spacing w:after="180"/>
        <w:jc w:val="center"/>
      </w:pPr>
      <w:r>
        <w:rPr>
          <w:rFonts w:ascii="Calibri" w:cs="Calibri" w:eastAsia="Calibri" w:hAnsi="Calibri"/>
          <w:i/>
          <w:iCs/>
          <w:color w:val="555555"/>
          <w:sz w:val="20"/>
          <w:szCs w:val="20"/>
        </w:rPr>
        <w:t xml:space="preserve">Meridian Analytics Ltd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Policy ID</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POL-001</w:t>
            </w:r>
          </w:p>
        </w:tc>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Owner</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Head of GRC</w:t>
            </w:r>
          </w:p>
        </w:tc>
      </w:tr>
      <w:tr>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Version</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1.0</w:t>
            </w:r>
          </w:p>
        </w:tc>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Approved By</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Audit Committee</w:t>
            </w:r>
          </w:p>
        </w:tc>
      </w:tr>
      <w:tr>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Effective Date</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1 October 2026</w:t>
            </w:r>
          </w:p>
        </w:tc>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Next Review Date</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1 October 2027</w:t>
            </w:r>
          </w:p>
        </w:tc>
      </w:tr>
      <w:tr>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ISO 27001:2022 Controls</w:t>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A.5.10 (Acceptable use of information and other associated assets)</w:t>
            </w:r>
          </w:p>
        </w:tc>
        <w:tc>
          <w:tcPr>
            <w:tcW w:type="dxa" w:w="2200"/>
            <w:shd w:fill="DCE3F0" w:val="clear"/>
            <w:tcMar>
              <w:top w:type="dxa" w:w="60"/>
              <w:left w:type="dxa" w:w="90"/>
              <w:bottom w:type="dxa" w:w="60"/>
              <w:right w:type="dxa" w:w="90"/>
            </w:tcMar>
          </w:tcPr>
          <w:p>
            <w:r>
              <w:rPr>
                <w:rFonts w:ascii="Calibri" w:cs="Calibri" w:eastAsia="Calibri" w:hAnsi="Calibri"/>
                <w:b/>
                <w:bCs/>
                <w:color w:val="333333"/>
                <w:sz w:val="17"/>
                <w:szCs w:val="17"/>
              </w:rPr>
              <w:t xml:space="preserve"/>
            </w:r>
          </w:p>
        </w:tc>
        <w:tc>
          <w:tcPr>
            <w:tcW w:type="dxa" w:w="2400"/>
            <w:tcMar>
              <w:top w:type="dxa" w:w="60"/>
              <w:left w:type="dxa" w:w="90"/>
              <w:bottom w:type="dxa" w:w="60"/>
              <w:right w:type="dxa" w:w="90"/>
            </w:tcMar>
          </w:tcPr>
          <w:p>
            <w:r>
              <w:rPr>
                <w:rFonts w:ascii="Calibri" w:cs="Calibri" w:eastAsia="Calibri" w:hAnsi="Calibri"/>
                <w:b w:val="false"/>
                <w:bCs w:val="false"/>
                <w:color w:val="333333"/>
                <w:sz w:val="17"/>
                <w:szCs w:val="17"/>
              </w:rPr>
              <w:t xml:space="preserve"/>
            </w:r>
          </w:p>
        </w:tc>
      </w:tr>
    </w:tbl>
    <w:p>
      <w:pPr>
        <w:spacing w:after="160"/>
      </w:pPr>
    </w:p>
    <w:p>
      <w:pPr>
        <w:pStyle w:val="Heading1"/>
        <w:pBdr>
          <w:bottom w:val="single" w:color="1F2A44" w:sz="6" w:space="4"/>
        </w:pBdr>
        <w:spacing w:after="110" w:before="260"/>
      </w:pPr>
      <w:r>
        <w:rPr>
          <w:rFonts w:ascii="Calibri" w:cs="Calibri" w:eastAsia="Calibri" w:hAnsi="Calibri"/>
          <w:b/>
          <w:bCs/>
          <w:color w:val="1F2A44"/>
          <w:sz w:val="24"/>
          <w:szCs w:val="24"/>
        </w:rPr>
        <w:t xml:space="preserve">1. Purpose</w:t>
      </w:r>
    </w:p>
    <w:p>
      <w:pPr>
        <w:spacing w:after="100"/>
      </w:pPr>
      <w:r>
        <w:rPr>
          <w:rFonts w:ascii="Calibri" w:cs="Calibri" w:eastAsia="Calibri" w:hAnsi="Calibri"/>
          <w:color w:val="333333"/>
          <w:sz w:val="20"/>
          <w:szCs w:val="20"/>
        </w:rPr>
        <w:t xml:space="preserve">This policy defines the acceptable use of Meridian Analytics Ltd's information systems, devices, and associated assets by all personnel, to protect the organisation, its employees, and its customers from risks arising from misuse.</w:t>
      </w:r>
    </w:p>
    <w:p>
      <w:pPr>
        <w:pStyle w:val="Heading1"/>
        <w:pBdr>
          <w:bottom w:val="single" w:color="1F2A44" w:sz="6" w:space="4"/>
        </w:pBdr>
        <w:spacing w:after="110" w:before="260"/>
      </w:pPr>
      <w:r>
        <w:rPr>
          <w:rFonts w:ascii="Calibri" w:cs="Calibri" w:eastAsia="Calibri" w:hAnsi="Calibri"/>
          <w:b/>
          <w:bCs/>
          <w:color w:val="1F2A44"/>
          <w:sz w:val="24"/>
          <w:szCs w:val="24"/>
        </w:rPr>
        <w:t xml:space="preserve">2. Scope</w:t>
      </w:r>
    </w:p>
    <w:p>
      <w:pPr>
        <w:spacing w:after="100"/>
      </w:pPr>
      <w:r>
        <w:rPr>
          <w:rFonts w:ascii="Calibri" w:cs="Calibri" w:eastAsia="Calibri" w:hAnsi="Calibri"/>
          <w:color w:val="333333"/>
          <w:sz w:val="20"/>
          <w:szCs w:val="20"/>
        </w:rPr>
        <w:t xml:space="preserve">This policy applies to all employees, contractors, and third parties granted access to Meridian Analytics' systems, networks, devices, or data, including personally owned devices used to access company resources (BYOD).</w:t>
      </w:r>
    </w:p>
    <w:p>
      <w:pPr>
        <w:pStyle w:val="Heading1"/>
        <w:pBdr>
          <w:bottom w:val="single" w:color="1F2A44" w:sz="6" w:space="4"/>
        </w:pBdr>
        <w:spacing w:after="110" w:before="260"/>
      </w:pPr>
      <w:r>
        <w:rPr>
          <w:rFonts w:ascii="Calibri" w:cs="Calibri" w:eastAsia="Calibri" w:hAnsi="Calibri"/>
          <w:b/>
          <w:bCs/>
          <w:color w:val="1F2A44"/>
          <w:sz w:val="24"/>
          <w:szCs w:val="24"/>
        </w:rPr>
        <w:t xml:space="preserve">3. Policy Statements</w:t>
      </w:r>
    </w:p>
    <w:p>
      <w:pPr>
        <w:pStyle w:val="Heading2"/>
        <w:spacing w:after="70" w:before="160"/>
      </w:pPr>
      <w:r>
        <w:rPr>
          <w:rFonts w:ascii="Calibri" w:cs="Calibri" w:eastAsia="Calibri" w:hAnsi="Calibri"/>
          <w:b/>
          <w:bCs/>
          <w:color w:val="1F2A44"/>
          <w:sz w:val="21"/>
          <w:szCs w:val="21"/>
        </w:rPr>
        <w:t xml:space="preserve">3.1 General Use</w:t>
      </w:r>
    </w:p>
    <w:p>
      <w:pPr>
        <w:pStyle w:val="ListParagraph"/>
        <w:numPr>
          <w:ilvl w:val="0"/>
          <w:numId w:val="1"/>
        </w:numPr>
        <w:spacing w:after="50"/>
      </w:pPr>
      <w:r>
        <w:rPr>
          <w:rFonts w:ascii="Calibri" w:cs="Calibri" w:eastAsia="Calibri" w:hAnsi="Calibri"/>
          <w:color w:val="333333"/>
          <w:sz w:val="20"/>
          <w:szCs w:val="20"/>
        </w:rPr>
        <w:t xml:space="preserve">Company systems and assets are provided for business purposes. Limited, reasonable personal use is permitted provided it does not interfere with work duties, consume excessive resources, or violate any other company policy.</w:t>
      </w:r>
    </w:p>
    <w:p>
      <w:pPr>
        <w:pStyle w:val="ListParagraph"/>
        <w:numPr>
          <w:ilvl w:val="0"/>
          <w:numId w:val="1"/>
        </w:numPr>
        <w:spacing w:after="50"/>
      </w:pPr>
      <w:r>
        <w:rPr>
          <w:rFonts w:ascii="Calibri" w:cs="Calibri" w:eastAsia="Calibri" w:hAnsi="Calibri"/>
          <w:color w:val="333333"/>
          <w:sz w:val="20"/>
          <w:szCs w:val="20"/>
        </w:rPr>
        <w:t xml:space="preserve">Users are responsible for the security of any company asset or account under their control and must report any suspected compromise immediately.</w:t>
      </w:r>
    </w:p>
    <w:p>
      <w:pPr>
        <w:pStyle w:val="Heading2"/>
        <w:spacing w:after="70" w:before="160"/>
      </w:pPr>
      <w:r>
        <w:rPr>
          <w:rFonts w:ascii="Calibri" w:cs="Calibri" w:eastAsia="Calibri" w:hAnsi="Calibri"/>
          <w:b/>
          <w:bCs/>
          <w:color w:val="1F2A44"/>
          <w:sz w:val="21"/>
          <w:szCs w:val="21"/>
        </w:rPr>
        <w:t xml:space="preserve">3.2 Prohibited Uses</w:t>
      </w:r>
    </w:p>
    <w:p>
      <w:pPr>
        <w:pStyle w:val="ListParagraph"/>
        <w:numPr>
          <w:ilvl w:val="0"/>
          <w:numId w:val="1"/>
        </w:numPr>
        <w:spacing w:after="50"/>
      </w:pPr>
      <w:r>
        <w:rPr>
          <w:rFonts w:ascii="Calibri" w:cs="Calibri" w:eastAsia="Calibri" w:hAnsi="Calibri"/>
          <w:color w:val="333333"/>
          <w:sz w:val="20"/>
          <w:szCs w:val="20"/>
        </w:rPr>
        <w:t xml:space="preserve">Accessing, storing, or distributing illegal, offensive, or discriminatory content.</w:t>
      </w:r>
    </w:p>
    <w:p>
      <w:pPr>
        <w:pStyle w:val="ListParagraph"/>
        <w:numPr>
          <w:ilvl w:val="0"/>
          <w:numId w:val="1"/>
        </w:numPr>
        <w:spacing w:after="50"/>
      </w:pPr>
      <w:r>
        <w:rPr>
          <w:rFonts w:ascii="Calibri" w:cs="Calibri" w:eastAsia="Calibri" w:hAnsi="Calibri"/>
          <w:color w:val="333333"/>
          <w:sz w:val="20"/>
          <w:szCs w:val="20"/>
        </w:rPr>
        <w:t xml:space="preserve">Attempting to bypass or disable security controls, including endpoint protection, network monitoring, or access restrictions.</w:t>
      </w:r>
    </w:p>
    <w:p>
      <w:pPr>
        <w:pStyle w:val="ListParagraph"/>
        <w:numPr>
          <w:ilvl w:val="0"/>
          <w:numId w:val="1"/>
        </w:numPr>
        <w:spacing w:after="50"/>
      </w:pPr>
      <w:r>
        <w:rPr>
          <w:rFonts w:ascii="Calibri" w:cs="Calibri" w:eastAsia="Calibri" w:hAnsi="Calibri"/>
          <w:color w:val="333333"/>
          <w:sz w:val="20"/>
          <w:szCs w:val="20"/>
        </w:rPr>
        <w:t xml:space="preserve">Using company systems for unauthorised commercial activity, or activity that violates the intellectual property rights of others.</w:t>
      </w:r>
    </w:p>
    <w:p>
      <w:pPr>
        <w:pStyle w:val="ListParagraph"/>
        <w:numPr>
          <w:ilvl w:val="0"/>
          <w:numId w:val="1"/>
        </w:numPr>
        <w:spacing w:after="50"/>
      </w:pPr>
      <w:r>
        <w:rPr>
          <w:rFonts w:ascii="Calibri" w:cs="Calibri" w:eastAsia="Calibri" w:hAnsi="Calibri"/>
          <w:color w:val="333333"/>
          <w:sz w:val="20"/>
          <w:szCs w:val="20"/>
        </w:rPr>
        <w:t xml:space="preserve">Sharing login credentials or granting system access to unauthorised individuals.</w:t>
      </w:r>
    </w:p>
    <w:p>
      <w:pPr>
        <w:pStyle w:val="Heading2"/>
        <w:spacing w:after="70" w:before="160"/>
      </w:pPr>
      <w:r>
        <w:rPr>
          <w:rFonts w:ascii="Calibri" w:cs="Calibri" w:eastAsia="Calibri" w:hAnsi="Calibri"/>
          <w:b/>
          <w:bCs/>
          <w:color w:val="1F2A44"/>
          <w:sz w:val="21"/>
          <w:szCs w:val="21"/>
        </w:rPr>
        <w:t xml:space="preserve">3.3 Email and Communication</w:t>
      </w:r>
    </w:p>
    <w:p>
      <w:pPr>
        <w:pStyle w:val="ListParagraph"/>
        <w:numPr>
          <w:ilvl w:val="0"/>
          <w:numId w:val="1"/>
        </w:numPr>
        <w:spacing w:after="50"/>
      </w:pPr>
      <w:r>
        <w:rPr>
          <w:rFonts w:ascii="Calibri" w:cs="Calibri" w:eastAsia="Calibri" w:hAnsi="Calibri"/>
          <w:color w:val="333333"/>
          <w:sz w:val="20"/>
          <w:szCs w:val="20"/>
        </w:rPr>
        <w:t xml:space="preserve">Company email must not be used to send confidential or restricted information to unauthorised external recipients (see the Data Classification Policy, POL-004).</w:t>
      </w:r>
    </w:p>
    <w:p>
      <w:pPr>
        <w:pStyle w:val="ListParagraph"/>
        <w:numPr>
          <w:ilvl w:val="0"/>
          <w:numId w:val="1"/>
        </w:numPr>
        <w:spacing w:after="50"/>
      </w:pPr>
      <w:r>
        <w:rPr>
          <w:rFonts w:ascii="Calibri" w:cs="Calibri" w:eastAsia="Calibri" w:hAnsi="Calibri"/>
          <w:color w:val="333333"/>
          <w:sz w:val="20"/>
          <w:szCs w:val="20"/>
        </w:rPr>
        <w:t xml:space="preserve">Users must exercise caution with unsolicited attachments or links and report suspected phishing to the IT Security team.</w:t>
      </w:r>
    </w:p>
    <w:p>
      <w:pPr>
        <w:pStyle w:val="Heading2"/>
        <w:spacing w:after="70" w:before="160"/>
      </w:pPr>
      <w:r>
        <w:rPr>
          <w:rFonts w:ascii="Calibri" w:cs="Calibri" w:eastAsia="Calibri" w:hAnsi="Calibri"/>
          <w:b/>
          <w:bCs/>
          <w:color w:val="1F2A44"/>
          <w:sz w:val="21"/>
          <w:szCs w:val="21"/>
        </w:rPr>
        <w:t xml:space="preserve">3.4 Software and Installation</w:t>
      </w:r>
    </w:p>
    <w:p>
      <w:pPr>
        <w:pStyle w:val="ListParagraph"/>
        <w:numPr>
          <w:ilvl w:val="0"/>
          <w:numId w:val="1"/>
        </w:numPr>
        <w:spacing w:after="50"/>
      </w:pPr>
      <w:r>
        <w:rPr>
          <w:rFonts w:ascii="Calibri" w:cs="Calibri" w:eastAsia="Calibri" w:hAnsi="Calibri"/>
          <w:color w:val="333333"/>
          <w:sz w:val="20"/>
          <w:szCs w:val="20"/>
        </w:rPr>
        <w:t xml:space="preserve">Software may only be installed on company devices via the approved software catalogue, or with prior IT Security approval.</w:t>
      </w:r>
    </w:p>
    <w:p>
      <w:pPr>
        <w:pStyle w:val="ListParagraph"/>
        <w:numPr>
          <w:ilvl w:val="0"/>
          <w:numId w:val="1"/>
        </w:numPr>
        <w:spacing w:after="50"/>
      </w:pPr>
      <w:r>
        <w:rPr>
          <w:rFonts w:ascii="Calibri" w:cs="Calibri" w:eastAsia="Calibri" w:hAnsi="Calibri"/>
          <w:color w:val="333333"/>
          <w:sz w:val="20"/>
          <w:szCs w:val="20"/>
        </w:rPr>
        <w:t xml:space="preserve">Use of unauthorised cloud storage or file-sharing services for company data is prohibited.</w:t>
      </w:r>
    </w:p>
    <w:p>
      <w:pPr>
        <w:pStyle w:val="Heading2"/>
        <w:spacing w:after="70" w:before="160"/>
      </w:pPr>
      <w:r>
        <w:rPr>
          <w:rFonts w:ascii="Calibri" w:cs="Calibri" w:eastAsia="Calibri" w:hAnsi="Calibri"/>
          <w:b/>
          <w:bCs/>
          <w:color w:val="1F2A44"/>
          <w:sz w:val="21"/>
          <w:szCs w:val="21"/>
        </w:rPr>
        <w:t xml:space="preserve">3.5 Monitoring</w:t>
      </w:r>
    </w:p>
    <w:p>
      <w:pPr>
        <w:spacing w:after="100"/>
      </w:pPr>
      <w:r>
        <w:rPr>
          <w:rFonts w:ascii="Calibri" w:cs="Calibri" w:eastAsia="Calibri" w:hAnsi="Calibri"/>
          <w:color w:val="333333"/>
          <w:sz w:val="20"/>
          <w:szCs w:val="20"/>
        </w:rPr>
        <w:t xml:space="preserve">Meridian Analytics reserves the right to monitor use of its systems and networks for security, compliance, and operational purposes, in accordance with applicable law and the company's Privacy Notice for Employees.</w:t>
      </w:r>
    </w:p>
    <w:p>
      <w:pPr>
        <w:pStyle w:val="Heading1"/>
        <w:pBdr>
          <w:bottom w:val="single" w:color="1F2A44" w:sz="6" w:space="4"/>
        </w:pBdr>
        <w:spacing w:after="110" w:before="260"/>
      </w:pPr>
      <w:r>
        <w:rPr>
          <w:rFonts w:ascii="Calibri" w:cs="Calibri" w:eastAsia="Calibri" w:hAnsi="Calibri"/>
          <w:b/>
          <w:bCs/>
          <w:color w:val="1F2A44"/>
          <w:sz w:val="24"/>
          <w:szCs w:val="24"/>
        </w:rPr>
        <w:t xml:space="preserve">4. Roles and Responsibilities</w:t>
      </w:r>
    </w:p>
    <w:p>
      <w:pPr>
        <w:pStyle w:val="ListParagraph"/>
        <w:numPr>
          <w:ilvl w:val="0"/>
          <w:numId w:val="1"/>
        </w:numPr>
        <w:spacing w:after="50"/>
      </w:pPr>
      <w:r>
        <w:rPr>
          <w:rFonts w:ascii="Calibri" w:cs="Calibri" w:eastAsia="Calibri" w:hAnsi="Calibri"/>
          <w:color w:val="333333"/>
          <w:sz w:val="20"/>
          <w:szCs w:val="20"/>
        </w:rPr>
        <w:t xml:space="preserve">All personnel: comply with this policy and report suspected violations or security incidents.</w:t>
      </w:r>
    </w:p>
    <w:p>
      <w:pPr>
        <w:pStyle w:val="ListParagraph"/>
        <w:numPr>
          <w:ilvl w:val="0"/>
          <w:numId w:val="1"/>
        </w:numPr>
        <w:spacing w:after="50"/>
      </w:pPr>
      <w:r>
        <w:rPr>
          <w:rFonts w:ascii="Calibri" w:cs="Calibri" w:eastAsia="Calibri" w:hAnsi="Calibri"/>
          <w:color w:val="333333"/>
          <w:sz w:val="20"/>
          <w:szCs w:val="20"/>
        </w:rPr>
        <w:t xml:space="preserve">Line managers: reinforce policy awareness within their teams and escalate concerns to IT Security or HR as appropriate.</w:t>
      </w:r>
    </w:p>
    <w:p>
      <w:pPr>
        <w:pStyle w:val="ListParagraph"/>
        <w:numPr>
          <w:ilvl w:val="0"/>
          <w:numId w:val="1"/>
        </w:numPr>
        <w:spacing w:after="50"/>
      </w:pPr>
      <w:r>
        <w:rPr>
          <w:rFonts w:ascii="Calibri" w:cs="Calibri" w:eastAsia="Calibri" w:hAnsi="Calibri"/>
          <w:color w:val="333333"/>
          <w:sz w:val="20"/>
          <w:szCs w:val="20"/>
        </w:rPr>
        <w:t xml:space="preserve">IT Security: monitor for policy violations, investigate reported incidents, and maintain the approved software catalogue.</w:t>
      </w:r>
    </w:p>
    <w:p>
      <w:pPr>
        <w:pStyle w:val="Heading1"/>
        <w:pBdr>
          <w:bottom w:val="single" w:color="1F2A44" w:sz="6" w:space="4"/>
        </w:pBdr>
        <w:spacing w:after="110" w:before="260"/>
      </w:pPr>
      <w:r>
        <w:rPr>
          <w:rFonts w:ascii="Calibri" w:cs="Calibri" w:eastAsia="Calibri" w:hAnsi="Calibri"/>
          <w:b/>
          <w:bCs/>
          <w:color w:val="1F2A44"/>
          <w:sz w:val="24"/>
          <w:szCs w:val="24"/>
        </w:rPr>
        <w:t xml:space="preserve">5. Enforcement</w:t>
      </w:r>
    </w:p>
    <w:p>
      <w:pPr>
        <w:spacing w:after="100"/>
      </w:pPr>
      <w:r>
        <w:rPr>
          <w:rFonts w:ascii="Calibri" w:cs="Calibri" w:eastAsia="Calibri" w:hAnsi="Calibri"/>
          <w:color w:val="333333"/>
          <w:sz w:val="20"/>
          <w:szCs w:val="20"/>
        </w:rPr>
        <w:t xml:space="preserve">Violation of this policy may result in disciplinary action up to and including termination of employment or contract, in accordance with the Disciplinary Process and the employee's terms of employment.</w:t>
      </w:r>
    </w:p>
    <w:p>
      <w:pPr>
        <w:pStyle w:val="Heading1"/>
        <w:pBdr>
          <w:bottom w:val="single" w:color="1F2A44" w:sz="6" w:space="4"/>
        </w:pBdr>
        <w:spacing w:after="110" w:before="260"/>
      </w:pPr>
      <w:r>
        <w:rPr>
          <w:rFonts w:ascii="Calibri" w:cs="Calibri" w:eastAsia="Calibri" w:hAnsi="Calibri"/>
          <w:b/>
          <w:bCs/>
          <w:color w:val="1F2A44"/>
          <w:sz w:val="24"/>
          <w:szCs w:val="24"/>
        </w:rPr>
        <w:t xml:space="preserve">6. Related Documents</w:t>
      </w:r>
    </w:p>
    <w:p>
      <w:pPr>
        <w:pStyle w:val="ListParagraph"/>
        <w:numPr>
          <w:ilvl w:val="0"/>
          <w:numId w:val="1"/>
        </w:numPr>
        <w:spacing w:after="50"/>
      </w:pPr>
      <w:r>
        <w:rPr>
          <w:rFonts w:ascii="Calibri" w:cs="Calibri" w:eastAsia="Calibri" w:hAnsi="Calibri"/>
          <w:color w:val="333333"/>
          <w:sz w:val="20"/>
          <w:szCs w:val="20"/>
        </w:rPr>
        <w:t xml:space="preserve">Access Control Policy (POL-002)</w:t>
      </w:r>
    </w:p>
    <w:p>
      <w:pPr>
        <w:pStyle w:val="ListParagraph"/>
        <w:numPr>
          <w:ilvl w:val="0"/>
          <w:numId w:val="1"/>
        </w:numPr>
        <w:spacing w:after="50"/>
      </w:pPr>
      <w:r>
        <w:rPr>
          <w:rFonts w:ascii="Calibri" w:cs="Calibri" w:eastAsia="Calibri" w:hAnsi="Calibri"/>
          <w:color w:val="333333"/>
          <w:sz w:val="20"/>
          <w:szCs w:val="20"/>
        </w:rPr>
        <w:t xml:space="preserve">Data Classification Policy (POL-004)</w:t>
      </w:r>
    </w:p>
    <w:p>
      <w:pPr>
        <w:pStyle w:val="ListParagraph"/>
        <w:numPr>
          <w:ilvl w:val="0"/>
          <w:numId w:val="1"/>
        </w:numPr>
        <w:spacing w:after="50"/>
      </w:pPr>
      <w:r>
        <w:rPr>
          <w:rFonts w:ascii="Calibri" w:cs="Calibri" w:eastAsia="Calibri" w:hAnsi="Calibri"/>
          <w:color w:val="333333"/>
          <w:sz w:val="20"/>
          <w:szCs w:val="20"/>
        </w:rPr>
        <w:t xml:space="preserve">Remote Working Policy (POL-005)</w:t>
      </w:r>
    </w:p>
    <w:p>
      <w:pPr>
        <w:spacing w:before="260"/>
      </w:pPr>
      <w:r>
        <w:rPr>
          <w:rFonts w:ascii="Calibri" w:cs="Calibri" w:eastAsia="Calibri" w:hAnsi="Calibri"/>
          <w:i/>
          <w:iCs/>
          <w:color w:val="666666"/>
          <w:sz w:val="15"/>
          <w:szCs w:val="15"/>
        </w:rPr>
        <w:t xml:space="preserve">Note: this policy models a real information security policy against a fictional company, produced as a self-directed portfolio project. All content is illustrative.</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2026-09-24T22:34:41.674Z</dcterms:created>
  <dcterms:modified xsi:type="dcterms:W3CDTF">2026-09-24T22:34:41.680Z</dcterms:modified>
</cp:coreProperties>
</file>

<file path=docProps/custom.xml><?xml version="1.0" encoding="utf-8"?>
<Properties xmlns="http://schemas.openxmlformats.org/officeDocument/2006/custom-properties" xmlns:vt="http://schemas.openxmlformats.org/officeDocument/2006/docPropsVTypes"/>
</file>