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2A44"/>
          <w:sz w:val="32"/>
          <w:szCs w:val="32"/>
        </w:rPr>
        <w:t xml:space="preserve">INCIDENT RESPONSE POLICY</w:t>
      </w:r>
    </w:p>
    <w:p>
      <w:pPr>
        <w:spacing w:after="180"/>
        <w:jc w:val="center"/>
      </w:pPr>
      <w:r>
        <w:rPr>
          <w:rFonts w:ascii="Calibri" w:cs="Calibri" w:eastAsia="Calibri" w:hAnsi="Calibri"/>
          <w:i/>
          <w:iCs/>
          <w:color w:val="555555"/>
          <w:sz w:val="20"/>
          <w:szCs w:val="20"/>
        </w:rPr>
        <w:t xml:space="preserve">Meridian Analytics Ltd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Policy ID</w:t>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POL-003</w:t>
            </w:r>
          </w:p>
        </w:tc>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Owner</w:t>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IT Security Manager</w:t>
            </w:r>
          </w:p>
        </w:tc>
      </w:tr>
      <w:tr>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Version</w:t>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1.0</w:t>
            </w:r>
          </w:p>
        </w:tc>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Approved By</w:t>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Audit Committee</w:t>
            </w:r>
          </w:p>
        </w:tc>
      </w:tr>
      <w:tr>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Effective Date</w:t>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1 October 2026</w:t>
            </w:r>
          </w:p>
        </w:tc>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Next Review Date</w:t>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1 October 2027</w:t>
            </w:r>
          </w:p>
        </w:tc>
      </w:tr>
      <w:tr>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ISO 27001:2022 Controls</w:t>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A.5.24, A.5.25, A.5.26, A.5.27, A.5.28</w:t>
            </w:r>
          </w:p>
        </w:tc>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
            </w:r>
          </w:p>
        </w:tc>
      </w:tr>
    </w:tbl>
    <w:p>
      <w:pPr>
        <w:spacing w:after="160"/>
      </w:pPr>
    </w:p>
    <w:p>
      <w:pPr>
        <w:pStyle w:val="Heading1"/>
        <w:pBdr>
          <w:bottom w:val="single" w:color="1F2A44" w:sz="6" w:space="4"/>
        </w:pBdr>
        <w:spacing w:after="110" w:before="260"/>
      </w:pPr>
      <w:r>
        <w:rPr>
          <w:rFonts w:ascii="Calibri" w:cs="Calibri" w:eastAsia="Calibri" w:hAnsi="Calibri"/>
          <w:b/>
          <w:bCs/>
          <w:color w:val="1F2A44"/>
          <w:sz w:val="24"/>
          <w:szCs w:val="24"/>
        </w:rPr>
        <w:t xml:space="preserve">1. Purpose</w:t>
      </w:r>
    </w:p>
    <w:p>
      <w:pPr>
        <w:spacing w:after="100"/>
      </w:pPr>
      <w:r>
        <w:rPr>
          <w:rFonts w:ascii="Calibri" w:cs="Calibri" w:eastAsia="Calibri" w:hAnsi="Calibri"/>
          <w:color w:val="333333"/>
          <w:sz w:val="20"/>
          <w:szCs w:val="20"/>
        </w:rPr>
        <w:t xml:space="preserve">This policy defines how Meridian Analytics Ltd identifies, responds to, and learns from information security incidents, to minimise harm to the organisation, its customers, and its personnel.</w:t>
      </w:r>
    </w:p>
    <w:p>
      <w:pPr>
        <w:pStyle w:val="Heading1"/>
        <w:pBdr>
          <w:bottom w:val="single" w:color="1F2A44" w:sz="6" w:space="4"/>
        </w:pBdr>
        <w:spacing w:after="110" w:before="260"/>
      </w:pPr>
      <w:r>
        <w:rPr>
          <w:rFonts w:ascii="Calibri" w:cs="Calibri" w:eastAsia="Calibri" w:hAnsi="Calibri"/>
          <w:b/>
          <w:bCs/>
          <w:color w:val="1F2A44"/>
          <w:sz w:val="24"/>
          <w:szCs w:val="24"/>
        </w:rPr>
        <w:t xml:space="preserve">2. Scope</w:t>
      </w:r>
    </w:p>
    <w:p>
      <w:pPr>
        <w:spacing w:after="100"/>
      </w:pPr>
      <w:r>
        <w:rPr>
          <w:rFonts w:ascii="Calibri" w:cs="Calibri" w:eastAsia="Calibri" w:hAnsi="Calibri"/>
          <w:color w:val="333333"/>
          <w:sz w:val="20"/>
          <w:szCs w:val="20"/>
        </w:rPr>
        <w:t xml:space="preserve">This policy applies to any suspected or confirmed information security incident affecting Meridian Analytics' systems, data, or personnel, including incidents identified by third parties (e.g. a customer or vendor report).</w:t>
      </w:r>
    </w:p>
    <w:p>
      <w:pPr>
        <w:pStyle w:val="Heading1"/>
        <w:pBdr>
          <w:bottom w:val="single" w:color="1F2A44" w:sz="6" w:space="4"/>
        </w:pBdr>
        <w:spacing w:after="110" w:before="260"/>
      </w:pPr>
      <w:r>
        <w:rPr>
          <w:rFonts w:ascii="Calibri" w:cs="Calibri" w:eastAsia="Calibri" w:hAnsi="Calibri"/>
          <w:b/>
          <w:bCs/>
          <w:color w:val="1F2A44"/>
          <w:sz w:val="24"/>
          <w:szCs w:val="24"/>
        </w:rPr>
        <w:t xml:space="preserve">3. Definitions</w:t>
      </w:r>
    </w:p>
    <w:p>
      <w:pPr>
        <w:pStyle w:val="ListParagraph"/>
        <w:numPr>
          <w:ilvl w:val="0"/>
          <w:numId w:val="1"/>
        </w:numPr>
        <w:spacing w:after="50"/>
      </w:pPr>
      <w:r>
        <w:rPr>
          <w:rFonts w:ascii="Calibri" w:cs="Calibri" w:eastAsia="Calibri" w:hAnsi="Calibri"/>
          <w:color w:val="333333"/>
          <w:sz w:val="20"/>
          <w:szCs w:val="20"/>
        </w:rPr>
        <w:t xml:space="preserve">Security event: an observed occurrence in a system or network that may indicate a security-relevant condition (e.g. a failed login, an unusual network connection).</w:t>
      </w:r>
    </w:p>
    <w:p>
      <w:pPr>
        <w:pStyle w:val="ListParagraph"/>
        <w:numPr>
          <w:ilvl w:val="0"/>
          <w:numId w:val="1"/>
        </w:numPr>
        <w:spacing w:after="50"/>
      </w:pPr>
      <w:r>
        <w:rPr>
          <w:rFonts w:ascii="Calibri" w:cs="Calibri" w:eastAsia="Calibri" w:hAnsi="Calibri"/>
          <w:color w:val="333333"/>
          <w:sz w:val="20"/>
          <w:szCs w:val="20"/>
        </w:rPr>
        <w:t xml:space="preserve">Security incident: an event, or series of events, confirmed to compromise the confidentiality, integrity, or availability of information or systems.</w:t>
      </w:r>
    </w:p>
    <w:p>
      <w:pPr>
        <w:pStyle w:val="Heading1"/>
        <w:pBdr>
          <w:bottom w:val="single" w:color="1F2A44" w:sz="6" w:space="4"/>
        </w:pBdr>
        <w:spacing w:after="110" w:before="260"/>
      </w:pPr>
      <w:r>
        <w:rPr>
          <w:rFonts w:ascii="Calibri" w:cs="Calibri" w:eastAsia="Calibri" w:hAnsi="Calibri"/>
          <w:b/>
          <w:bCs/>
          <w:color w:val="1F2A44"/>
          <w:sz w:val="24"/>
          <w:szCs w:val="24"/>
        </w:rPr>
        <w:t xml:space="preserve">4. Incident Response Process</w:t>
      </w:r>
    </w:p>
    <w:p>
      <w:pPr>
        <w:pStyle w:val="Heading2"/>
        <w:spacing w:after="70" w:before="160"/>
      </w:pPr>
      <w:r>
        <w:rPr>
          <w:rFonts w:ascii="Calibri" w:cs="Calibri" w:eastAsia="Calibri" w:hAnsi="Calibri"/>
          <w:b/>
          <w:bCs/>
          <w:color w:val="1F2A44"/>
          <w:sz w:val="21"/>
          <w:szCs w:val="21"/>
        </w:rPr>
        <w:t xml:space="preserve">4.1 Identification</w:t>
      </w:r>
    </w:p>
    <w:p>
      <w:pPr>
        <w:spacing w:after="100"/>
      </w:pPr>
      <w:r>
        <w:rPr>
          <w:rFonts w:ascii="Calibri" w:cs="Calibri" w:eastAsia="Calibri" w:hAnsi="Calibri"/>
          <w:color w:val="333333"/>
          <w:sz w:val="20"/>
          <w:szCs w:val="20"/>
        </w:rPr>
        <w:t xml:space="preserve">Potential incidents may be identified through automated monitoring, employee reporting, or external notification. All personnel must report a suspected incident to IT Security immediately via the incident reporting channel.</w:t>
      </w:r>
    </w:p>
    <w:p>
      <w:pPr>
        <w:pStyle w:val="Heading2"/>
        <w:spacing w:after="70" w:before="160"/>
      </w:pPr>
      <w:r>
        <w:rPr>
          <w:rFonts w:ascii="Calibri" w:cs="Calibri" w:eastAsia="Calibri" w:hAnsi="Calibri"/>
          <w:b/>
          <w:bCs/>
          <w:color w:val="1F2A44"/>
          <w:sz w:val="21"/>
          <w:szCs w:val="21"/>
        </w:rPr>
        <w:t xml:space="preserve">4.2 Assessment and Classification</w:t>
      </w:r>
    </w:p>
    <w:p>
      <w:pPr>
        <w:spacing w:after="100"/>
      </w:pPr>
      <w:r>
        <w:rPr>
          <w:rFonts w:ascii="Calibri" w:cs="Calibri" w:eastAsia="Calibri" w:hAnsi="Calibri"/>
          <w:color w:val="333333"/>
          <w:sz w:val="20"/>
          <w:szCs w:val="20"/>
        </w:rPr>
        <w:t xml:space="preserve">IT Security will assess the report and classify it by severity:</w:t>
      </w:r>
    </w:p>
    <w:p>
      <w:pPr>
        <w:pStyle w:val="ListParagraph"/>
        <w:numPr>
          <w:ilvl w:val="0"/>
          <w:numId w:val="1"/>
        </w:numPr>
        <w:spacing w:after="50"/>
      </w:pPr>
      <w:r>
        <w:rPr>
          <w:rFonts w:ascii="Calibri" w:cs="Calibri" w:eastAsia="Calibri" w:hAnsi="Calibri"/>
          <w:color w:val="333333"/>
          <w:sz w:val="20"/>
          <w:szCs w:val="20"/>
        </w:rPr>
        <w:t xml:space="preserve">Critical: confirmed or suspected breach of customer data, or a system outage affecting all customers.</w:t>
      </w:r>
    </w:p>
    <w:p>
      <w:pPr>
        <w:pStyle w:val="ListParagraph"/>
        <w:numPr>
          <w:ilvl w:val="0"/>
          <w:numId w:val="1"/>
        </w:numPr>
        <w:spacing w:after="50"/>
      </w:pPr>
      <w:r>
        <w:rPr>
          <w:rFonts w:ascii="Calibri" w:cs="Calibri" w:eastAsia="Calibri" w:hAnsi="Calibri"/>
          <w:color w:val="333333"/>
          <w:sz w:val="20"/>
          <w:szCs w:val="20"/>
        </w:rPr>
        <w:t xml:space="preserve">High: compromise of a single internal system, or a suspected breach with unconfirmed scope.</w:t>
      </w:r>
    </w:p>
    <w:p>
      <w:pPr>
        <w:pStyle w:val="ListParagraph"/>
        <w:numPr>
          <w:ilvl w:val="0"/>
          <w:numId w:val="1"/>
        </w:numPr>
        <w:spacing w:after="50"/>
      </w:pPr>
      <w:r>
        <w:rPr>
          <w:rFonts w:ascii="Calibri" w:cs="Calibri" w:eastAsia="Calibri" w:hAnsi="Calibri"/>
          <w:color w:val="333333"/>
          <w:sz w:val="20"/>
          <w:szCs w:val="20"/>
        </w:rPr>
        <w:t xml:space="preserve">Medium/Low: isolated events with limited or no confirmed impact.</w:t>
      </w:r>
    </w:p>
    <w:p>
      <w:pPr>
        <w:pStyle w:val="Heading2"/>
        <w:spacing w:after="70" w:before="160"/>
      </w:pPr>
      <w:r>
        <w:rPr>
          <w:rFonts w:ascii="Calibri" w:cs="Calibri" w:eastAsia="Calibri" w:hAnsi="Calibri"/>
          <w:b/>
          <w:bCs/>
          <w:color w:val="1F2A44"/>
          <w:sz w:val="21"/>
          <w:szCs w:val="21"/>
        </w:rPr>
        <w:t xml:space="preserve">4.3 Containment, Eradication, and Recovery</w:t>
      </w:r>
    </w:p>
    <w:p>
      <w:pPr>
        <w:pStyle w:val="ListParagraph"/>
        <w:numPr>
          <w:ilvl w:val="0"/>
          <w:numId w:val="1"/>
        </w:numPr>
        <w:spacing w:after="50"/>
      </w:pPr>
      <w:r>
        <w:rPr>
          <w:rFonts w:ascii="Calibri" w:cs="Calibri" w:eastAsia="Calibri" w:hAnsi="Calibri"/>
          <w:color w:val="333333"/>
          <w:sz w:val="20"/>
          <w:szCs w:val="20"/>
        </w:rPr>
        <w:t xml:space="preserve">Containment actions (e.g. isolating an affected system, disabling a compromised account) are taken immediately upon confirmation of a Critical or High severity incident.</w:t>
      </w:r>
    </w:p>
    <w:p>
      <w:pPr>
        <w:pStyle w:val="ListParagraph"/>
        <w:numPr>
          <w:ilvl w:val="0"/>
          <w:numId w:val="1"/>
        </w:numPr>
        <w:spacing w:after="50"/>
      </w:pPr>
      <w:r>
        <w:rPr>
          <w:rFonts w:ascii="Calibri" w:cs="Calibri" w:eastAsia="Calibri" w:hAnsi="Calibri"/>
          <w:color w:val="333333"/>
          <w:sz w:val="20"/>
          <w:szCs w:val="20"/>
        </w:rPr>
        <w:t xml:space="preserve">Eradication addresses the root cause (e.g. patching a vulnerability, removing malware) before affected systems are restored to service.</w:t>
      </w:r>
    </w:p>
    <w:p>
      <w:pPr>
        <w:pStyle w:val="ListParagraph"/>
        <w:numPr>
          <w:ilvl w:val="0"/>
          <w:numId w:val="1"/>
        </w:numPr>
        <w:spacing w:after="50"/>
      </w:pPr>
      <w:r>
        <w:rPr>
          <w:rFonts w:ascii="Calibri" w:cs="Calibri" w:eastAsia="Calibri" w:hAnsi="Calibri"/>
          <w:color w:val="333333"/>
          <w:sz w:val="20"/>
          <w:szCs w:val="20"/>
        </w:rPr>
        <w:t xml:space="preserve">Recovery restores normal operation, with enhanced monitoring for a defined period following the incident.</w:t>
      </w:r>
    </w:p>
    <w:p>
      <w:pPr>
        <w:pStyle w:val="Heading2"/>
        <w:spacing w:after="70" w:before="160"/>
      </w:pPr>
      <w:r>
        <w:rPr>
          <w:rFonts w:ascii="Calibri" w:cs="Calibri" w:eastAsia="Calibri" w:hAnsi="Calibri"/>
          <w:b/>
          <w:bCs/>
          <w:color w:val="1F2A44"/>
          <w:sz w:val="21"/>
          <w:szCs w:val="21"/>
        </w:rPr>
        <w:t xml:space="preserve">4.4 Evidence Collection</w:t>
      </w:r>
    </w:p>
    <w:p>
      <w:pPr>
        <w:spacing w:after="100"/>
      </w:pPr>
      <w:r>
        <w:rPr>
          <w:rFonts w:ascii="Calibri" w:cs="Calibri" w:eastAsia="Calibri" w:hAnsi="Calibri"/>
          <w:color w:val="333333"/>
          <w:sz w:val="20"/>
          <w:szCs w:val="20"/>
        </w:rPr>
        <w:t xml:space="preserve">Where an incident may involve unlawful activity or require external reporting, evidence must be collected and preserved following the organisation's evidence handling procedure, to maintain its integrity for any subsequent investigation.</w:t>
      </w:r>
    </w:p>
    <w:p>
      <w:pPr>
        <w:pStyle w:val="Heading1"/>
        <w:pBdr>
          <w:bottom w:val="single" w:color="1F2A44" w:sz="6" w:space="4"/>
        </w:pBdr>
        <w:spacing w:after="110" w:before="260"/>
      </w:pPr>
      <w:r>
        <w:rPr>
          <w:rFonts w:ascii="Calibri" w:cs="Calibri" w:eastAsia="Calibri" w:hAnsi="Calibri"/>
          <w:b/>
          <w:bCs/>
          <w:color w:val="1F2A44"/>
          <w:sz w:val="24"/>
          <w:szCs w:val="24"/>
        </w:rPr>
        <w:t xml:space="preserve">5. Notification Requirements</w:t>
      </w:r>
    </w:p>
    <w:p>
      <w:pPr>
        <w:pStyle w:val="ListParagraph"/>
        <w:numPr>
          <w:ilvl w:val="0"/>
          <w:numId w:val="1"/>
        </w:numPr>
        <w:spacing w:after="50"/>
      </w:pPr>
      <w:r>
        <w:rPr>
          <w:rFonts w:ascii="Calibri" w:cs="Calibri" w:eastAsia="Calibri" w:hAnsi="Calibri"/>
          <w:color w:val="333333"/>
          <w:sz w:val="20"/>
          <w:szCs w:val="20"/>
        </w:rPr>
        <w:t xml:space="preserve">Any incident confirmed to involve personal data must be assessed by the Data Protection Officer against the UK GDPR 72-hour regulatory notification requirement.</w:t>
      </w:r>
    </w:p>
    <w:p>
      <w:pPr>
        <w:pStyle w:val="ListParagraph"/>
        <w:numPr>
          <w:ilvl w:val="0"/>
          <w:numId w:val="1"/>
        </w:numPr>
        <w:spacing w:after="50"/>
      </w:pPr>
      <w:r>
        <w:rPr>
          <w:rFonts w:ascii="Calibri" w:cs="Calibri" w:eastAsia="Calibri" w:hAnsi="Calibri"/>
          <w:color w:val="333333"/>
          <w:sz w:val="20"/>
          <w:szCs w:val="20"/>
        </w:rPr>
        <w:t xml:space="preserve">Affected customers will be notified in accordance with contractual SLA commitments and, where legally required, applicable data protection law.</w:t>
      </w:r>
    </w:p>
    <w:p>
      <w:pPr>
        <w:pStyle w:val="ListParagraph"/>
        <w:numPr>
          <w:ilvl w:val="0"/>
          <w:numId w:val="1"/>
        </w:numPr>
        <w:spacing w:after="50"/>
      </w:pPr>
      <w:r>
        <w:rPr>
          <w:rFonts w:ascii="Calibri" w:cs="Calibri" w:eastAsia="Calibri" w:hAnsi="Calibri"/>
          <w:color w:val="333333"/>
          <w:sz w:val="20"/>
          <w:szCs w:val="20"/>
        </w:rPr>
        <w:t xml:space="preserve">The Audit Committee will be notified of any Critical severity incident within 24 hours of classification.</w:t>
      </w:r>
    </w:p>
    <w:p>
      <w:pPr>
        <w:pStyle w:val="Heading1"/>
        <w:pBdr>
          <w:bottom w:val="single" w:color="1F2A44" w:sz="6" w:space="4"/>
        </w:pBdr>
        <w:spacing w:after="110" w:before="260"/>
      </w:pPr>
      <w:r>
        <w:rPr>
          <w:rFonts w:ascii="Calibri" w:cs="Calibri" w:eastAsia="Calibri" w:hAnsi="Calibri"/>
          <w:b/>
          <w:bCs/>
          <w:color w:val="1F2A44"/>
          <w:sz w:val="24"/>
          <w:szCs w:val="24"/>
        </w:rPr>
        <w:t xml:space="preserve">6. Post-Incident Review</w:t>
      </w:r>
    </w:p>
    <w:p>
      <w:pPr>
        <w:spacing w:after="100"/>
      </w:pPr>
      <w:r>
        <w:rPr>
          <w:rFonts w:ascii="Calibri" w:cs="Calibri" w:eastAsia="Calibri" w:hAnsi="Calibri"/>
          <w:color w:val="333333"/>
          <w:sz w:val="20"/>
          <w:szCs w:val="20"/>
        </w:rPr>
        <w:t xml:space="preserve">Following resolution of any Critical or High severity incident, a post-incident review will be conducted within 10 business days to document root cause, response effectiveness, and any control improvements required. Findings feed into the enterprise risk register where relevant.</w:t>
      </w:r>
    </w:p>
    <w:p>
      <w:pPr>
        <w:pStyle w:val="Heading1"/>
        <w:pBdr>
          <w:bottom w:val="single" w:color="1F2A44" w:sz="6" w:space="4"/>
        </w:pBdr>
        <w:spacing w:after="110" w:before="260"/>
      </w:pPr>
      <w:r>
        <w:rPr>
          <w:rFonts w:ascii="Calibri" w:cs="Calibri" w:eastAsia="Calibri" w:hAnsi="Calibri"/>
          <w:b/>
          <w:bCs/>
          <w:color w:val="1F2A44"/>
          <w:sz w:val="24"/>
          <w:szCs w:val="24"/>
        </w:rPr>
        <w:t xml:space="preserve">7. Roles and Responsibilities</w:t>
      </w:r>
    </w:p>
    <w:p>
      <w:pPr>
        <w:pStyle w:val="ListParagraph"/>
        <w:numPr>
          <w:ilvl w:val="0"/>
          <w:numId w:val="1"/>
        </w:numPr>
        <w:spacing w:after="50"/>
      </w:pPr>
      <w:r>
        <w:rPr>
          <w:rFonts w:ascii="Calibri" w:cs="Calibri" w:eastAsia="Calibri" w:hAnsi="Calibri"/>
          <w:color w:val="333333"/>
          <w:sz w:val="20"/>
          <w:szCs w:val="20"/>
        </w:rPr>
        <w:t xml:space="preserve">IT Security Manager: leads incident response, classification, and technical remediation.</w:t>
      </w:r>
    </w:p>
    <w:p>
      <w:pPr>
        <w:pStyle w:val="ListParagraph"/>
        <w:numPr>
          <w:ilvl w:val="0"/>
          <w:numId w:val="1"/>
        </w:numPr>
        <w:spacing w:after="50"/>
      </w:pPr>
      <w:r>
        <w:rPr>
          <w:rFonts w:ascii="Calibri" w:cs="Calibri" w:eastAsia="Calibri" w:hAnsi="Calibri"/>
          <w:color w:val="333333"/>
          <w:sz w:val="20"/>
          <w:szCs w:val="20"/>
        </w:rPr>
        <w:t xml:space="preserve">Data Protection Officer: assesses regulatory notification obligations for incidents involving personal data.</w:t>
      </w:r>
    </w:p>
    <w:p>
      <w:pPr>
        <w:pStyle w:val="ListParagraph"/>
        <w:numPr>
          <w:ilvl w:val="0"/>
          <w:numId w:val="1"/>
        </w:numPr>
        <w:spacing w:after="50"/>
      </w:pPr>
      <w:r>
        <w:rPr>
          <w:rFonts w:ascii="Calibri" w:cs="Calibri" w:eastAsia="Calibri" w:hAnsi="Calibri"/>
          <w:color w:val="333333"/>
          <w:sz w:val="20"/>
          <w:szCs w:val="20"/>
        </w:rPr>
        <w:t xml:space="preserve">Head of GRC: coordinates Audit Committee reporting and post-incident review documentation.</w:t>
      </w:r>
    </w:p>
    <w:p>
      <w:pPr>
        <w:pStyle w:val="ListParagraph"/>
        <w:numPr>
          <w:ilvl w:val="0"/>
          <w:numId w:val="1"/>
        </w:numPr>
        <w:spacing w:after="50"/>
      </w:pPr>
      <w:r>
        <w:rPr>
          <w:rFonts w:ascii="Calibri" w:cs="Calibri" w:eastAsia="Calibri" w:hAnsi="Calibri"/>
          <w:color w:val="333333"/>
          <w:sz w:val="20"/>
          <w:szCs w:val="20"/>
        </w:rPr>
        <w:t xml:space="preserve">All personnel: report suspected incidents promptly and cooperate with the response process.</w:t>
      </w:r>
    </w:p>
    <w:p>
      <w:pPr>
        <w:pStyle w:val="Heading1"/>
        <w:pBdr>
          <w:bottom w:val="single" w:color="1F2A44" w:sz="6" w:space="4"/>
        </w:pBdr>
        <w:spacing w:after="110" w:before="260"/>
      </w:pPr>
      <w:r>
        <w:rPr>
          <w:rFonts w:ascii="Calibri" w:cs="Calibri" w:eastAsia="Calibri" w:hAnsi="Calibri"/>
          <w:b/>
          <w:bCs/>
          <w:color w:val="1F2A44"/>
          <w:sz w:val="24"/>
          <w:szCs w:val="24"/>
        </w:rPr>
        <w:t xml:space="preserve">8. Related Documents</w:t>
      </w:r>
    </w:p>
    <w:p>
      <w:pPr>
        <w:pStyle w:val="ListParagraph"/>
        <w:numPr>
          <w:ilvl w:val="0"/>
          <w:numId w:val="1"/>
        </w:numPr>
        <w:spacing w:after="50"/>
      </w:pPr>
      <w:r>
        <w:rPr>
          <w:rFonts w:ascii="Calibri" w:cs="Calibri" w:eastAsia="Calibri" w:hAnsi="Calibri"/>
          <w:color w:val="333333"/>
          <w:sz w:val="20"/>
          <w:szCs w:val="20"/>
        </w:rPr>
        <w:t xml:space="preserve">Access Control Policy (POL-002)</w:t>
      </w:r>
    </w:p>
    <w:p>
      <w:pPr>
        <w:pStyle w:val="ListParagraph"/>
        <w:numPr>
          <w:ilvl w:val="0"/>
          <w:numId w:val="1"/>
        </w:numPr>
        <w:spacing w:after="50"/>
      </w:pPr>
      <w:r>
        <w:rPr>
          <w:rFonts w:ascii="Calibri" w:cs="Calibri" w:eastAsia="Calibri" w:hAnsi="Calibri"/>
          <w:color w:val="333333"/>
          <w:sz w:val="20"/>
          <w:szCs w:val="20"/>
        </w:rPr>
        <w:t xml:space="preserve">Data Classification Policy (POL-004)</w:t>
      </w:r>
    </w:p>
    <w:p>
      <w:pPr>
        <w:pStyle w:val="ListParagraph"/>
        <w:numPr>
          <w:ilvl w:val="0"/>
          <w:numId w:val="1"/>
        </w:numPr>
        <w:spacing w:after="50"/>
      </w:pPr>
      <w:r>
        <w:rPr>
          <w:rFonts w:ascii="Calibri" w:cs="Calibri" w:eastAsia="Calibri" w:hAnsi="Calibri"/>
          <w:color w:val="333333"/>
          <w:sz w:val="20"/>
          <w:szCs w:val="20"/>
        </w:rPr>
        <w:t xml:space="preserve">SOC detection lab runbooks (incident-response-runbooks/)</w:t>
      </w:r>
    </w:p>
    <w:p>
      <w:pPr>
        <w:spacing w:before="260"/>
      </w:pPr>
      <w:r>
        <w:rPr>
          <w:rFonts w:ascii="Calibri" w:cs="Calibri" w:eastAsia="Calibri" w:hAnsi="Calibri"/>
          <w:i/>
          <w:iCs/>
          <w:color w:val="666666"/>
          <w:sz w:val="15"/>
          <w:szCs w:val="15"/>
        </w:rPr>
        <w:t xml:space="preserve">Note: this policy models a real information security policy against a fictional company, produced as a self-directed portfolio project. All content is illustrative.</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2026-09-24T22:34:41.790Z</dcterms:created>
  <dcterms:modified xsi:type="dcterms:W3CDTF">2026-09-24T22:34:41.790Z</dcterms:modified>
</cp:coreProperties>
</file>

<file path=docProps/custom.xml><?xml version="1.0" encoding="utf-8"?>
<Properties xmlns="http://schemas.openxmlformats.org/officeDocument/2006/custom-properties" xmlns:vt="http://schemas.openxmlformats.org/officeDocument/2006/docPropsVTypes"/>
</file>