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64" w:lineRule="auto"/>
        <w:jc w:val="center"/>
        <w:rPr/>
      </w:pPr>
      <w:r w:rsidDel="00000000" w:rsidR="00000000" w:rsidRPr="00000000">
        <w:rPr>
          <w:rFonts w:ascii="Times New Roman" w:cs="Times New Roman" w:eastAsia="Times New Roman" w:hAnsi="Times New Roman"/>
          <w:b w:val="1"/>
          <w:bCs w:val="1"/>
          <w:sz w:val="30"/>
          <w:szCs w:val="30"/>
          <w:rtl w:val="0"/>
        </w:rPr>
        <w:t xml:space="preserve">Clinical Natural Language Technology in Health Care:</w:t>
      </w:r>
      <w:r w:rsidDel="00000000" w:rsidR="00000000" w:rsidRPr="00000000">
        <w:rPr>
          <w:rtl w:val="0"/>
        </w:rPr>
      </w:r>
    </w:p>
    <w:p w:rsidR="00000000" w:rsidDel="00000000" w:rsidP="00000000" w:rsidRDefault="00000000" w:rsidRPr="00000000" w14:paraId="00000002">
      <w:pPr>
        <w:spacing w:after="100" w:line="264" w:lineRule="auto"/>
        <w:jc w:val="center"/>
        <w:rPr/>
      </w:pPr>
      <w:r w:rsidDel="00000000" w:rsidR="00000000" w:rsidRPr="00000000">
        <w:rPr>
          <w:rFonts w:ascii="Times New Roman" w:cs="Times New Roman" w:eastAsia="Times New Roman" w:hAnsi="Times New Roman"/>
          <w:b w:val="1"/>
          <w:bCs w:val="1"/>
          <w:sz w:val="30"/>
          <w:szCs w:val="30"/>
          <w:rtl w:val="0"/>
        </w:rPr>
        <w:t xml:space="preserve">Trends, Risks, and Strategic Options for Cotiviti</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Cotiviti Intern Assessment, Topic 1: Clinical Natural Language Technology</w:t>
      </w:r>
      <w:r w:rsidDel="00000000" w:rsidR="00000000" w:rsidRPr="00000000">
        <w:rPr>
          <w:rtl w:val="0"/>
        </w:rPr>
      </w:r>
    </w:p>
    <w:p w:rsidR="00000000" w:rsidDel="00000000" w:rsidP="00000000" w:rsidRDefault="00000000" w:rsidRPr="00000000" w14:paraId="00000004">
      <w:pPr>
        <w:pBdr>
          <w:bottom w:color="999999" w:space="1" w:sz="6" w:val="single"/>
        </w:pBdr>
        <w:spacing w:after="160" w:lineRule="auto"/>
        <w:rPr/>
      </w:pPr>
      <w:r w:rsidDel="00000000" w:rsidR="00000000" w:rsidRPr="00000000">
        <w:rPr>
          <w:rtl w:val="0"/>
        </w:rPr>
      </w:r>
    </w:p>
    <w:p w:rsidR="00000000" w:rsidDel="00000000" w:rsidP="00000000" w:rsidRDefault="00000000" w:rsidRPr="00000000" w14:paraId="00000005">
      <w:pPr>
        <w:keepNext w:val="1"/>
        <w:spacing w:after="60" w:before="160" w:line="264" w:lineRule="auto"/>
        <w:rPr/>
      </w:pPr>
      <w:r w:rsidDel="00000000" w:rsidR="00000000" w:rsidRPr="00000000">
        <w:rPr>
          <w:rFonts w:ascii="Times New Roman" w:cs="Times New Roman" w:eastAsia="Times New Roman" w:hAnsi="Times New Roman"/>
          <w:b w:val="1"/>
          <w:bCs w:val="1"/>
          <w:sz w:val="24"/>
          <w:szCs w:val="24"/>
          <w:rtl w:val="0"/>
        </w:rPr>
        <w:t xml:space="preserve">Defining the Concept</w:t>
      </w:r>
      <w:r w:rsidDel="00000000" w:rsidR="00000000" w:rsidRPr="00000000">
        <w:rPr>
          <w:rtl w:val="0"/>
        </w:rPr>
      </w:r>
    </w:p>
    <w:p w:rsidR="00000000" w:rsidDel="00000000" w:rsidP="00000000" w:rsidRDefault="00000000" w:rsidRPr="00000000" w14:paraId="00000006">
      <w:pPr>
        <w:spacing w:after="140" w:line="264"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Clinical natural language technology is the family of computational methods that let machines read, interpret, and generate the unstructured language of health care: physician notes, discharge summaries, radiology reports, payer policies, and claims documentation. The field spans optical character recognition (OCR) that digitizes scanned records, classical natural language processing (NLP) that extracts clinical entities and codes from text, large language models (LLMs) that reason over and generate clinical language, and large multimodal models (LMMs) that jointly interpret text alongside medical images and structured data. The stakes are high because roughly 80% of health care information is unstructured free text (MarketsandMarkets, 2025), effectively invisible to the structured analytics that drive payment and quality decisions.</w:t>
      </w:r>
      <w:r w:rsidDel="00000000" w:rsidR="00000000" w:rsidRPr="00000000">
        <w:rPr>
          <w:rtl w:val="0"/>
        </w:rPr>
      </w:r>
    </w:p>
    <w:p w:rsidR="00000000" w:rsidDel="00000000" w:rsidP="00000000" w:rsidRDefault="00000000" w:rsidRPr="00000000" w14:paraId="00000007">
      <w:pPr>
        <w:keepNext w:val="1"/>
        <w:spacing w:after="60" w:before="160" w:line="264" w:lineRule="auto"/>
        <w:rPr/>
      </w:pPr>
      <w:r w:rsidDel="00000000" w:rsidR="00000000" w:rsidRPr="00000000">
        <w:rPr>
          <w:rFonts w:ascii="Times New Roman" w:cs="Times New Roman" w:eastAsia="Times New Roman" w:hAnsi="Times New Roman"/>
          <w:b w:val="1"/>
          <w:bCs w:val="1"/>
          <w:sz w:val="24"/>
          <w:szCs w:val="24"/>
          <w:rtl w:val="0"/>
        </w:rPr>
        <w:t xml:space="preserve">From Rules to Reasoning: The Technology Arc</w:t>
      </w:r>
      <w:r w:rsidDel="00000000" w:rsidR="00000000" w:rsidRPr="00000000">
        <w:rPr>
          <w:rtl w:val="0"/>
        </w:rPr>
      </w:r>
    </w:p>
    <w:p w:rsidR="00000000" w:rsidDel="00000000" w:rsidP="00000000" w:rsidRDefault="00000000" w:rsidRPr="00000000" w14:paraId="00000008">
      <w:pPr>
        <w:spacing w:after="140" w:line="264"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Early clinical NLP was rule-based. Systems such as MetaMap and cTAKES matched text against curated medical vocabularies using dictionaries and hand-written patterns (Savova et al., 2010); they were transparent but brittle and hard to scale. The 2018 to 2020 shift to transformer models fine-tuned on biomedical text (BioBERT, ClinicalBERT) sharply improved contextual understanding. The current era is defined by generative LLMs: Med-PaLM 2 reached 86.5% accuracy on USMLE-style MedQA questions and was preferred over physician answers on eight of nine evaluation axes (Singhal et al., 2023), GPT-4 performs comparably (Nori et al., 2023), and the multimodal Med-Gemini has since reported roughly 91% on the same benchmark (Saab et al., 2024). The frontier now combines three ideas: multimodal models that read charts and images together, agentic pipelines that decompose a task across cooperating models with explicit guardrails, and retrieval-augmented generation (RAG) that grounds each answer in an authoritative source document to curb fabrication.</w:t>
      </w:r>
      <w:r w:rsidDel="00000000" w:rsidR="00000000" w:rsidRPr="00000000">
        <w:rPr>
          <w:rtl w:val="0"/>
        </w:rPr>
      </w:r>
    </w:p>
    <w:p w:rsidR="00000000" w:rsidDel="00000000" w:rsidP="00000000" w:rsidRDefault="00000000" w:rsidRPr="00000000" w14:paraId="00000009">
      <w:pPr>
        <w:keepNext w:val="1"/>
        <w:spacing w:after="60" w:before="160" w:line="264" w:lineRule="auto"/>
        <w:rPr/>
      </w:pPr>
      <w:r w:rsidDel="00000000" w:rsidR="00000000" w:rsidRPr="00000000">
        <w:rPr>
          <w:rFonts w:ascii="Times New Roman" w:cs="Times New Roman" w:eastAsia="Times New Roman" w:hAnsi="Times New Roman"/>
          <w:b w:val="1"/>
          <w:bCs w:val="1"/>
          <w:sz w:val="24"/>
          <w:szCs w:val="24"/>
          <w:rtl w:val="0"/>
        </w:rPr>
        <w:t xml:space="preserve">Relevant Trends</w:t>
      </w:r>
      <w:r w:rsidDel="00000000" w:rsidR="00000000" w:rsidRPr="00000000">
        <w:rPr>
          <w:rtl w:val="0"/>
        </w:rPr>
      </w:r>
    </w:p>
    <w:p w:rsidR="00000000" w:rsidDel="00000000" w:rsidP="00000000" w:rsidRDefault="00000000" w:rsidRPr="00000000" w14:paraId="0000000A">
      <w:pPr>
        <w:spacing w:after="140" w:line="264"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commercial signal is strong and accelerating. The healthcare NLP market is projected to grow from $5.18 billion in 2025 to $16.01 billion by 2030, a 25.3% compound annual growth rate (MarketsandMarkets, 2025). Adoption is concentrating in exactly the workflows that matter to payers and payment integrity: computer-assisted coding, clinical documentation improvement, and claims review. In May 2025, for example, Ambience Healthcare released an ICD-10 coding model reporting a 27% relative improvement over physician coding benchmarks (Towards Healthcare, 2025). The direction of travel is clear: from narrow, single-purpose extraction toward generative, reasoning-capable systems embedded directly in revenue-cycle and audit operations.</w:t>
      </w:r>
      <w:r w:rsidDel="00000000" w:rsidR="00000000" w:rsidRPr="00000000">
        <w:rPr>
          <w:rtl w:val="0"/>
        </w:rPr>
      </w:r>
    </w:p>
    <w:p w:rsidR="00000000" w:rsidDel="00000000" w:rsidP="00000000" w:rsidRDefault="00000000" w:rsidRPr="00000000" w14:paraId="0000000B">
      <w:pPr>
        <w:keepNext w:val="1"/>
        <w:spacing w:after="60" w:before="160" w:line="264" w:lineRule="auto"/>
        <w:rPr/>
      </w:pPr>
      <w:r w:rsidDel="00000000" w:rsidR="00000000" w:rsidRPr="00000000">
        <w:rPr>
          <w:rFonts w:ascii="Times New Roman" w:cs="Times New Roman" w:eastAsia="Times New Roman" w:hAnsi="Times New Roman"/>
          <w:b w:val="1"/>
          <w:bCs w:val="1"/>
          <w:sz w:val="24"/>
          <w:szCs w:val="24"/>
          <w:rtl w:val="0"/>
        </w:rPr>
        <w:t xml:space="preserve">Opportunities</w:t>
      </w:r>
      <w:r w:rsidDel="00000000" w:rsidR="00000000" w:rsidRPr="00000000">
        <w:rPr>
          <w:rtl w:val="0"/>
        </w:rPr>
      </w:r>
    </w:p>
    <w:p w:rsidR="00000000" w:rsidDel="00000000" w:rsidP="00000000" w:rsidRDefault="00000000" w:rsidRPr="00000000" w14:paraId="0000000C">
      <w:pPr>
        <w:spacing w:after="140" w:line="264"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For a payment-integrity and healthcare-analytics company, the opportunity is direct. Clinical NLP can automate the labor-intensive reading of medical records, surface coding errors and unsupported charges earlier in the payment cycle, validate documentation against payer policy at scale, and compress prior-authorization and audit timelines. Multimodal models extend this reach to records where the decisive evidence sits in a scanned page or an image rather than in machine-readable text. Critically, RAG-grounded systems can justify each finding with a citation back to the source record and the governing policy, turning an opaque model output into a defensible, reviewable audit trail.</w:t>
      </w:r>
      <w:r w:rsidDel="00000000" w:rsidR="00000000" w:rsidRPr="00000000">
        <w:rPr>
          <w:rtl w:val="0"/>
        </w:rPr>
      </w:r>
    </w:p>
    <w:p w:rsidR="00000000" w:rsidDel="00000000" w:rsidP="00000000" w:rsidRDefault="00000000" w:rsidRPr="00000000" w14:paraId="0000000D">
      <w:pPr>
        <w:keepNext w:val="1"/>
        <w:spacing w:after="60" w:before="160" w:line="264" w:lineRule="auto"/>
        <w:rPr/>
      </w:pPr>
      <w:r w:rsidDel="00000000" w:rsidR="00000000" w:rsidRPr="00000000">
        <w:rPr>
          <w:rFonts w:ascii="Times New Roman" w:cs="Times New Roman" w:eastAsia="Times New Roman" w:hAnsi="Times New Roman"/>
          <w:b w:val="1"/>
          <w:bCs w:val="1"/>
          <w:sz w:val="24"/>
          <w:szCs w:val="24"/>
          <w:rtl w:val="0"/>
        </w:rPr>
        <w:t xml:space="preserve">Threats and Risks</w:t>
      </w:r>
      <w:r w:rsidDel="00000000" w:rsidR="00000000" w:rsidRPr="00000000">
        <w:rPr>
          <w:rtl w:val="0"/>
        </w:rPr>
      </w:r>
    </w:p>
    <w:p w:rsidR="00000000" w:rsidDel="00000000" w:rsidP="00000000" w:rsidRDefault="00000000" w:rsidRPr="00000000" w14:paraId="0000000E">
      <w:pPr>
        <w:spacing w:after="140" w:line="264"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risks are equally concrete. LLMs hallucinate, stating false information fluently, which is unacceptable in clinical and audit settings where an incorrect determination carries clinical, financial, and legal consequences; strong benchmark scores do not guarantee bedside or claim-level reliability (Singhal et al., 2023). Protected health information raises persistent privacy and security exposure under HIPAA. Explainability has also become a regulatory expectation: the ONC HTI-1 Final Rule (Office of the National Coordinator for Health Information Technology [ONC], 2024) established first-of-its-kind transparency and “source attribute” disclosure requirements for predictive decision-support tools in certified health IT, and several states have begun restricting AI-driven claim denials. Regulatory direction is itself unsettled: later federal proposals would relax some of these transparency mandates, so any compliance strategy must be adaptable. Finally, competition is intensifying as Optum, EXL, Machinify, Lyric, and AI-native entrants push LLM-based coding and claims review into the same market.</w:t>
      </w:r>
      <w:r w:rsidDel="00000000" w:rsidR="00000000" w:rsidRPr="00000000">
        <w:rPr>
          <w:rtl w:val="0"/>
        </w:rPr>
      </w:r>
    </w:p>
    <w:p w:rsidR="00000000" w:rsidDel="00000000" w:rsidP="00000000" w:rsidRDefault="00000000" w:rsidRPr="00000000" w14:paraId="0000000F">
      <w:pPr>
        <w:keepNext w:val="1"/>
        <w:spacing w:after="60" w:before="160" w:line="264" w:lineRule="auto"/>
        <w:rPr/>
      </w:pPr>
      <w:r w:rsidDel="00000000" w:rsidR="00000000" w:rsidRPr="00000000">
        <w:rPr>
          <w:rFonts w:ascii="Times New Roman" w:cs="Times New Roman" w:eastAsia="Times New Roman" w:hAnsi="Times New Roman"/>
          <w:b w:val="1"/>
          <w:bCs w:val="1"/>
          <w:sz w:val="24"/>
          <w:szCs w:val="24"/>
          <w:rtl w:val="0"/>
        </w:rPr>
        <w:t xml:space="preserve">Strategic Options for Cotiviti</w:t>
      </w:r>
      <w:r w:rsidDel="00000000" w:rsidR="00000000" w:rsidRPr="00000000">
        <w:rPr>
          <w:rtl w:val="0"/>
        </w:rPr>
      </w:r>
    </w:p>
    <w:p w:rsidR="00000000" w:rsidDel="00000000" w:rsidP="00000000" w:rsidRDefault="00000000" w:rsidRPr="00000000" w14:paraId="00000010">
      <w:pPr>
        <w:spacing w:after="140" w:line="264"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Three staged actions follow from this analysis. First, invest in provenance-first RAG copilots for coding and documentation review, where every model output cites the source record and payer policy and a human reviewer confirms each finding. Second, pilot agentic claims-review pipelines that decompose a claim into checkable steps (eligibility, coding, and medical necessity) with explicit guardrails and full audit logging. Third, build toward multimodal record review to handle scanned and image-based evidence. A small proof of concept illustrates the pattern: </w:t>
      </w:r>
      <w:r w:rsidDel="00000000" w:rsidR="00000000" w:rsidRPr="00000000">
        <w:rPr>
          <w:rFonts w:ascii="Times New Roman" w:cs="Times New Roman" w:eastAsia="Times New Roman" w:hAnsi="Times New Roman"/>
          <w:b w:val="0"/>
          <w:bCs w:val="0"/>
          <w:i w:val="1"/>
          <w:iCs w:val="1"/>
          <w:sz w:val="22"/>
          <w:szCs w:val="22"/>
          <w:rtl w:val="0"/>
        </w:rPr>
        <w:t xml:space="preserve">AuditLens-AI</w:t>
      </w:r>
      <w:r w:rsidDel="00000000" w:rsidR="00000000" w:rsidRPr="00000000">
        <w:rPr>
          <w:rFonts w:ascii="Times New Roman" w:cs="Times New Roman" w:eastAsia="Times New Roman" w:hAnsi="Times New Roman"/>
          <w:b w:val="0"/>
          <w:bCs w:val="0"/>
          <w:i w:val="0"/>
          <w:iCs w:val="0"/>
          <w:sz w:val="22"/>
          <w:szCs w:val="22"/>
          <w:rtl w:val="0"/>
        </w:rPr>
        <w:t xml:space="preserve">, a hybrid deterministic-plus-LLM prototype, routes each claim through three lanes (automated billing-rule checks, retrieval-augmented record matching, and LLM-assisted medical-necessity review), grounding every generated judgment in source documents so findings stay auditable. The common thread is provenance: in payment integrity, an answer is only as valuable as the evidence trail behind it.</w:t>
      </w:r>
      <w:r w:rsidDel="00000000" w:rsidR="00000000" w:rsidRPr="00000000">
        <w:rPr>
          <w:rtl w:val="0"/>
        </w:rPr>
      </w:r>
    </w:p>
    <w:p w:rsidR="00000000" w:rsidDel="00000000" w:rsidP="00000000" w:rsidRDefault="00000000" w:rsidRPr="00000000" w14:paraId="00000011">
      <w:pPr>
        <w:keepNext w:val="1"/>
        <w:spacing w:after="60" w:before="160" w:line="264" w:lineRule="auto"/>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12">
      <w:pPr>
        <w:spacing w:after="0" w:line="264"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Clinical natural language technology has moved from brittle rule-based extraction to generative, multimodal, reasoning-capable systems in under a decade, and the workflows it now targets (coding, documentation, and claims review) sit at the center of Cotiviti’s business. The opportunity is real, but so are the constraints: hallucination, privacy, and a shifting regulatory landscape make accuracy and explainability non-negotiable. The winning position is not the most autonomous system but the most defensible one. By adopting frontier NLP inside a provenance-first, human-in-the-loop framework, Cotiviti can capture the efficiency gains of automation while preserving the auditability that its clients and regulators require.</w:t>
      </w:r>
      <w:r w:rsidDel="00000000" w:rsidR="00000000" w:rsidRPr="00000000">
        <w:rPr>
          <w:rtl w:val="0"/>
        </w:rPr>
      </w:r>
    </w:p>
    <w:p w:rsidR="00000000" w:rsidDel="00000000" w:rsidP="00000000" w:rsidRDefault="00000000" w:rsidRPr="00000000" w14:paraId="00000013">
      <w:pPr>
        <w:pageBreakBefore w:val="1"/>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Bibliography</w:t>
      </w:r>
      <w:r w:rsidDel="00000000" w:rsidR="00000000" w:rsidRPr="00000000">
        <w:rPr>
          <w:rtl w:val="0"/>
        </w:rPr>
      </w:r>
    </w:p>
    <w:p w:rsidR="00000000" w:rsidDel="00000000" w:rsidP="00000000" w:rsidRDefault="00000000" w:rsidRPr="00000000" w14:paraId="00000014">
      <w:pPr>
        <w:tabs>
          <w:tab w:val="left" w:leader="none" w:pos="720"/>
        </w:tabs>
        <w:spacing w:after="140" w:line="264" w:lineRule="auto"/>
        <w:ind w:left="720" w:hanging="720"/>
        <w:jc w:val="both"/>
        <w:rPr/>
      </w:pPr>
      <w:r w:rsidDel="00000000" w:rsidR="00000000" w:rsidRPr="00000000">
        <w:rPr>
          <w:rFonts w:ascii="Times New Roman" w:cs="Times New Roman" w:eastAsia="Times New Roman" w:hAnsi="Times New Roman"/>
          <w:sz w:val="22"/>
          <w:szCs w:val="22"/>
          <w:rtl w:val="0"/>
        </w:rPr>
        <w:t xml:space="preserve">1.</w:t>
        <w:tab/>
      </w:r>
      <w:r w:rsidDel="00000000" w:rsidR="00000000" w:rsidRPr="00000000">
        <w:rPr>
          <w:rFonts w:ascii="Times New Roman" w:cs="Times New Roman" w:eastAsia="Times New Roman" w:hAnsi="Times New Roman"/>
          <w:i w:val="0"/>
          <w:iCs w:val="0"/>
          <w:sz w:val="22"/>
          <w:szCs w:val="22"/>
          <w:rtl w:val="0"/>
        </w:rPr>
        <w:t xml:space="preserve">MarketsandMarkets. (2025). </w:t>
      </w:r>
      <w:r w:rsidDel="00000000" w:rsidR="00000000" w:rsidRPr="00000000">
        <w:rPr>
          <w:rFonts w:ascii="Times New Roman" w:cs="Times New Roman" w:eastAsia="Times New Roman" w:hAnsi="Times New Roman"/>
          <w:i w:val="1"/>
          <w:iCs w:val="1"/>
          <w:sz w:val="22"/>
          <w:szCs w:val="22"/>
          <w:rtl w:val="0"/>
        </w:rPr>
        <w:t xml:space="preserve">NLP in healthcare &amp; life sciences market: Global forecast to 2030</w:t>
      </w:r>
      <w:r w:rsidDel="00000000" w:rsidR="00000000" w:rsidRPr="00000000">
        <w:rPr>
          <w:rFonts w:ascii="Times New Roman" w:cs="Times New Roman" w:eastAsia="Times New Roman" w:hAnsi="Times New Roman"/>
          <w:i w:val="0"/>
          <w:iCs w:val="0"/>
          <w:sz w:val="22"/>
          <w:szCs w:val="22"/>
          <w:rtl w:val="0"/>
        </w:rPr>
        <w:t xml:space="preserve">. https://www.marketsandmarkets.com/Market-Reports/healthcare-lifesciences-nlp-market-131821021.html</w:t>
      </w:r>
      <w:r w:rsidDel="00000000" w:rsidR="00000000" w:rsidRPr="00000000">
        <w:rPr>
          <w:rtl w:val="0"/>
        </w:rPr>
      </w:r>
    </w:p>
    <w:p w:rsidR="00000000" w:rsidDel="00000000" w:rsidP="00000000" w:rsidRDefault="00000000" w:rsidRPr="00000000" w14:paraId="00000015">
      <w:pPr>
        <w:tabs>
          <w:tab w:val="left" w:leader="none" w:pos="720"/>
        </w:tabs>
        <w:spacing w:after="140" w:line="264" w:lineRule="auto"/>
        <w:ind w:left="720" w:hanging="720"/>
        <w:jc w:val="both"/>
        <w:rPr/>
      </w:pPr>
      <w:r w:rsidDel="00000000" w:rsidR="00000000" w:rsidRPr="00000000">
        <w:rPr>
          <w:rFonts w:ascii="Times New Roman" w:cs="Times New Roman" w:eastAsia="Times New Roman" w:hAnsi="Times New Roman"/>
          <w:sz w:val="22"/>
          <w:szCs w:val="22"/>
          <w:rtl w:val="0"/>
        </w:rPr>
        <w:t xml:space="preserve">2.</w:t>
        <w:tab/>
      </w:r>
      <w:r w:rsidDel="00000000" w:rsidR="00000000" w:rsidRPr="00000000">
        <w:rPr>
          <w:rFonts w:ascii="Times New Roman" w:cs="Times New Roman" w:eastAsia="Times New Roman" w:hAnsi="Times New Roman"/>
          <w:i w:val="0"/>
          <w:iCs w:val="0"/>
          <w:sz w:val="22"/>
          <w:szCs w:val="22"/>
          <w:rtl w:val="0"/>
        </w:rPr>
        <w:t xml:space="preserve">Nori, H., King, N., McKinney, S. M., Carignan, D., &amp; Horvitz, E. (2023). </w:t>
      </w:r>
      <w:r w:rsidDel="00000000" w:rsidR="00000000" w:rsidRPr="00000000">
        <w:rPr>
          <w:rFonts w:ascii="Times New Roman" w:cs="Times New Roman" w:eastAsia="Times New Roman" w:hAnsi="Times New Roman"/>
          <w:i w:val="1"/>
          <w:iCs w:val="1"/>
          <w:sz w:val="22"/>
          <w:szCs w:val="22"/>
          <w:rtl w:val="0"/>
        </w:rPr>
        <w:t xml:space="preserve">Capabilities of GPT-4 on medical challenge problems</w:t>
      </w:r>
      <w:r w:rsidDel="00000000" w:rsidR="00000000" w:rsidRPr="00000000">
        <w:rPr>
          <w:rFonts w:ascii="Times New Roman" w:cs="Times New Roman" w:eastAsia="Times New Roman" w:hAnsi="Times New Roman"/>
          <w:i w:val="0"/>
          <w:iCs w:val="0"/>
          <w:sz w:val="22"/>
          <w:szCs w:val="22"/>
          <w:rtl w:val="0"/>
        </w:rPr>
        <w:t xml:space="preserve"> [Preprint]. arXiv. https://arxiv.org/abs/2303.13375</w:t>
      </w:r>
      <w:r w:rsidDel="00000000" w:rsidR="00000000" w:rsidRPr="00000000">
        <w:rPr>
          <w:rtl w:val="0"/>
        </w:rPr>
      </w:r>
    </w:p>
    <w:p w:rsidR="00000000" w:rsidDel="00000000" w:rsidP="00000000" w:rsidRDefault="00000000" w:rsidRPr="00000000" w14:paraId="00000016">
      <w:pPr>
        <w:tabs>
          <w:tab w:val="left" w:leader="none" w:pos="720"/>
        </w:tabs>
        <w:spacing w:after="140" w:line="264" w:lineRule="auto"/>
        <w:ind w:left="720" w:hanging="72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22"/>
          <w:szCs w:val="22"/>
          <w:rtl w:val="0"/>
        </w:rPr>
        <w:t xml:space="preserve">.</w:t>
        <w:tab/>
      </w:r>
      <w:r w:rsidDel="00000000" w:rsidR="00000000" w:rsidRPr="00000000">
        <w:rPr>
          <w:rFonts w:ascii="Times New Roman" w:cs="Times New Roman" w:eastAsia="Times New Roman" w:hAnsi="Times New Roman"/>
          <w:i w:val="0"/>
          <w:iCs w:val="0"/>
          <w:sz w:val="22"/>
          <w:szCs w:val="22"/>
          <w:rtl w:val="0"/>
        </w:rPr>
        <w:t xml:space="preserve">Saab, K., Tu, T., Weng, W.-H., Tanno, R., Stutz, D., Wulczyn, E., . . . Natarajan, V. (2024). </w:t>
      </w:r>
      <w:r w:rsidDel="00000000" w:rsidR="00000000" w:rsidRPr="00000000">
        <w:rPr>
          <w:rFonts w:ascii="Times New Roman" w:cs="Times New Roman" w:eastAsia="Times New Roman" w:hAnsi="Times New Roman"/>
          <w:i w:val="1"/>
          <w:iCs w:val="1"/>
          <w:sz w:val="22"/>
          <w:szCs w:val="22"/>
          <w:rtl w:val="0"/>
        </w:rPr>
        <w:t xml:space="preserve">Capabilities of Gemini models in medicine</w:t>
      </w:r>
      <w:r w:rsidDel="00000000" w:rsidR="00000000" w:rsidRPr="00000000">
        <w:rPr>
          <w:rFonts w:ascii="Times New Roman" w:cs="Times New Roman" w:eastAsia="Times New Roman" w:hAnsi="Times New Roman"/>
          <w:i w:val="0"/>
          <w:iCs w:val="0"/>
          <w:sz w:val="22"/>
          <w:szCs w:val="22"/>
          <w:rtl w:val="0"/>
        </w:rPr>
        <w:t xml:space="preserve"> [Preprint]. arXiv. https://arxiv.org/abs/2404.18416</w:t>
      </w:r>
      <w:r w:rsidDel="00000000" w:rsidR="00000000" w:rsidRPr="00000000">
        <w:rPr>
          <w:rtl w:val="0"/>
        </w:rPr>
      </w:r>
    </w:p>
    <w:p w:rsidR="00000000" w:rsidDel="00000000" w:rsidP="00000000" w:rsidRDefault="00000000" w:rsidRPr="00000000" w14:paraId="00000017">
      <w:pPr>
        <w:tabs>
          <w:tab w:val="left" w:leader="none" w:pos="720"/>
        </w:tabs>
        <w:spacing w:after="140" w:line="264" w:lineRule="auto"/>
        <w:ind w:left="720" w:hanging="72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22"/>
          <w:szCs w:val="22"/>
          <w:rtl w:val="0"/>
        </w:rPr>
        <w:t xml:space="preserve">.</w:t>
        <w:tab/>
      </w:r>
      <w:r w:rsidDel="00000000" w:rsidR="00000000" w:rsidRPr="00000000">
        <w:rPr>
          <w:rFonts w:ascii="Times New Roman" w:cs="Times New Roman" w:eastAsia="Times New Roman" w:hAnsi="Times New Roman"/>
          <w:i w:val="0"/>
          <w:iCs w:val="0"/>
          <w:sz w:val="22"/>
          <w:szCs w:val="22"/>
          <w:rtl w:val="0"/>
        </w:rPr>
        <w:t xml:space="preserve">Savova, G. K., Masanz, J. J., Ogren, P. V., Zheng, J., Sohn, S., Kipper-Schuler, K. C., &amp; Chute, C. G. (2010). Mayo clinical Text Analysis and Knowledge Extraction System (cTAKES): Architecture, component evaluation and applications. </w:t>
      </w:r>
      <w:r w:rsidDel="00000000" w:rsidR="00000000" w:rsidRPr="00000000">
        <w:rPr>
          <w:rFonts w:ascii="Times New Roman" w:cs="Times New Roman" w:eastAsia="Times New Roman" w:hAnsi="Times New Roman"/>
          <w:i w:val="1"/>
          <w:iCs w:val="1"/>
          <w:sz w:val="22"/>
          <w:szCs w:val="22"/>
          <w:rtl w:val="0"/>
        </w:rPr>
        <w:t xml:space="preserve">Journal of the American Medical Informatics Association, 17</w:t>
      </w:r>
      <w:r w:rsidDel="00000000" w:rsidR="00000000" w:rsidRPr="00000000">
        <w:rPr>
          <w:rFonts w:ascii="Times New Roman" w:cs="Times New Roman" w:eastAsia="Times New Roman" w:hAnsi="Times New Roman"/>
          <w:i w:val="0"/>
          <w:iCs w:val="0"/>
          <w:sz w:val="22"/>
          <w:szCs w:val="22"/>
          <w:rtl w:val="0"/>
        </w:rPr>
        <w:t xml:space="preserve">(5), 507–513. https://doi.org/10.1136/jamia.2009.001560</w:t>
      </w:r>
      <w:r w:rsidDel="00000000" w:rsidR="00000000" w:rsidRPr="00000000">
        <w:rPr>
          <w:rtl w:val="0"/>
        </w:rPr>
      </w:r>
    </w:p>
    <w:p w:rsidR="00000000" w:rsidDel="00000000" w:rsidP="00000000" w:rsidRDefault="00000000" w:rsidRPr="00000000" w14:paraId="00000018">
      <w:pPr>
        <w:tabs>
          <w:tab w:val="left" w:leader="none" w:pos="720"/>
        </w:tabs>
        <w:spacing w:after="140" w:line="264" w:lineRule="auto"/>
        <w:ind w:left="720" w:hanging="72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22"/>
          <w:szCs w:val="22"/>
          <w:rtl w:val="0"/>
        </w:rPr>
        <w:t xml:space="preserve">.</w:t>
        <w:tab/>
      </w:r>
      <w:r w:rsidDel="00000000" w:rsidR="00000000" w:rsidRPr="00000000">
        <w:rPr>
          <w:rFonts w:ascii="Times New Roman" w:cs="Times New Roman" w:eastAsia="Times New Roman" w:hAnsi="Times New Roman"/>
          <w:i w:val="0"/>
          <w:iCs w:val="0"/>
          <w:sz w:val="22"/>
          <w:szCs w:val="22"/>
          <w:rtl w:val="0"/>
        </w:rPr>
        <w:t xml:space="preserve">Singhal, K., Tu, T., Gottweis, J., Sayres, R., Wulczyn, E., Hou, L., . . . Natarajan, V. (2023). </w:t>
      </w:r>
      <w:r w:rsidDel="00000000" w:rsidR="00000000" w:rsidRPr="00000000">
        <w:rPr>
          <w:rFonts w:ascii="Times New Roman" w:cs="Times New Roman" w:eastAsia="Times New Roman" w:hAnsi="Times New Roman"/>
          <w:i w:val="1"/>
          <w:iCs w:val="1"/>
          <w:sz w:val="22"/>
          <w:szCs w:val="22"/>
          <w:rtl w:val="0"/>
        </w:rPr>
        <w:t xml:space="preserve">Towards expert-level medical question answering with large language models</w:t>
      </w:r>
      <w:r w:rsidDel="00000000" w:rsidR="00000000" w:rsidRPr="00000000">
        <w:rPr>
          <w:rFonts w:ascii="Times New Roman" w:cs="Times New Roman" w:eastAsia="Times New Roman" w:hAnsi="Times New Roman"/>
          <w:i w:val="0"/>
          <w:iCs w:val="0"/>
          <w:sz w:val="22"/>
          <w:szCs w:val="22"/>
          <w:rtl w:val="0"/>
        </w:rPr>
        <w:t xml:space="preserve"> [Preprint]. arXiv. https://arxiv.org/abs/2305.09617</w:t>
      </w:r>
      <w:r w:rsidDel="00000000" w:rsidR="00000000" w:rsidRPr="00000000">
        <w:rPr>
          <w:rtl w:val="0"/>
        </w:rPr>
      </w:r>
    </w:p>
    <w:p w:rsidR="00000000" w:rsidDel="00000000" w:rsidP="00000000" w:rsidRDefault="00000000" w:rsidRPr="00000000" w14:paraId="00000019">
      <w:pPr>
        <w:tabs>
          <w:tab w:val="left" w:leader="none" w:pos="720"/>
        </w:tabs>
        <w:spacing w:after="140" w:line="264" w:lineRule="auto"/>
        <w:ind w:left="720" w:hanging="720"/>
        <w:rPr/>
      </w:pPr>
      <w:r w:rsidDel="00000000" w:rsidR="00000000" w:rsidRPr="00000000">
        <w:rPr>
          <w:rtl w:val="0"/>
        </w:rPr>
        <w:t xml:space="preserve">6</w:t>
      </w:r>
      <w:r w:rsidDel="00000000" w:rsidR="00000000" w:rsidRPr="00000000">
        <w:rPr>
          <w:rFonts w:ascii="Times New Roman" w:cs="Times New Roman" w:eastAsia="Times New Roman" w:hAnsi="Times New Roman"/>
          <w:sz w:val="22"/>
          <w:szCs w:val="22"/>
          <w:rtl w:val="0"/>
        </w:rPr>
        <w:t xml:space="preserve">.</w:t>
        <w:tab/>
      </w:r>
      <w:r w:rsidDel="00000000" w:rsidR="00000000" w:rsidRPr="00000000">
        <w:rPr>
          <w:rFonts w:ascii="Times New Roman" w:cs="Times New Roman" w:eastAsia="Times New Roman" w:hAnsi="Times New Roman"/>
          <w:i w:val="0"/>
          <w:iCs w:val="0"/>
          <w:sz w:val="22"/>
          <w:szCs w:val="22"/>
          <w:rtl w:val="0"/>
        </w:rPr>
        <w:t xml:space="preserve">Towards Healthcare. (2025). </w:t>
      </w:r>
      <w:r w:rsidDel="00000000" w:rsidR="00000000" w:rsidRPr="00000000">
        <w:rPr>
          <w:rFonts w:ascii="Times New Roman" w:cs="Times New Roman" w:eastAsia="Times New Roman" w:hAnsi="Times New Roman"/>
          <w:i w:val="1"/>
          <w:iCs w:val="1"/>
          <w:sz w:val="22"/>
          <w:szCs w:val="22"/>
          <w:rtl w:val="0"/>
        </w:rPr>
        <w:t xml:space="preserve">Natural language processing (NLP) in healthcare and life sciences market sizing</w:t>
      </w:r>
      <w:r w:rsidDel="00000000" w:rsidR="00000000" w:rsidRPr="00000000">
        <w:rPr>
          <w:rFonts w:ascii="Times New Roman" w:cs="Times New Roman" w:eastAsia="Times New Roman" w:hAnsi="Times New Roman"/>
          <w:i w:val="0"/>
          <w:iCs w:val="0"/>
          <w:sz w:val="22"/>
          <w:szCs w:val="22"/>
          <w:rtl w:val="0"/>
        </w:rPr>
        <w:t xml:space="preserve">. https://www.towardshealthcare.com/insights/natural-language-processing-nlp-in-healthcare-and-life-sciences-market-sizing</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