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01B" w:rsidRPr="0086101B" w:rsidRDefault="0086101B" w:rsidP="008610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6101B">
        <w:rPr>
          <w:rFonts w:ascii="Times New Roman" w:eastAsia="Times New Roman" w:hAnsi="Times New Roman" w:cs="Times New Roman"/>
          <w:b/>
          <w:bCs/>
          <w:kern w:val="36"/>
          <w:sz w:val="48"/>
          <w:szCs w:val="48"/>
          <w:lang w:eastAsia="en-IN"/>
        </w:rPr>
        <w:t xml:space="preserve">Rule-Based and Scoring-Based </w:t>
      </w:r>
      <w:proofErr w:type="spellStart"/>
      <w:r w:rsidRPr="0086101B">
        <w:rPr>
          <w:rFonts w:ascii="Times New Roman" w:eastAsia="Times New Roman" w:hAnsi="Times New Roman" w:cs="Times New Roman"/>
          <w:b/>
          <w:bCs/>
          <w:kern w:val="36"/>
          <w:sz w:val="48"/>
          <w:szCs w:val="48"/>
          <w:lang w:eastAsia="en-IN"/>
        </w:rPr>
        <w:t>Explainability</w:t>
      </w:r>
      <w:proofErr w:type="spellEnd"/>
      <w:r w:rsidRPr="0086101B">
        <w:rPr>
          <w:rFonts w:ascii="Times New Roman" w:eastAsia="Times New Roman" w:hAnsi="Times New Roman" w:cs="Times New Roman"/>
          <w:b/>
          <w:bCs/>
          <w:kern w:val="36"/>
          <w:sz w:val="48"/>
          <w:szCs w:val="48"/>
          <w:lang w:eastAsia="en-IN"/>
        </w:rPr>
        <w:t xml:space="preserve"> in Credit Approval</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Credit and loan approval systems employ rule-based and scoring-based </w:t>
      </w:r>
      <w:proofErr w:type="spellStart"/>
      <w:r w:rsidRPr="0086101B">
        <w:rPr>
          <w:rFonts w:ascii="Times New Roman" w:eastAsia="Times New Roman" w:hAnsi="Times New Roman" w:cs="Times New Roman"/>
          <w:sz w:val="24"/>
          <w:szCs w:val="24"/>
          <w:lang w:eastAsia="en-IN"/>
        </w:rPr>
        <w:t>explainability</w:t>
      </w:r>
      <w:proofErr w:type="spellEnd"/>
      <w:r w:rsidRPr="0086101B">
        <w:rPr>
          <w:rFonts w:ascii="Times New Roman" w:eastAsia="Times New Roman" w:hAnsi="Times New Roman" w:cs="Times New Roman"/>
          <w:sz w:val="24"/>
          <w:szCs w:val="24"/>
          <w:lang w:eastAsia="en-IN"/>
        </w:rPr>
        <w:t xml:space="preserve"> methods spanning traditional scorecards, rule extraction algorithms, reason-code generation, and counterfactual-based rule explanations, driven by regulatory requirements such as the GDPR "right to explanation" and Basel Accord adverse-action obligations (</w:t>
      </w:r>
      <w:proofErr w:type="spellStart"/>
      <w:r w:rsidRPr="0086101B">
        <w:rPr>
          <w:rFonts w:ascii="Times New Roman" w:eastAsia="Times New Roman" w:hAnsi="Times New Roman" w:cs="Times New Roman"/>
          <w:sz w:val="24"/>
          <w:szCs w:val="24"/>
          <w:lang w:eastAsia="en-IN"/>
        </w:rPr>
        <w:t>Bücker</w:t>
      </w:r>
      <w:proofErr w:type="spellEnd"/>
      <w:r w:rsidRPr="0086101B">
        <w:rPr>
          <w:rFonts w:ascii="Times New Roman" w:eastAsia="Times New Roman" w:hAnsi="Times New Roman" w:cs="Times New Roman"/>
          <w:sz w:val="24"/>
          <w:szCs w:val="24"/>
          <w:lang w:eastAsia="en-IN"/>
        </w:rPr>
        <w:t xml:space="preserve"> et al., 2020; </w:t>
      </w:r>
      <w:proofErr w:type="spellStart"/>
      <w:r w:rsidRPr="0086101B">
        <w:rPr>
          <w:rFonts w:ascii="Times New Roman" w:eastAsia="Times New Roman" w:hAnsi="Times New Roman" w:cs="Times New Roman"/>
          <w:sz w:val="24"/>
          <w:szCs w:val="24"/>
          <w:lang w:eastAsia="en-IN"/>
        </w:rPr>
        <w:t>Dastile</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Çelik</w:t>
      </w:r>
      <w:proofErr w:type="spellEnd"/>
      <w:r w:rsidRPr="0086101B">
        <w:rPr>
          <w:rFonts w:ascii="Times New Roman" w:eastAsia="Times New Roman" w:hAnsi="Times New Roman" w:cs="Times New Roman"/>
          <w:sz w:val="24"/>
          <w:szCs w:val="24"/>
          <w:lang w:eastAsia="en-IN"/>
        </w:rPr>
        <w:t xml:space="preserve">, 2021; </w:t>
      </w:r>
      <w:proofErr w:type="spellStart"/>
      <w:r w:rsidRPr="0086101B">
        <w:rPr>
          <w:rFonts w:ascii="Times New Roman" w:eastAsia="Times New Roman" w:hAnsi="Times New Roman" w:cs="Times New Roman"/>
          <w:sz w:val="24"/>
          <w:szCs w:val="24"/>
          <w:lang w:eastAsia="en-IN"/>
        </w:rPr>
        <w:t>Dastile</w:t>
      </w:r>
      <w:proofErr w:type="spellEnd"/>
      <w:r w:rsidRPr="0086101B">
        <w:rPr>
          <w:rFonts w:ascii="Times New Roman" w:eastAsia="Times New Roman" w:hAnsi="Times New Roman" w:cs="Times New Roman"/>
          <w:sz w:val="24"/>
          <w:szCs w:val="24"/>
          <w:lang w:eastAsia="en-IN"/>
        </w:rPr>
        <w:t xml:space="preserve"> et al., 2022).</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Traditional Scorecards and Logistic Regression</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Logistic regression scorecards remain the industry benchmark because their linear structure allows auditors to interpret variable-level contributions and provide applicants with reasons for rejection (</w:t>
      </w:r>
      <w:proofErr w:type="spellStart"/>
      <w:r w:rsidRPr="0086101B">
        <w:rPr>
          <w:rFonts w:ascii="Times New Roman" w:eastAsia="Times New Roman" w:hAnsi="Times New Roman" w:cs="Times New Roman"/>
          <w:sz w:val="24"/>
          <w:szCs w:val="24"/>
          <w:lang w:eastAsia="en-IN"/>
        </w:rPr>
        <w:t>Bücker</w:t>
      </w:r>
      <w:proofErr w:type="spellEnd"/>
      <w:r w:rsidRPr="0086101B">
        <w:rPr>
          <w:rFonts w:ascii="Times New Roman" w:eastAsia="Times New Roman" w:hAnsi="Times New Roman" w:cs="Times New Roman"/>
          <w:sz w:val="24"/>
          <w:szCs w:val="24"/>
          <w:lang w:eastAsia="en-IN"/>
        </w:rPr>
        <w:t xml:space="preserve"> et al., 2020; </w:t>
      </w:r>
      <w:proofErr w:type="spellStart"/>
      <w:r w:rsidRPr="0086101B">
        <w:rPr>
          <w:rFonts w:ascii="Times New Roman" w:eastAsia="Times New Roman" w:hAnsi="Times New Roman" w:cs="Times New Roman"/>
          <w:sz w:val="24"/>
          <w:szCs w:val="24"/>
          <w:lang w:eastAsia="en-IN"/>
        </w:rPr>
        <w:t>Dumitrescu</w:t>
      </w:r>
      <w:proofErr w:type="spellEnd"/>
      <w:r w:rsidRPr="0086101B">
        <w:rPr>
          <w:rFonts w:ascii="Times New Roman" w:eastAsia="Times New Roman" w:hAnsi="Times New Roman" w:cs="Times New Roman"/>
          <w:sz w:val="24"/>
          <w:szCs w:val="24"/>
          <w:lang w:eastAsia="en-IN"/>
        </w:rPr>
        <w:t xml:space="preserve"> et al., 2021). When a loan application is rejected using a scorecard, the reason for rejection is straightforward to derive from the weighted input variables (Wang et al., 2020). However, logistic regression's linear structure limits its ability to capture complex borrower </w:t>
      </w:r>
      <w:proofErr w:type="spellStart"/>
      <w:r w:rsidRPr="0086101B">
        <w:rPr>
          <w:rFonts w:ascii="Times New Roman" w:eastAsia="Times New Roman" w:hAnsi="Times New Roman" w:cs="Times New Roman"/>
          <w:sz w:val="24"/>
          <w:szCs w:val="24"/>
          <w:lang w:eastAsia="en-IN"/>
        </w:rPr>
        <w:t>behavior</w:t>
      </w:r>
      <w:proofErr w:type="spellEnd"/>
      <w:r w:rsidRPr="0086101B">
        <w:rPr>
          <w:rFonts w:ascii="Times New Roman" w:eastAsia="Times New Roman" w:hAnsi="Times New Roman" w:cs="Times New Roman"/>
          <w:sz w:val="24"/>
          <w:szCs w:val="24"/>
          <w:lang w:eastAsia="en-IN"/>
        </w:rPr>
        <w:t xml:space="preserve">, motivating hybrid approaches that preserve interpretability while improving performance (Dai, 2026; </w:t>
      </w:r>
      <w:proofErr w:type="spellStart"/>
      <w:r w:rsidRPr="0086101B">
        <w:rPr>
          <w:rFonts w:ascii="Times New Roman" w:eastAsia="Times New Roman" w:hAnsi="Times New Roman" w:cs="Times New Roman"/>
          <w:sz w:val="24"/>
          <w:szCs w:val="24"/>
          <w:lang w:eastAsia="en-IN"/>
        </w:rPr>
        <w:t>Dumitrescu</w:t>
      </w:r>
      <w:proofErr w:type="spellEnd"/>
      <w:r w:rsidRPr="0086101B">
        <w:rPr>
          <w:rFonts w:ascii="Times New Roman" w:eastAsia="Times New Roman" w:hAnsi="Times New Roman" w:cs="Times New Roman"/>
          <w:sz w:val="24"/>
          <w:szCs w:val="24"/>
          <w:lang w:eastAsia="en-IN"/>
        </w:rPr>
        <w:t xml:space="preserve"> et al., 2021).</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Penalised logistic tree regression (PLTR) extracts rules from short-depth decision trees and uses them as predictors in a penalised logistic regression, capturing non-linear effects while retaining the intrinsic interpretability of logistic regression (</w:t>
      </w:r>
      <w:proofErr w:type="spellStart"/>
      <w:r w:rsidRPr="0086101B">
        <w:rPr>
          <w:rFonts w:ascii="Times New Roman" w:eastAsia="Times New Roman" w:hAnsi="Times New Roman" w:cs="Times New Roman"/>
          <w:sz w:val="24"/>
          <w:szCs w:val="24"/>
          <w:lang w:eastAsia="en-IN"/>
        </w:rPr>
        <w:t>Dumitrescu</w:t>
      </w:r>
      <w:proofErr w:type="spellEnd"/>
      <w:r w:rsidRPr="0086101B">
        <w:rPr>
          <w:rFonts w:ascii="Times New Roman" w:eastAsia="Times New Roman" w:hAnsi="Times New Roman" w:cs="Times New Roman"/>
          <w:sz w:val="24"/>
          <w:szCs w:val="24"/>
          <w:lang w:eastAsia="en-IN"/>
        </w:rPr>
        <w:t xml:space="preserve"> et al., 2021).</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Rule Extraction and Rule-Based Models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Several systems extract interpretable rules from tree ensembles and black-box models to generate explanations for credit decisions. The </w:t>
      </w:r>
      <w:proofErr w:type="spellStart"/>
      <w:r w:rsidRPr="0086101B">
        <w:rPr>
          <w:rFonts w:ascii="Times New Roman" w:eastAsia="Times New Roman" w:hAnsi="Times New Roman" w:cs="Times New Roman"/>
          <w:sz w:val="24"/>
          <w:szCs w:val="24"/>
          <w:lang w:eastAsia="en-IN"/>
        </w:rPr>
        <w:t>InTrees</w:t>
      </w:r>
      <w:proofErr w:type="spellEnd"/>
      <w:r w:rsidRPr="0086101B">
        <w:rPr>
          <w:rFonts w:ascii="Times New Roman" w:eastAsia="Times New Roman" w:hAnsi="Times New Roman" w:cs="Times New Roman"/>
          <w:sz w:val="24"/>
          <w:szCs w:val="24"/>
          <w:lang w:eastAsia="en-IN"/>
        </w:rPr>
        <w:t xml:space="preserve"> method extracts, measures, prunes, selects, and summarizes rules from tree ensembles for credit scoring (</w:t>
      </w:r>
      <w:proofErr w:type="spellStart"/>
      <w:r w:rsidRPr="0086101B">
        <w:rPr>
          <w:rFonts w:ascii="Times New Roman" w:eastAsia="Times New Roman" w:hAnsi="Times New Roman" w:cs="Times New Roman"/>
          <w:sz w:val="24"/>
          <w:szCs w:val="24"/>
          <w:lang w:eastAsia="en-IN"/>
        </w:rPr>
        <w:t>Dumitrescu</w:t>
      </w:r>
      <w:proofErr w:type="spellEnd"/>
      <w:r w:rsidRPr="0086101B">
        <w:rPr>
          <w:rFonts w:ascii="Times New Roman" w:eastAsia="Times New Roman" w:hAnsi="Times New Roman" w:cs="Times New Roman"/>
          <w:sz w:val="24"/>
          <w:szCs w:val="24"/>
          <w:lang w:eastAsia="en-IN"/>
        </w:rPr>
        <w:t xml:space="preserve"> et al., 2021). Continuous Re-RX, Re-RX with J48graft, and Sampling Re-RX use recursive rule extraction algorithms with decision trees to generate interpretable rules for machine-learning-based credit assessment (</w:t>
      </w:r>
      <w:proofErr w:type="spellStart"/>
      <w:r w:rsidRPr="0086101B">
        <w:rPr>
          <w:rFonts w:ascii="Times New Roman" w:eastAsia="Times New Roman" w:hAnsi="Times New Roman" w:cs="Times New Roman"/>
          <w:sz w:val="24"/>
          <w:szCs w:val="24"/>
          <w:lang w:eastAsia="en-IN"/>
        </w:rPr>
        <w:t>Černevičienė</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Kabašinskas</w:t>
      </w:r>
      <w:proofErr w:type="spellEnd"/>
      <w:r w:rsidRPr="0086101B">
        <w:rPr>
          <w:rFonts w:ascii="Times New Roman" w:eastAsia="Times New Roman" w:hAnsi="Times New Roman" w:cs="Times New Roman"/>
          <w:sz w:val="24"/>
          <w:szCs w:val="24"/>
          <w:lang w:eastAsia="en-IN"/>
        </w:rPr>
        <w:t>, 2024). The Rule Representation Learner (RRL) framework builds an intrinsically interpretable credit evaluation model that can be equivalently converted into a set of rules, extracting accurate global and local explanations without post-hoc methods (Chen et al., 2023).</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Rudin</w:t>
      </w:r>
      <w:proofErr w:type="spellEnd"/>
      <w:r w:rsidRPr="0086101B">
        <w:rPr>
          <w:rFonts w:ascii="Times New Roman" w:eastAsia="Times New Roman" w:hAnsi="Times New Roman" w:cs="Times New Roman"/>
          <w:sz w:val="24"/>
          <w:szCs w:val="24"/>
          <w:lang w:eastAsia="en-IN"/>
        </w:rPr>
        <w:t xml:space="preserve"> and </w:t>
      </w:r>
      <w:proofErr w:type="spellStart"/>
      <w:r w:rsidRPr="0086101B">
        <w:rPr>
          <w:rFonts w:ascii="Times New Roman" w:eastAsia="Times New Roman" w:hAnsi="Times New Roman" w:cs="Times New Roman"/>
          <w:sz w:val="24"/>
          <w:szCs w:val="24"/>
          <w:lang w:eastAsia="en-IN"/>
        </w:rPr>
        <w:t>Shaposhnik</w:t>
      </w:r>
      <w:proofErr w:type="spellEnd"/>
      <w:r w:rsidRPr="0086101B">
        <w:rPr>
          <w:rFonts w:ascii="Times New Roman" w:eastAsia="Times New Roman" w:hAnsi="Times New Roman" w:cs="Times New Roman"/>
          <w:sz w:val="24"/>
          <w:szCs w:val="24"/>
          <w:lang w:eastAsia="en-IN"/>
        </w:rPr>
        <w:t xml:space="preserve"> construct globally consistent rule-based summary-explanations by fitting local rule models tailored to each observation and solving a minimum set cover problem, applied to FICO credit-risk data (</w:t>
      </w:r>
      <w:proofErr w:type="spellStart"/>
      <w:r w:rsidRPr="0086101B">
        <w:rPr>
          <w:rFonts w:ascii="Times New Roman" w:eastAsia="Times New Roman" w:hAnsi="Times New Roman" w:cs="Times New Roman"/>
          <w:sz w:val="24"/>
          <w:szCs w:val="24"/>
          <w:lang w:eastAsia="en-IN"/>
        </w:rPr>
        <w:t>Rudin</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Shaposhnik</w:t>
      </w:r>
      <w:proofErr w:type="spellEnd"/>
      <w:r w:rsidRPr="0086101B">
        <w:rPr>
          <w:rFonts w:ascii="Times New Roman" w:eastAsia="Times New Roman" w:hAnsi="Times New Roman" w:cs="Times New Roman"/>
          <w:sz w:val="24"/>
          <w:szCs w:val="24"/>
          <w:lang w:eastAsia="en-IN"/>
        </w:rPr>
        <w:t>, 2019). A belief-rule-base (BRB) system accommodates factual and heuristic rules in a hierarchical structure, producing textual explanations from activated rules that can serve as reasons for loan denial (</w:t>
      </w:r>
      <w:proofErr w:type="spellStart"/>
      <w:r w:rsidRPr="0086101B">
        <w:rPr>
          <w:rFonts w:ascii="Times New Roman" w:eastAsia="Times New Roman" w:hAnsi="Times New Roman" w:cs="Times New Roman"/>
          <w:sz w:val="24"/>
          <w:szCs w:val="24"/>
          <w:lang w:eastAsia="en-IN"/>
        </w:rPr>
        <w:t>Sachan</w:t>
      </w:r>
      <w:proofErr w:type="spellEnd"/>
      <w:r w:rsidRPr="0086101B">
        <w:rPr>
          <w:rFonts w:ascii="Times New Roman" w:eastAsia="Times New Roman" w:hAnsi="Times New Roman" w:cs="Times New Roman"/>
          <w:sz w:val="24"/>
          <w:szCs w:val="24"/>
          <w:lang w:eastAsia="en-IN"/>
        </w:rPr>
        <w:t xml:space="preserve"> et al., 2020).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377"/>
        <w:gridCol w:w="2355"/>
        <w:gridCol w:w="2277"/>
      </w:tblGrid>
      <w:tr w:rsidR="0086101B" w:rsidRPr="0086101B" w:rsidTr="0086101B">
        <w:trPr>
          <w:tblHeader/>
          <w:tblCellSpacing w:w="15" w:type="dxa"/>
        </w:trPr>
        <w:tc>
          <w:tcPr>
            <w:tcW w:w="0" w:type="auto"/>
            <w:vAlign w:val="center"/>
            <w:hideMark/>
          </w:tcPr>
          <w:p w:rsidR="0086101B" w:rsidRPr="0086101B" w:rsidRDefault="0086101B" w:rsidP="0086101B">
            <w:pPr>
              <w:spacing w:after="0" w:line="240" w:lineRule="auto"/>
              <w:jc w:val="center"/>
              <w:rPr>
                <w:rFonts w:ascii="Times New Roman" w:eastAsia="Times New Roman" w:hAnsi="Times New Roman" w:cs="Times New Roman"/>
                <w:b/>
                <w:bCs/>
                <w:sz w:val="24"/>
                <w:szCs w:val="24"/>
                <w:lang w:eastAsia="en-IN"/>
              </w:rPr>
            </w:pPr>
            <w:r w:rsidRPr="0086101B">
              <w:rPr>
                <w:rFonts w:ascii="Times New Roman" w:eastAsia="Times New Roman" w:hAnsi="Times New Roman" w:cs="Times New Roman"/>
                <w:b/>
                <w:bCs/>
                <w:sz w:val="24"/>
                <w:szCs w:val="24"/>
                <w:lang w:eastAsia="en-IN"/>
              </w:rPr>
              <w:t>Method</w:t>
            </w:r>
          </w:p>
        </w:tc>
        <w:tc>
          <w:tcPr>
            <w:tcW w:w="0" w:type="auto"/>
            <w:vAlign w:val="center"/>
            <w:hideMark/>
          </w:tcPr>
          <w:p w:rsidR="0086101B" w:rsidRPr="0086101B" w:rsidRDefault="0086101B" w:rsidP="0086101B">
            <w:pPr>
              <w:spacing w:after="0" w:line="240" w:lineRule="auto"/>
              <w:jc w:val="center"/>
              <w:rPr>
                <w:rFonts w:ascii="Times New Roman" w:eastAsia="Times New Roman" w:hAnsi="Times New Roman" w:cs="Times New Roman"/>
                <w:b/>
                <w:bCs/>
                <w:sz w:val="24"/>
                <w:szCs w:val="24"/>
                <w:lang w:eastAsia="en-IN"/>
              </w:rPr>
            </w:pPr>
            <w:r w:rsidRPr="0086101B">
              <w:rPr>
                <w:rFonts w:ascii="Times New Roman" w:eastAsia="Times New Roman" w:hAnsi="Times New Roman" w:cs="Times New Roman"/>
                <w:b/>
                <w:bCs/>
                <w:sz w:val="24"/>
                <w:szCs w:val="24"/>
                <w:lang w:eastAsia="en-IN"/>
              </w:rPr>
              <w:t>Mechanism</w:t>
            </w:r>
          </w:p>
        </w:tc>
        <w:tc>
          <w:tcPr>
            <w:tcW w:w="0" w:type="auto"/>
            <w:vAlign w:val="center"/>
            <w:hideMark/>
          </w:tcPr>
          <w:p w:rsidR="0086101B" w:rsidRPr="0086101B" w:rsidRDefault="0086101B" w:rsidP="0086101B">
            <w:pPr>
              <w:spacing w:after="0" w:line="240" w:lineRule="auto"/>
              <w:jc w:val="center"/>
              <w:rPr>
                <w:rFonts w:ascii="Times New Roman" w:eastAsia="Times New Roman" w:hAnsi="Times New Roman" w:cs="Times New Roman"/>
                <w:b/>
                <w:bCs/>
                <w:sz w:val="24"/>
                <w:szCs w:val="24"/>
                <w:lang w:eastAsia="en-IN"/>
              </w:rPr>
            </w:pPr>
            <w:r w:rsidRPr="0086101B">
              <w:rPr>
                <w:rFonts w:ascii="Times New Roman" w:eastAsia="Times New Roman" w:hAnsi="Times New Roman" w:cs="Times New Roman"/>
                <w:b/>
                <w:bCs/>
                <w:sz w:val="24"/>
                <w:szCs w:val="24"/>
                <w:lang w:eastAsia="en-IN"/>
              </w:rPr>
              <w:t>Explanation Output</w:t>
            </w:r>
          </w:p>
        </w:tc>
        <w:tc>
          <w:tcPr>
            <w:tcW w:w="0" w:type="auto"/>
            <w:vAlign w:val="center"/>
            <w:hideMark/>
          </w:tcPr>
          <w:p w:rsidR="0086101B" w:rsidRPr="0086101B" w:rsidRDefault="0086101B" w:rsidP="0086101B">
            <w:pPr>
              <w:spacing w:after="0" w:line="240" w:lineRule="auto"/>
              <w:jc w:val="center"/>
              <w:rPr>
                <w:rFonts w:ascii="Times New Roman" w:eastAsia="Times New Roman" w:hAnsi="Times New Roman" w:cs="Times New Roman"/>
                <w:b/>
                <w:bCs/>
                <w:sz w:val="24"/>
                <w:szCs w:val="24"/>
                <w:lang w:eastAsia="en-IN"/>
              </w:rPr>
            </w:pPr>
            <w:r w:rsidRPr="0086101B">
              <w:rPr>
                <w:rFonts w:ascii="Times New Roman" w:eastAsia="Times New Roman" w:hAnsi="Times New Roman" w:cs="Times New Roman"/>
                <w:b/>
                <w:bCs/>
                <w:sz w:val="24"/>
                <w:szCs w:val="24"/>
                <w:lang w:eastAsia="en-IN"/>
              </w:rPr>
              <w:t>Source</w:t>
            </w:r>
          </w:p>
        </w:tc>
      </w:tr>
      <w:tr w:rsidR="0086101B" w:rsidRPr="0086101B" w:rsidTr="0086101B">
        <w:trPr>
          <w:tblCellSpacing w:w="15" w:type="dxa"/>
        </w:trPr>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Scorecard / Logistic Regression</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Linear weighted features</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Variable-level reason for rejection</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(Wang et al., 2020)</w:t>
            </w:r>
          </w:p>
        </w:tc>
      </w:tr>
      <w:tr w:rsidR="0086101B" w:rsidRPr="0086101B" w:rsidTr="0086101B">
        <w:trPr>
          <w:tblCellSpacing w:w="15" w:type="dxa"/>
        </w:trPr>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b/>
                <w:bCs/>
                <w:sz w:val="24"/>
                <w:szCs w:val="24"/>
                <w:lang w:eastAsia="en-IN"/>
              </w:rPr>
              <w:lastRenderedPageBreak/>
              <w:t>InTrees</w:t>
            </w:r>
            <w:proofErr w:type="spellEnd"/>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Rule extraction from tree ensembles</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Summarized decision rules</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w:t>
            </w:r>
            <w:proofErr w:type="spellStart"/>
            <w:r w:rsidRPr="0086101B">
              <w:rPr>
                <w:rFonts w:ascii="Times New Roman" w:eastAsia="Times New Roman" w:hAnsi="Times New Roman" w:cs="Times New Roman"/>
                <w:sz w:val="24"/>
                <w:szCs w:val="24"/>
                <w:lang w:eastAsia="en-IN"/>
              </w:rPr>
              <w:t>Dumitrescu</w:t>
            </w:r>
            <w:proofErr w:type="spellEnd"/>
            <w:r w:rsidRPr="0086101B">
              <w:rPr>
                <w:rFonts w:ascii="Times New Roman" w:eastAsia="Times New Roman" w:hAnsi="Times New Roman" w:cs="Times New Roman"/>
                <w:sz w:val="24"/>
                <w:szCs w:val="24"/>
                <w:lang w:eastAsia="en-IN"/>
              </w:rPr>
              <w:t xml:space="preserve"> et al., 2021)</w:t>
            </w:r>
          </w:p>
        </w:tc>
      </w:tr>
      <w:tr w:rsidR="0086101B" w:rsidRPr="0086101B" w:rsidTr="0086101B">
        <w:trPr>
          <w:tblCellSpacing w:w="15" w:type="dxa"/>
        </w:trPr>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Re-RX family</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Recursive rule extraction + decision tree</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Interpretable classification rules</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w:t>
            </w:r>
            <w:proofErr w:type="spellStart"/>
            <w:r w:rsidRPr="0086101B">
              <w:rPr>
                <w:rFonts w:ascii="Times New Roman" w:eastAsia="Times New Roman" w:hAnsi="Times New Roman" w:cs="Times New Roman"/>
                <w:sz w:val="24"/>
                <w:szCs w:val="24"/>
                <w:lang w:eastAsia="en-IN"/>
              </w:rPr>
              <w:t>Černevičienė</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Kabašinskas</w:t>
            </w:r>
            <w:proofErr w:type="spellEnd"/>
            <w:r w:rsidRPr="0086101B">
              <w:rPr>
                <w:rFonts w:ascii="Times New Roman" w:eastAsia="Times New Roman" w:hAnsi="Times New Roman" w:cs="Times New Roman"/>
                <w:sz w:val="24"/>
                <w:szCs w:val="24"/>
                <w:lang w:eastAsia="en-IN"/>
              </w:rPr>
              <w:t>, 2024)</w:t>
            </w:r>
          </w:p>
        </w:tc>
      </w:tr>
      <w:tr w:rsidR="0086101B" w:rsidRPr="0086101B" w:rsidTr="0086101B">
        <w:trPr>
          <w:tblCellSpacing w:w="15" w:type="dxa"/>
        </w:trPr>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RRL</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Binary neural network convertible to rules</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Global and local rule sets</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(Chen et al., 2023)</w:t>
            </w:r>
          </w:p>
        </w:tc>
      </w:tr>
      <w:tr w:rsidR="0086101B" w:rsidRPr="0086101B" w:rsidTr="0086101B">
        <w:trPr>
          <w:tblCellSpacing w:w="15" w:type="dxa"/>
        </w:trPr>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BRB</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Belief-rule-base with hierarchical rules</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Textual explanation from activated rules</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w:t>
            </w:r>
            <w:proofErr w:type="spellStart"/>
            <w:r w:rsidRPr="0086101B">
              <w:rPr>
                <w:rFonts w:ascii="Times New Roman" w:eastAsia="Times New Roman" w:hAnsi="Times New Roman" w:cs="Times New Roman"/>
                <w:sz w:val="24"/>
                <w:szCs w:val="24"/>
                <w:lang w:eastAsia="en-IN"/>
              </w:rPr>
              <w:t>Sachan</w:t>
            </w:r>
            <w:proofErr w:type="spellEnd"/>
            <w:r w:rsidRPr="0086101B">
              <w:rPr>
                <w:rFonts w:ascii="Times New Roman" w:eastAsia="Times New Roman" w:hAnsi="Times New Roman" w:cs="Times New Roman"/>
                <w:sz w:val="24"/>
                <w:szCs w:val="24"/>
                <w:lang w:eastAsia="en-IN"/>
              </w:rPr>
              <w:t xml:space="preserve"> et al., 2020)</w:t>
            </w:r>
          </w:p>
        </w:tc>
      </w:tr>
    </w:tbl>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Figure 1:</w:t>
      </w:r>
      <w:r w:rsidRPr="0086101B">
        <w:rPr>
          <w:rFonts w:ascii="Times New Roman" w:eastAsia="Times New Roman" w:hAnsi="Times New Roman" w:cs="Times New Roman"/>
          <w:sz w:val="24"/>
          <w:szCs w:val="24"/>
          <w:lang w:eastAsia="en-IN"/>
        </w:rPr>
        <w:t xml:space="preserve"> Comparison of rule-based </w:t>
      </w:r>
      <w:proofErr w:type="spellStart"/>
      <w:r w:rsidRPr="0086101B">
        <w:rPr>
          <w:rFonts w:ascii="Times New Roman" w:eastAsia="Times New Roman" w:hAnsi="Times New Roman" w:cs="Times New Roman"/>
          <w:sz w:val="24"/>
          <w:szCs w:val="24"/>
          <w:lang w:eastAsia="en-IN"/>
        </w:rPr>
        <w:t>explainability</w:t>
      </w:r>
      <w:proofErr w:type="spellEnd"/>
      <w:r w:rsidRPr="0086101B">
        <w:rPr>
          <w:rFonts w:ascii="Times New Roman" w:eastAsia="Times New Roman" w:hAnsi="Times New Roman" w:cs="Times New Roman"/>
          <w:sz w:val="24"/>
          <w:szCs w:val="24"/>
          <w:lang w:eastAsia="en-IN"/>
        </w:rPr>
        <w:t xml:space="preserve"> methods used in credit scoring, showing their mechanism and explanation output format.</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Reason-Code and Adverse-Action Generation</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Reason-code generation maps model feature attributions to standardized adverse-action (AA) codes required by lending regulations. Wang et al. developed a production technique combining Weight of Evidence (</w:t>
      </w:r>
      <w:proofErr w:type="spellStart"/>
      <w:r w:rsidRPr="0086101B">
        <w:rPr>
          <w:rFonts w:ascii="Times New Roman" w:eastAsia="Times New Roman" w:hAnsi="Times New Roman" w:cs="Times New Roman"/>
          <w:sz w:val="24"/>
          <w:szCs w:val="24"/>
          <w:lang w:eastAsia="en-IN"/>
        </w:rPr>
        <w:t>WoE</w:t>
      </w:r>
      <w:proofErr w:type="spellEnd"/>
      <w:r w:rsidRPr="0086101B">
        <w:rPr>
          <w:rFonts w:ascii="Times New Roman" w:eastAsia="Times New Roman" w:hAnsi="Times New Roman" w:cs="Times New Roman"/>
          <w:sz w:val="24"/>
          <w:szCs w:val="24"/>
          <w:lang w:eastAsia="en-IN"/>
        </w:rPr>
        <w:t xml:space="preserve">) and Shapley values to generate AA reason codes from </w:t>
      </w:r>
      <w:proofErr w:type="spellStart"/>
      <w:r w:rsidRPr="0086101B">
        <w:rPr>
          <w:rFonts w:ascii="Times New Roman" w:eastAsia="Times New Roman" w:hAnsi="Times New Roman" w:cs="Times New Roman"/>
          <w:sz w:val="24"/>
          <w:szCs w:val="24"/>
          <w:lang w:eastAsia="en-IN"/>
        </w:rPr>
        <w:t>XGBoost</w:t>
      </w:r>
      <w:proofErr w:type="spellEnd"/>
      <w:r w:rsidRPr="0086101B">
        <w:rPr>
          <w:rFonts w:ascii="Times New Roman" w:eastAsia="Times New Roman" w:hAnsi="Times New Roman" w:cs="Times New Roman"/>
          <w:sz w:val="24"/>
          <w:szCs w:val="24"/>
          <w:lang w:eastAsia="en-IN"/>
        </w:rPr>
        <w:t xml:space="preserve"> models, deployed by QuickBooks Capital since July 2019 (Wang et al., 2020). Their approach computes the Shapley value for each feature of a loan application and maps the feature with the largest value to the AA reason code (Wang et al., 2020).</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Zhao et al. generate principal reason codes using a linear surrogate explanation model that enforces a fixed mapping from scored factors to codes, with policy-LLM extracting reason-code mappings from policy text (Zhao et al., 2024). The Explainable Boosting Machine (EBM) produces explanations that are more stable and easier to map to regulatory reason codes than gradient boosted models with SHAP, at a small cost in predictive power (</w:t>
      </w:r>
      <w:proofErr w:type="spellStart"/>
      <w:r w:rsidRPr="0086101B">
        <w:rPr>
          <w:rFonts w:ascii="Times New Roman" w:eastAsia="Times New Roman" w:hAnsi="Times New Roman" w:cs="Times New Roman"/>
          <w:sz w:val="24"/>
          <w:szCs w:val="24"/>
          <w:lang w:eastAsia="en-IN"/>
        </w:rPr>
        <w:t>Seela</w:t>
      </w:r>
      <w:proofErr w:type="spellEnd"/>
      <w:r w:rsidRPr="0086101B">
        <w:rPr>
          <w:rFonts w:ascii="Times New Roman" w:eastAsia="Times New Roman" w:hAnsi="Times New Roman" w:cs="Times New Roman"/>
          <w:sz w:val="24"/>
          <w:szCs w:val="24"/>
          <w:lang w:eastAsia="en-IN"/>
        </w:rPr>
        <w:t>, 2026). Consumer protection guidance clarifies that creditors must provide specific reasons for denial rather than generic statements about internal standards (Xin, 2026).</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Counterfactual-Based Rule Explanations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Counterfactual explanations describe minimal, feasible changes to an applicant profile that would flip a denial decision, directly supporting applicant recourse (Xin, 2026; </w:t>
      </w:r>
      <w:proofErr w:type="spellStart"/>
      <w:r w:rsidRPr="0086101B">
        <w:rPr>
          <w:rFonts w:ascii="Times New Roman" w:eastAsia="Times New Roman" w:hAnsi="Times New Roman" w:cs="Times New Roman"/>
          <w:sz w:val="24"/>
          <w:szCs w:val="24"/>
          <w:lang w:eastAsia="en-IN"/>
        </w:rPr>
        <w:t>Geng</w:t>
      </w:r>
      <w:proofErr w:type="spellEnd"/>
      <w:r w:rsidRPr="0086101B">
        <w:rPr>
          <w:rFonts w:ascii="Times New Roman" w:eastAsia="Times New Roman" w:hAnsi="Times New Roman" w:cs="Times New Roman"/>
          <w:sz w:val="24"/>
          <w:szCs w:val="24"/>
          <w:lang w:eastAsia="en-IN"/>
        </w:rPr>
        <w:t xml:space="preserve"> et al., 2022). </w:t>
      </w:r>
      <w:proofErr w:type="spellStart"/>
      <w:r w:rsidRPr="0086101B">
        <w:rPr>
          <w:rFonts w:ascii="Times New Roman" w:eastAsia="Times New Roman" w:hAnsi="Times New Roman" w:cs="Times New Roman"/>
          <w:sz w:val="24"/>
          <w:szCs w:val="24"/>
          <w:lang w:eastAsia="en-IN"/>
        </w:rPr>
        <w:t>Geng</w:t>
      </w:r>
      <w:proofErr w:type="spellEnd"/>
      <w:r w:rsidRPr="0086101B">
        <w:rPr>
          <w:rFonts w:ascii="Times New Roman" w:eastAsia="Times New Roman" w:hAnsi="Times New Roman" w:cs="Times New Roman"/>
          <w:sz w:val="24"/>
          <w:szCs w:val="24"/>
          <w:lang w:eastAsia="en-IN"/>
        </w:rPr>
        <w:t xml:space="preserve"> et al. prove a duality theorem showing that rule-based and counterfactual-based explanations are dual to each other, enabling efficient computation of rule-based explanations using counterfactual oracles (</w:t>
      </w:r>
      <w:proofErr w:type="spellStart"/>
      <w:r w:rsidRPr="0086101B">
        <w:rPr>
          <w:rFonts w:ascii="Times New Roman" w:eastAsia="Times New Roman" w:hAnsi="Times New Roman" w:cs="Times New Roman"/>
          <w:sz w:val="24"/>
          <w:szCs w:val="24"/>
          <w:lang w:eastAsia="en-IN"/>
        </w:rPr>
        <w:t>Geng</w:t>
      </w:r>
      <w:proofErr w:type="spellEnd"/>
      <w:r w:rsidRPr="0086101B">
        <w:rPr>
          <w:rFonts w:ascii="Times New Roman" w:eastAsia="Times New Roman" w:hAnsi="Times New Roman" w:cs="Times New Roman"/>
          <w:sz w:val="24"/>
          <w:szCs w:val="24"/>
          <w:lang w:eastAsia="en-IN"/>
        </w:rPr>
        <w:t xml:space="preserve"> et al., 2022). </w:t>
      </w:r>
      <w:proofErr w:type="spellStart"/>
      <w:r w:rsidRPr="0086101B">
        <w:rPr>
          <w:rFonts w:ascii="Times New Roman" w:eastAsia="Times New Roman" w:hAnsi="Times New Roman" w:cs="Times New Roman"/>
          <w:sz w:val="24"/>
          <w:szCs w:val="24"/>
          <w:lang w:eastAsia="en-IN"/>
        </w:rPr>
        <w:t>Dastile</w:t>
      </w:r>
      <w:proofErr w:type="spellEnd"/>
      <w:r w:rsidRPr="0086101B">
        <w:rPr>
          <w:rFonts w:ascii="Times New Roman" w:eastAsia="Times New Roman" w:hAnsi="Times New Roman" w:cs="Times New Roman"/>
          <w:sz w:val="24"/>
          <w:szCs w:val="24"/>
          <w:lang w:eastAsia="en-IN"/>
        </w:rPr>
        <w:t xml:space="preserve"> et al. generate sparse counterfactuals via a custom genetic algorithm validated against expert explanations, applicable to both rejected and approved loans (</w:t>
      </w:r>
      <w:proofErr w:type="spellStart"/>
      <w:r w:rsidRPr="0086101B">
        <w:rPr>
          <w:rFonts w:ascii="Times New Roman" w:eastAsia="Times New Roman" w:hAnsi="Times New Roman" w:cs="Times New Roman"/>
          <w:sz w:val="24"/>
          <w:szCs w:val="24"/>
          <w:lang w:eastAsia="en-IN"/>
        </w:rPr>
        <w:t>Dastile</w:t>
      </w:r>
      <w:proofErr w:type="spellEnd"/>
      <w:r w:rsidRPr="0086101B">
        <w:rPr>
          <w:rFonts w:ascii="Times New Roman" w:eastAsia="Times New Roman" w:hAnsi="Times New Roman" w:cs="Times New Roman"/>
          <w:sz w:val="24"/>
          <w:szCs w:val="24"/>
          <w:lang w:eastAsia="en-IN"/>
        </w:rPr>
        <w:t xml:space="preserve"> et al., 2022). Davis et al. generate diverse counterfactuals for loan applicants to guide steps toward </w:t>
      </w:r>
      <w:proofErr w:type="spellStart"/>
      <w:r w:rsidRPr="0086101B">
        <w:rPr>
          <w:rFonts w:ascii="Times New Roman" w:eastAsia="Times New Roman" w:hAnsi="Times New Roman" w:cs="Times New Roman"/>
          <w:sz w:val="24"/>
          <w:szCs w:val="24"/>
          <w:lang w:eastAsia="en-IN"/>
        </w:rPr>
        <w:t>favorable</w:t>
      </w:r>
      <w:proofErr w:type="spellEnd"/>
      <w:r w:rsidRPr="0086101B">
        <w:rPr>
          <w:rFonts w:ascii="Times New Roman" w:eastAsia="Times New Roman" w:hAnsi="Times New Roman" w:cs="Times New Roman"/>
          <w:sz w:val="24"/>
          <w:szCs w:val="24"/>
          <w:lang w:eastAsia="en-IN"/>
        </w:rPr>
        <w:t xml:space="preserve"> classification, while also producing simple rules that explain 70–72% of the dataset for data scientists (Davis et al., 2023).</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Post-Hoc Attribution and Hybrid Frameworks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lastRenderedPageBreak/>
        <w:t>SHAP and LIME are the most widely applied post-hoc attribution methods for generating local and global feature-level explanations in credit scoring (</w:t>
      </w:r>
      <w:proofErr w:type="spellStart"/>
      <w:r w:rsidRPr="0086101B">
        <w:rPr>
          <w:rFonts w:ascii="Times New Roman" w:eastAsia="Times New Roman" w:hAnsi="Times New Roman" w:cs="Times New Roman"/>
          <w:sz w:val="24"/>
          <w:szCs w:val="24"/>
          <w:lang w:eastAsia="en-IN"/>
        </w:rPr>
        <w:t>Černevičienė</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Kabašinskas</w:t>
      </w:r>
      <w:proofErr w:type="spellEnd"/>
      <w:r w:rsidRPr="0086101B">
        <w:rPr>
          <w:rFonts w:ascii="Times New Roman" w:eastAsia="Times New Roman" w:hAnsi="Times New Roman" w:cs="Times New Roman"/>
          <w:sz w:val="24"/>
          <w:szCs w:val="24"/>
          <w:lang w:eastAsia="en-IN"/>
        </w:rPr>
        <w:t xml:space="preserve">, 2024; </w:t>
      </w:r>
      <w:proofErr w:type="spellStart"/>
      <w:r w:rsidRPr="0086101B">
        <w:rPr>
          <w:rFonts w:ascii="Times New Roman" w:eastAsia="Times New Roman" w:hAnsi="Times New Roman" w:cs="Times New Roman"/>
          <w:sz w:val="24"/>
          <w:szCs w:val="24"/>
          <w:lang w:eastAsia="en-IN"/>
        </w:rPr>
        <w:t>Misheva</w:t>
      </w:r>
      <w:proofErr w:type="spellEnd"/>
      <w:r w:rsidRPr="0086101B">
        <w:rPr>
          <w:rFonts w:ascii="Times New Roman" w:eastAsia="Times New Roman" w:hAnsi="Times New Roman" w:cs="Times New Roman"/>
          <w:sz w:val="24"/>
          <w:szCs w:val="24"/>
          <w:lang w:eastAsia="en-IN"/>
        </w:rPr>
        <w:t xml:space="preserve"> et al., 2021). These methods provide coherent global and local insights but attribution explanations indicate which features influenced a prediction without specifying feasible changes to reverse a denial (</w:t>
      </w:r>
      <w:proofErr w:type="spellStart"/>
      <w:r w:rsidRPr="0086101B">
        <w:rPr>
          <w:rFonts w:ascii="Times New Roman" w:eastAsia="Times New Roman" w:hAnsi="Times New Roman" w:cs="Times New Roman"/>
          <w:sz w:val="24"/>
          <w:szCs w:val="24"/>
          <w:lang w:eastAsia="en-IN"/>
        </w:rPr>
        <w:t>Vinutna</w:t>
      </w:r>
      <w:proofErr w:type="spellEnd"/>
      <w:r w:rsidRPr="0086101B">
        <w:rPr>
          <w:rFonts w:ascii="Times New Roman" w:eastAsia="Times New Roman" w:hAnsi="Times New Roman" w:cs="Times New Roman"/>
          <w:sz w:val="24"/>
          <w:szCs w:val="24"/>
          <w:lang w:eastAsia="en-IN"/>
        </w:rPr>
        <w:t xml:space="preserve"> et al., 2026; Xin, 2026). Multi-level </w:t>
      </w:r>
      <w:proofErr w:type="spellStart"/>
      <w:r w:rsidRPr="0086101B">
        <w:rPr>
          <w:rFonts w:ascii="Times New Roman" w:eastAsia="Times New Roman" w:hAnsi="Times New Roman" w:cs="Times New Roman"/>
          <w:sz w:val="24"/>
          <w:szCs w:val="24"/>
          <w:lang w:eastAsia="en-IN"/>
        </w:rPr>
        <w:t>explainability</w:t>
      </w:r>
      <w:proofErr w:type="spellEnd"/>
      <w:r w:rsidRPr="0086101B">
        <w:rPr>
          <w:rFonts w:ascii="Times New Roman" w:eastAsia="Times New Roman" w:hAnsi="Times New Roman" w:cs="Times New Roman"/>
          <w:sz w:val="24"/>
          <w:szCs w:val="24"/>
          <w:lang w:eastAsia="en-IN"/>
        </w:rPr>
        <w:t xml:space="preserve"> frameworks combine intrinsic interpretable models for rule-based logic, SHAP for feature attributions, counterfactual search for actionable recourse, and plain-language narrative templates for operational guidance (Hasan et al., 2025). A 360-degree framework augments </w:t>
      </w:r>
      <w:proofErr w:type="spellStart"/>
      <w:r w:rsidRPr="0086101B">
        <w:rPr>
          <w:rFonts w:ascii="Times New Roman" w:eastAsia="Times New Roman" w:hAnsi="Times New Roman" w:cs="Times New Roman"/>
          <w:sz w:val="24"/>
          <w:szCs w:val="24"/>
          <w:lang w:eastAsia="en-IN"/>
        </w:rPr>
        <w:t>XGBoost</w:t>
      </w:r>
      <w:proofErr w:type="spellEnd"/>
      <w:r w:rsidRPr="0086101B">
        <w:rPr>
          <w:rFonts w:ascii="Times New Roman" w:eastAsia="Times New Roman" w:hAnsi="Times New Roman" w:cs="Times New Roman"/>
          <w:sz w:val="24"/>
          <w:szCs w:val="24"/>
          <w:lang w:eastAsia="en-IN"/>
        </w:rPr>
        <w:t xml:space="preserve"> with SHAP+GIRP for global explanations, Anchors for local feature-based explanations, and </w:t>
      </w:r>
      <w:proofErr w:type="spellStart"/>
      <w:r w:rsidRPr="0086101B">
        <w:rPr>
          <w:rFonts w:ascii="Times New Roman" w:eastAsia="Times New Roman" w:hAnsi="Times New Roman" w:cs="Times New Roman"/>
          <w:sz w:val="24"/>
          <w:szCs w:val="24"/>
          <w:lang w:eastAsia="en-IN"/>
        </w:rPr>
        <w:t>ProtoDash</w:t>
      </w:r>
      <w:proofErr w:type="spellEnd"/>
      <w:r w:rsidRPr="0086101B">
        <w:rPr>
          <w:rFonts w:ascii="Times New Roman" w:eastAsia="Times New Roman" w:hAnsi="Times New Roman" w:cs="Times New Roman"/>
          <w:sz w:val="24"/>
          <w:szCs w:val="24"/>
          <w:lang w:eastAsia="en-IN"/>
        </w:rPr>
        <w:t xml:space="preserve"> for local instance-based explanations, addressing the different needs of loan officers, rejected applicants, and regulators (</w:t>
      </w:r>
      <w:proofErr w:type="spellStart"/>
      <w:r w:rsidRPr="0086101B">
        <w:rPr>
          <w:rFonts w:ascii="Times New Roman" w:eastAsia="Times New Roman" w:hAnsi="Times New Roman" w:cs="Times New Roman"/>
          <w:sz w:val="24"/>
          <w:szCs w:val="24"/>
          <w:lang w:eastAsia="en-IN"/>
        </w:rPr>
        <w:t>Demajo</w:t>
      </w:r>
      <w:proofErr w:type="spellEnd"/>
      <w:r w:rsidRPr="0086101B">
        <w:rPr>
          <w:rFonts w:ascii="Times New Roman" w:eastAsia="Times New Roman" w:hAnsi="Times New Roman" w:cs="Times New Roman"/>
          <w:sz w:val="24"/>
          <w:szCs w:val="24"/>
          <w:lang w:eastAsia="en-IN"/>
        </w:rPr>
        <w:t xml:space="preserve"> et al., 2020).</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Rule-based and scoring-based </w:t>
      </w:r>
      <w:proofErr w:type="spellStart"/>
      <w:r w:rsidRPr="0086101B">
        <w:rPr>
          <w:rFonts w:ascii="Times New Roman" w:eastAsia="Times New Roman" w:hAnsi="Times New Roman" w:cs="Times New Roman"/>
          <w:sz w:val="24"/>
          <w:szCs w:val="24"/>
          <w:lang w:eastAsia="en-IN"/>
        </w:rPr>
        <w:t>explainability</w:t>
      </w:r>
      <w:proofErr w:type="spellEnd"/>
      <w:r w:rsidRPr="0086101B">
        <w:rPr>
          <w:rFonts w:ascii="Times New Roman" w:eastAsia="Times New Roman" w:hAnsi="Times New Roman" w:cs="Times New Roman"/>
          <w:sz w:val="24"/>
          <w:szCs w:val="24"/>
          <w:lang w:eastAsia="en-IN"/>
        </w:rPr>
        <w:t xml:space="preserve"> methods in credit approval thus span a spectrum from inherently interpretable scorecards and rule-extraction algorithms to post-hoc attribution mapping for reason-code generation and counterfactual-based rule explanations, with the choice driven by the trade-off between predictive performance and the regulatory requirement for specific, auditable explanations.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i/>
          <w:iCs/>
          <w:sz w:val="24"/>
          <w:szCs w:val="24"/>
          <w:lang w:eastAsia="en-IN"/>
        </w:rPr>
        <w:t xml:space="preserve">These search results were found and </w:t>
      </w:r>
      <w:proofErr w:type="spellStart"/>
      <w:r w:rsidRPr="0086101B">
        <w:rPr>
          <w:rFonts w:ascii="Times New Roman" w:eastAsia="Times New Roman" w:hAnsi="Times New Roman" w:cs="Times New Roman"/>
          <w:i/>
          <w:iCs/>
          <w:sz w:val="24"/>
          <w:szCs w:val="24"/>
          <w:lang w:eastAsia="en-IN"/>
        </w:rPr>
        <w:t>analyzed</w:t>
      </w:r>
      <w:proofErr w:type="spellEnd"/>
      <w:r w:rsidRPr="0086101B">
        <w:rPr>
          <w:rFonts w:ascii="Times New Roman" w:eastAsia="Times New Roman" w:hAnsi="Times New Roman" w:cs="Times New Roman"/>
          <w:i/>
          <w:iCs/>
          <w:sz w:val="24"/>
          <w:szCs w:val="24"/>
          <w:lang w:eastAsia="en-IN"/>
        </w:rPr>
        <w:t xml:space="preserve"> using Consensus, an AI-powered search engine for research. Try it at </w:t>
      </w:r>
      <w:hyperlink r:id="rId5" w:history="1">
        <w:r w:rsidRPr="0086101B">
          <w:rPr>
            <w:rFonts w:ascii="Times New Roman" w:eastAsia="Times New Roman" w:hAnsi="Times New Roman" w:cs="Times New Roman"/>
            <w:i/>
            <w:iCs/>
            <w:color w:val="0000FF"/>
            <w:sz w:val="24"/>
            <w:szCs w:val="24"/>
            <w:u w:val="single"/>
            <w:lang w:eastAsia="en-IN"/>
          </w:rPr>
          <w:t>https://consensus.app</w:t>
        </w:r>
      </w:hyperlink>
      <w:r w:rsidRPr="0086101B">
        <w:rPr>
          <w:rFonts w:ascii="Times New Roman" w:eastAsia="Times New Roman" w:hAnsi="Times New Roman" w:cs="Times New Roman"/>
          <w:i/>
          <w:iCs/>
          <w:sz w:val="24"/>
          <w:szCs w:val="24"/>
          <w:lang w:eastAsia="en-IN"/>
        </w:rPr>
        <w:t>. © 2026 Consensus NLP, Inc. Personal, non-commercial use only; redistribution requires copyright holders’ consent.</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References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Bücker</w:t>
      </w:r>
      <w:proofErr w:type="spellEnd"/>
      <w:r w:rsidRPr="0086101B">
        <w:rPr>
          <w:rFonts w:ascii="Times New Roman" w:eastAsia="Times New Roman" w:hAnsi="Times New Roman" w:cs="Times New Roman"/>
          <w:sz w:val="24"/>
          <w:szCs w:val="24"/>
          <w:lang w:eastAsia="en-IN"/>
        </w:rPr>
        <w:t xml:space="preserve">, M., </w:t>
      </w:r>
      <w:proofErr w:type="spellStart"/>
      <w:r w:rsidRPr="0086101B">
        <w:rPr>
          <w:rFonts w:ascii="Times New Roman" w:eastAsia="Times New Roman" w:hAnsi="Times New Roman" w:cs="Times New Roman"/>
          <w:sz w:val="24"/>
          <w:szCs w:val="24"/>
          <w:lang w:eastAsia="en-IN"/>
        </w:rPr>
        <w:t>Szepannek</w:t>
      </w:r>
      <w:proofErr w:type="spellEnd"/>
      <w:r w:rsidRPr="0086101B">
        <w:rPr>
          <w:rFonts w:ascii="Times New Roman" w:eastAsia="Times New Roman" w:hAnsi="Times New Roman" w:cs="Times New Roman"/>
          <w:sz w:val="24"/>
          <w:szCs w:val="24"/>
          <w:lang w:eastAsia="en-IN"/>
        </w:rPr>
        <w:t xml:space="preserve">, G., </w:t>
      </w:r>
      <w:proofErr w:type="spellStart"/>
      <w:r w:rsidRPr="0086101B">
        <w:rPr>
          <w:rFonts w:ascii="Times New Roman" w:eastAsia="Times New Roman" w:hAnsi="Times New Roman" w:cs="Times New Roman"/>
          <w:sz w:val="24"/>
          <w:szCs w:val="24"/>
          <w:lang w:eastAsia="en-IN"/>
        </w:rPr>
        <w:t>Gosiewska</w:t>
      </w:r>
      <w:proofErr w:type="spellEnd"/>
      <w:r w:rsidRPr="0086101B">
        <w:rPr>
          <w:rFonts w:ascii="Times New Roman" w:eastAsia="Times New Roman" w:hAnsi="Times New Roman" w:cs="Times New Roman"/>
          <w:sz w:val="24"/>
          <w:szCs w:val="24"/>
          <w:lang w:eastAsia="en-IN"/>
        </w:rPr>
        <w:t xml:space="preserve">, A., &amp; </w:t>
      </w:r>
      <w:proofErr w:type="spellStart"/>
      <w:r w:rsidRPr="0086101B">
        <w:rPr>
          <w:rFonts w:ascii="Times New Roman" w:eastAsia="Times New Roman" w:hAnsi="Times New Roman" w:cs="Times New Roman"/>
          <w:sz w:val="24"/>
          <w:szCs w:val="24"/>
          <w:lang w:eastAsia="en-IN"/>
        </w:rPr>
        <w:t>Biecek</w:t>
      </w:r>
      <w:proofErr w:type="spellEnd"/>
      <w:r w:rsidRPr="0086101B">
        <w:rPr>
          <w:rFonts w:ascii="Times New Roman" w:eastAsia="Times New Roman" w:hAnsi="Times New Roman" w:cs="Times New Roman"/>
          <w:sz w:val="24"/>
          <w:szCs w:val="24"/>
          <w:lang w:eastAsia="en-IN"/>
        </w:rPr>
        <w:t xml:space="preserve">, P. (2020). Transparency, auditability, and </w:t>
      </w:r>
      <w:proofErr w:type="spellStart"/>
      <w:r w:rsidRPr="0086101B">
        <w:rPr>
          <w:rFonts w:ascii="Times New Roman" w:eastAsia="Times New Roman" w:hAnsi="Times New Roman" w:cs="Times New Roman"/>
          <w:sz w:val="24"/>
          <w:szCs w:val="24"/>
          <w:lang w:eastAsia="en-IN"/>
        </w:rPr>
        <w:t>explainability</w:t>
      </w:r>
      <w:proofErr w:type="spellEnd"/>
      <w:r w:rsidRPr="0086101B">
        <w:rPr>
          <w:rFonts w:ascii="Times New Roman" w:eastAsia="Times New Roman" w:hAnsi="Times New Roman" w:cs="Times New Roman"/>
          <w:sz w:val="24"/>
          <w:szCs w:val="24"/>
          <w:lang w:eastAsia="en-IN"/>
        </w:rPr>
        <w:t xml:space="preserve"> of machine learning models in credit scoring. </w:t>
      </w:r>
      <w:r w:rsidRPr="0086101B">
        <w:rPr>
          <w:rFonts w:ascii="Times New Roman" w:eastAsia="Times New Roman" w:hAnsi="Times New Roman" w:cs="Times New Roman"/>
          <w:i/>
          <w:iCs/>
          <w:sz w:val="24"/>
          <w:szCs w:val="24"/>
          <w:lang w:eastAsia="en-IN"/>
        </w:rPr>
        <w:t>Journal of the Operational Research Society, 73</w:t>
      </w:r>
      <w:r w:rsidRPr="0086101B">
        <w:rPr>
          <w:rFonts w:ascii="Times New Roman" w:eastAsia="Times New Roman" w:hAnsi="Times New Roman" w:cs="Times New Roman"/>
          <w:sz w:val="24"/>
          <w:szCs w:val="24"/>
          <w:lang w:eastAsia="en-IN"/>
        </w:rPr>
        <w:t xml:space="preserve">, 70 - 90. </w:t>
      </w:r>
      <w:hyperlink r:id="rId6" w:history="1">
        <w:r w:rsidRPr="0086101B">
          <w:rPr>
            <w:rFonts w:ascii="Times New Roman" w:eastAsia="Times New Roman" w:hAnsi="Times New Roman" w:cs="Times New Roman"/>
            <w:color w:val="0000FF"/>
            <w:sz w:val="24"/>
            <w:szCs w:val="24"/>
            <w:u w:val="single"/>
            <w:lang w:eastAsia="en-IN"/>
          </w:rPr>
          <w:t>https://doi.org/10.1080/01605682.2021.1922098</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Černevičienė</w:t>
      </w:r>
      <w:proofErr w:type="spellEnd"/>
      <w:r w:rsidRPr="0086101B">
        <w:rPr>
          <w:rFonts w:ascii="Times New Roman" w:eastAsia="Times New Roman" w:hAnsi="Times New Roman" w:cs="Times New Roman"/>
          <w:sz w:val="24"/>
          <w:szCs w:val="24"/>
          <w:lang w:eastAsia="en-IN"/>
        </w:rPr>
        <w:t xml:space="preserve">, J., &amp; </w:t>
      </w:r>
      <w:proofErr w:type="spellStart"/>
      <w:r w:rsidRPr="0086101B">
        <w:rPr>
          <w:rFonts w:ascii="Times New Roman" w:eastAsia="Times New Roman" w:hAnsi="Times New Roman" w:cs="Times New Roman"/>
          <w:sz w:val="24"/>
          <w:szCs w:val="24"/>
          <w:lang w:eastAsia="en-IN"/>
        </w:rPr>
        <w:t>Kabašinskas</w:t>
      </w:r>
      <w:proofErr w:type="spellEnd"/>
      <w:r w:rsidRPr="0086101B">
        <w:rPr>
          <w:rFonts w:ascii="Times New Roman" w:eastAsia="Times New Roman" w:hAnsi="Times New Roman" w:cs="Times New Roman"/>
          <w:sz w:val="24"/>
          <w:szCs w:val="24"/>
          <w:lang w:eastAsia="en-IN"/>
        </w:rPr>
        <w:t xml:space="preserve">, A. (2024). Explainable artificial intelligence (XAI) in finance: a systematic literature review. </w:t>
      </w:r>
      <w:r w:rsidRPr="0086101B">
        <w:rPr>
          <w:rFonts w:ascii="Times New Roman" w:eastAsia="Times New Roman" w:hAnsi="Times New Roman" w:cs="Times New Roman"/>
          <w:i/>
          <w:iCs/>
          <w:sz w:val="24"/>
          <w:szCs w:val="24"/>
          <w:lang w:eastAsia="en-IN"/>
        </w:rPr>
        <w:t>Artificial Intelligence Review, 57</w:t>
      </w:r>
      <w:r w:rsidRPr="0086101B">
        <w:rPr>
          <w:rFonts w:ascii="Times New Roman" w:eastAsia="Times New Roman" w:hAnsi="Times New Roman" w:cs="Times New Roman"/>
          <w:sz w:val="24"/>
          <w:szCs w:val="24"/>
          <w:lang w:eastAsia="en-IN"/>
        </w:rPr>
        <w:t xml:space="preserve">. </w:t>
      </w:r>
      <w:hyperlink r:id="rId7" w:history="1">
        <w:r w:rsidRPr="0086101B">
          <w:rPr>
            <w:rFonts w:ascii="Times New Roman" w:eastAsia="Times New Roman" w:hAnsi="Times New Roman" w:cs="Times New Roman"/>
            <w:color w:val="0000FF"/>
            <w:sz w:val="24"/>
            <w:szCs w:val="24"/>
            <w:u w:val="single"/>
            <w:lang w:eastAsia="en-IN"/>
          </w:rPr>
          <w:t>https://doi.org/10.1007/s10462-024-10854-8</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Chen, Z.-Y., Wang, X., Huang, Y., &amp; </w:t>
      </w:r>
      <w:proofErr w:type="spellStart"/>
      <w:r w:rsidRPr="0086101B">
        <w:rPr>
          <w:rFonts w:ascii="Times New Roman" w:eastAsia="Times New Roman" w:hAnsi="Times New Roman" w:cs="Times New Roman"/>
          <w:sz w:val="24"/>
          <w:szCs w:val="24"/>
          <w:lang w:eastAsia="en-IN"/>
        </w:rPr>
        <w:t>Jia</w:t>
      </w:r>
      <w:proofErr w:type="spellEnd"/>
      <w:r w:rsidRPr="0086101B">
        <w:rPr>
          <w:rFonts w:ascii="Times New Roman" w:eastAsia="Times New Roman" w:hAnsi="Times New Roman" w:cs="Times New Roman"/>
          <w:sz w:val="24"/>
          <w:szCs w:val="24"/>
          <w:lang w:eastAsia="en-IN"/>
        </w:rPr>
        <w:t xml:space="preserve">, T. (2023). An Interpretable Loan Credit Evaluation Method Based on Rule Representation Learner. 580-594. </w:t>
      </w:r>
      <w:hyperlink r:id="rId8" w:history="1">
        <w:r w:rsidRPr="0086101B">
          <w:rPr>
            <w:rFonts w:ascii="Times New Roman" w:eastAsia="Times New Roman" w:hAnsi="Times New Roman" w:cs="Times New Roman"/>
            <w:color w:val="0000FF"/>
            <w:sz w:val="24"/>
            <w:szCs w:val="24"/>
            <w:u w:val="single"/>
            <w:lang w:eastAsia="en-IN"/>
          </w:rPr>
          <w:t>https://doi.org/10.48550/arxiv.2304.00731</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Dai, Y. (2026). Research and Analysis of Explainable Machine Learning Methods for Credit Scoring and Loan Approval. </w:t>
      </w:r>
      <w:r w:rsidRPr="0086101B">
        <w:rPr>
          <w:rFonts w:ascii="Times New Roman" w:eastAsia="Times New Roman" w:hAnsi="Times New Roman" w:cs="Times New Roman"/>
          <w:i/>
          <w:iCs/>
          <w:sz w:val="24"/>
          <w:szCs w:val="24"/>
          <w:lang w:eastAsia="en-IN"/>
        </w:rPr>
        <w:t>Science and Technology of Engineering, Chemistry and Environmental Protection</w:t>
      </w:r>
      <w:r w:rsidRPr="0086101B">
        <w:rPr>
          <w:rFonts w:ascii="Times New Roman" w:eastAsia="Times New Roman" w:hAnsi="Times New Roman" w:cs="Times New Roman"/>
          <w:sz w:val="24"/>
          <w:szCs w:val="24"/>
          <w:lang w:eastAsia="en-IN"/>
        </w:rPr>
        <w:t xml:space="preserve">. </w:t>
      </w:r>
      <w:hyperlink r:id="rId9" w:history="1">
        <w:r w:rsidRPr="0086101B">
          <w:rPr>
            <w:rFonts w:ascii="Times New Roman" w:eastAsia="Times New Roman" w:hAnsi="Times New Roman" w:cs="Times New Roman"/>
            <w:color w:val="0000FF"/>
            <w:sz w:val="24"/>
            <w:szCs w:val="24"/>
            <w:u w:val="single"/>
            <w:lang w:eastAsia="en-IN"/>
          </w:rPr>
          <w:t>https://doi.org/10.61173/jap4ag43</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Dastile</w:t>
      </w:r>
      <w:proofErr w:type="spellEnd"/>
      <w:r w:rsidRPr="0086101B">
        <w:rPr>
          <w:rFonts w:ascii="Times New Roman" w:eastAsia="Times New Roman" w:hAnsi="Times New Roman" w:cs="Times New Roman"/>
          <w:sz w:val="24"/>
          <w:szCs w:val="24"/>
          <w:lang w:eastAsia="en-IN"/>
        </w:rPr>
        <w:t xml:space="preserve">, X., &amp; </w:t>
      </w:r>
      <w:proofErr w:type="spellStart"/>
      <w:r w:rsidRPr="0086101B">
        <w:rPr>
          <w:rFonts w:ascii="Times New Roman" w:eastAsia="Times New Roman" w:hAnsi="Times New Roman" w:cs="Times New Roman"/>
          <w:sz w:val="24"/>
          <w:szCs w:val="24"/>
          <w:lang w:eastAsia="en-IN"/>
        </w:rPr>
        <w:t>Çelik</w:t>
      </w:r>
      <w:proofErr w:type="spellEnd"/>
      <w:r w:rsidRPr="0086101B">
        <w:rPr>
          <w:rFonts w:ascii="Times New Roman" w:eastAsia="Times New Roman" w:hAnsi="Times New Roman" w:cs="Times New Roman"/>
          <w:sz w:val="24"/>
          <w:szCs w:val="24"/>
          <w:lang w:eastAsia="en-IN"/>
        </w:rPr>
        <w:t xml:space="preserve">, T. (2021). Making Deep Learning-Based Predictions for Credit Scoring Explainable. </w:t>
      </w:r>
      <w:r w:rsidRPr="0086101B">
        <w:rPr>
          <w:rFonts w:ascii="Times New Roman" w:eastAsia="Times New Roman" w:hAnsi="Times New Roman" w:cs="Times New Roman"/>
          <w:i/>
          <w:iCs/>
          <w:sz w:val="24"/>
          <w:szCs w:val="24"/>
          <w:lang w:eastAsia="en-IN"/>
        </w:rPr>
        <w:t>IEEE Access, 9</w:t>
      </w:r>
      <w:r w:rsidRPr="0086101B">
        <w:rPr>
          <w:rFonts w:ascii="Times New Roman" w:eastAsia="Times New Roman" w:hAnsi="Times New Roman" w:cs="Times New Roman"/>
          <w:sz w:val="24"/>
          <w:szCs w:val="24"/>
          <w:lang w:eastAsia="en-IN"/>
        </w:rPr>
        <w:t xml:space="preserve">, 50426-50440. </w:t>
      </w:r>
      <w:hyperlink r:id="rId10" w:history="1">
        <w:r w:rsidRPr="0086101B">
          <w:rPr>
            <w:rFonts w:ascii="Times New Roman" w:eastAsia="Times New Roman" w:hAnsi="Times New Roman" w:cs="Times New Roman"/>
            <w:color w:val="0000FF"/>
            <w:sz w:val="24"/>
            <w:szCs w:val="24"/>
            <w:u w:val="single"/>
            <w:lang w:eastAsia="en-IN"/>
          </w:rPr>
          <w:t>https://doi.org/10.1109/access.2021.3068854</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Dastile</w:t>
      </w:r>
      <w:proofErr w:type="spellEnd"/>
      <w:r w:rsidRPr="0086101B">
        <w:rPr>
          <w:rFonts w:ascii="Times New Roman" w:eastAsia="Times New Roman" w:hAnsi="Times New Roman" w:cs="Times New Roman"/>
          <w:sz w:val="24"/>
          <w:szCs w:val="24"/>
          <w:lang w:eastAsia="en-IN"/>
        </w:rPr>
        <w:t xml:space="preserve">, X., </w:t>
      </w:r>
      <w:proofErr w:type="spellStart"/>
      <w:r w:rsidRPr="0086101B">
        <w:rPr>
          <w:rFonts w:ascii="Times New Roman" w:eastAsia="Times New Roman" w:hAnsi="Times New Roman" w:cs="Times New Roman"/>
          <w:sz w:val="24"/>
          <w:szCs w:val="24"/>
          <w:lang w:eastAsia="en-IN"/>
        </w:rPr>
        <w:t>Çelik</w:t>
      </w:r>
      <w:proofErr w:type="spellEnd"/>
      <w:r w:rsidRPr="0086101B">
        <w:rPr>
          <w:rFonts w:ascii="Times New Roman" w:eastAsia="Times New Roman" w:hAnsi="Times New Roman" w:cs="Times New Roman"/>
          <w:sz w:val="24"/>
          <w:szCs w:val="24"/>
          <w:lang w:eastAsia="en-IN"/>
        </w:rPr>
        <w:t xml:space="preserve">, T., &amp; </w:t>
      </w:r>
      <w:proofErr w:type="spellStart"/>
      <w:r w:rsidRPr="0086101B">
        <w:rPr>
          <w:rFonts w:ascii="Times New Roman" w:eastAsia="Times New Roman" w:hAnsi="Times New Roman" w:cs="Times New Roman"/>
          <w:sz w:val="24"/>
          <w:szCs w:val="24"/>
          <w:lang w:eastAsia="en-IN"/>
        </w:rPr>
        <w:t>Vandierendonck</w:t>
      </w:r>
      <w:proofErr w:type="spellEnd"/>
      <w:r w:rsidRPr="0086101B">
        <w:rPr>
          <w:rFonts w:ascii="Times New Roman" w:eastAsia="Times New Roman" w:hAnsi="Times New Roman" w:cs="Times New Roman"/>
          <w:sz w:val="24"/>
          <w:szCs w:val="24"/>
          <w:lang w:eastAsia="en-IN"/>
        </w:rPr>
        <w:t xml:space="preserve">, H. (2022). Model-agnostic Counterfactual Explanations in Credit Scoring. </w:t>
      </w:r>
      <w:r w:rsidRPr="0086101B">
        <w:rPr>
          <w:rFonts w:ascii="Times New Roman" w:eastAsia="Times New Roman" w:hAnsi="Times New Roman" w:cs="Times New Roman"/>
          <w:i/>
          <w:iCs/>
          <w:sz w:val="24"/>
          <w:szCs w:val="24"/>
          <w:lang w:eastAsia="en-IN"/>
        </w:rPr>
        <w:t>IEEE Access, PP</w:t>
      </w:r>
      <w:r w:rsidRPr="0086101B">
        <w:rPr>
          <w:rFonts w:ascii="Times New Roman" w:eastAsia="Times New Roman" w:hAnsi="Times New Roman" w:cs="Times New Roman"/>
          <w:sz w:val="24"/>
          <w:szCs w:val="24"/>
          <w:lang w:eastAsia="en-IN"/>
        </w:rPr>
        <w:t xml:space="preserve">, 1-1. </w:t>
      </w:r>
      <w:hyperlink r:id="rId11" w:history="1">
        <w:r w:rsidRPr="0086101B">
          <w:rPr>
            <w:rFonts w:ascii="Times New Roman" w:eastAsia="Times New Roman" w:hAnsi="Times New Roman" w:cs="Times New Roman"/>
            <w:color w:val="0000FF"/>
            <w:sz w:val="24"/>
            <w:szCs w:val="24"/>
            <w:u w:val="single"/>
            <w:lang w:eastAsia="en-IN"/>
          </w:rPr>
          <w:t>https://doi.org/10.1109/access.2022.3177783</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lastRenderedPageBreak/>
        <w:t xml:space="preserve">Davis, R., Lo, A. W., Mishra, S. K., </w:t>
      </w:r>
      <w:proofErr w:type="spellStart"/>
      <w:r w:rsidRPr="0086101B">
        <w:rPr>
          <w:rFonts w:ascii="Times New Roman" w:eastAsia="Times New Roman" w:hAnsi="Times New Roman" w:cs="Times New Roman"/>
          <w:sz w:val="24"/>
          <w:szCs w:val="24"/>
          <w:lang w:eastAsia="en-IN"/>
        </w:rPr>
        <w:t>Nourian</w:t>
      </w:r>
      <w:proofErr w:type="spellEnd"/>
      <w:r w:rsidRPr="0086101B">
        <w:rPr>
          <w:rFonts w:ascii="Times New Roman" w:eastAsia="Times New Roman" w:hAnsi="Times New Roman" w:cs="Times New Roman"/>
          <w:sz w:val="24"/>
          <w:szCs w:val="24"/>
          <w:lang w:eastAsia="en-IN"/>
        </w:rPr>
        <w:t xml:space="preserve">, A., Singh, M., Wu, N., &amp; Zhang, R. (2023). Explainable Machine Learning Models of Consumer Credit Risk. 9 - 39. </w:t>
      </w:r>
      <w:hyperlink r:id="rId12" w:history="1">
        <w:r w:rsidRPr="0086101B">
          <w:rPr>
            <w:rFonts w:ascii="Times New Roman" w:eastAsia="Times New Roman" w:hAnsi="Times New Roman" w:cs="Times New Roman"/>
            <w:color w:val="0000FF"/>
            <w:sz w:val="24"/>
            <w:szCs w:val="24"/>
            <w:u w:val="single"/>
            <w:lang w:eastAsia="en-IN"/>
          </w:rPr>
          <w:t>https://doi.org/10.2139/ssrn.4006840</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Demajo</w:t>
      </w:r>
      <w:proofErr w:type="spellEnd"/>
      <w:r w:rsidRPr="0086101B">
        <w:rPr>
          <w:rFonts w:ascii="Times New Roman" w:eastAsia="Times New Roman" w:hAnsi="Times New Roman" w:cs="Times New Roman"/>
          <w:sz w:val="24"/>
          <w:szCs w:val="24"/>
          <w:lang w:eastAsia="en-IN"/>
        </w:rPr>
        <w:t xml:space="preserve">, L. M., Vella, V., &amp; </w:t>
      </w:r>
      <w:proofErr w:type="spellStart"/>
      <w:r w:rsidRPr="0086101B">
        <w:rPr>
          <w:rFonts w:ascii="Times New Roman" w:eastAsia="Times New Roman" w:hAnsi="Times New Roman" w:cs="Times New Roman"/>
          <w:sz w:val="24"/>
          <w:szCs w:val="24"/>
          <w:lang w:eastAsia="en-IN"/>
        </w:rPr>
        <w:t>Dingli</w:t>
      </w:r>
      <w:proofErr w:type="spellEnd"/>
      <w:r w:rsidRPr="0086101B">
        <w:rPr>
          <w:rFonts w:ascii="Times New Roman" w:eastAsia="Times New Roman" w:hAnsi="Times New Roman" w:cs="Times New Roman"/>
          <w:sz w:val="24"/>
          <w:szCs w:val="24"/>
          <w:lang w:eastAsia="en-IN"/>
        </w:rPr>
        <w:t xml:space="preserve">, A. (2020). Explainable AI for Interpretable Credit Scoring. </w:t>
      </w:r>
      <w:proofErr w:type="spellStart"/>
      <w:r w:rsidRPr="0086101B">
        <w:rPr>
          <w:rFonts w:ascii="Times New Roman" w:eastAsia="Times New Roman" w:hAnsi="Times New Roman" w:cs="Times New Roman"/>
          <w:i/>
          <w:iCs/>
          <w:sz w:val="24"/>
          <w:szCs w:val="24"/>
          <w:lang w:eastAsia="en-IN"/>
        </w:rPr>
        <w:t>ArXiv</w:t>
      </w:r>
      <w:proofErr w:type="spellEnd"/>
      <w:r w:rsidRPr="0086101B">
        <w:rPr>
          <w:rFonts w:ascii="Times New Roman" w:eastAsia="Times New Roman" w:hAnsi="Times New Roman" w:cs="Times New Roman"/>
          <w:i/>
          <w:iCs/>
          <w:sz w:val="24"/>
          <w:szCs w:val="24"/>
          <w:lang w:eastAsia="en-IN"/>
        </w:rPr>
        <w:t>, abs/2012.03749</w:t>
      </w:r>
      <w:r w:rsidRPr="0086101B">
        <w:rPr>
          <w:rFonts w:ascii="Times New Roman" w:eastAsia="Times New Roman" w:hAnsi="Times New Roman" w:cs="Times New Roman"/>
          <w:sz w:val="24"/>
          <w:szCs w:val="24"/>
          <w:lang w:eastAsia="en-IN"/>
        </w:rPr>
        <w:t xml:space="preserve">. </w:t>
      </w:r>
      <w:hyperlink r:id="rId13" w:history="1">
        <w:r w:rsidRPr="0086101B">
          <w:rPr>
            <w:rFonts w:ascii="Times New Roman" w:eastAsia="Times New Roman" w:hAnsi="Times New Roman" w:cs="Times New Roman"/>
            <w:color w:val="0000FF"/>
            <w:sz w:val="24"/>
            <w:szCs w:val="24"/>
            <w:u w:val="single"/>
            <w:lang w:eastAsia="en-IN"/>
          </w:rPr>
          <w:t>https://doi.org/10.5121/csit.2020.101516</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Dumitrescu</w:t>
      </w:r>
      <w:proofErr w:type="spellEnd"/>
      <w:r w:rsidRPr="0086101B">
        <w:rPr>
          <w:rFonts w:ascii="Times New Roman" w:eastAsia="Times New Roman" w:hAnsi="Times New Roman" w:cs="Times New Roman"/>
          <w:sz w:val="24"/>
          <w:szCs w:val="24"/>
          <w:lang w:eastAsia="en-IN"/>
        </w:rPr>
        <w:t xml:space="preserve">, E., </w:t>
      </w:r>
      <w:proofErr w:type="spellStart"/>
      <w:r w:rsidRPr="0086101B">
        <w:rPr>
          <w:rFonts w:ascii="Times New Roman" w:eastAsia="Times New Roman" w:hAnsi="Times New Roman" w:cs="Times New Roman"/>
          <w:sz w:val="24"/>
          <w:szCs w:val="24"/>
          <w:lang w:eastAsia="en-IN"/>
        </w:rPr>
        <w:t>Hué</w:t>
      </w:r>
      <w:proofErr w:type="spellEnd"/>
      <w:r w:rsidRPr="0086101B">
        <w:rPr>
          <w:rFonts w:ascii="Times New Roman" w:eastAsia="Times New Roman" w:hAnsi="Times New Roman" w:cs="Times New Roman"/>
          <w:sz w:val="24"/>
          <w:szCs w:val="24"/>
          <w:lang w:eastAsia="en-IN"/>
        </w:rPr>
        <w:t xml:space="preserve">, S., </w:t>
      </w:r>
      <w:proofErr w:type="spellStart"/>
      <w:r w:rsidRPr="0086101B">
        <w:rPr>
          <w:rFonts w:ascii="Times New Roman" w:eastAsia="Times New Roman" w:hAnsi="Times New Roman" w:cs="Times New Roman"/>
          <w:sz w:val="24"/>
          <w:szCs w:val="24"/>
          <w:lang w:eastAsia="en-IN"/>
        </w:rPr>
        <w:t>Hurlin</w:t>
      </w:r>
      <w:proofErr w:type="spellEnd"/>
      <w:r w:rsidRPr="0086101B">
        <w:rPr>
          <w:rFonts w:ascii="Times New Roman" w:eastAsia="Times New Roman" w:hAnsi="Times New Roman" w:cs="Times New Roman"/>
          <w:sz w:val="24"/>
          <w:szCs w:val="24"/>
          <w:lang w:eastAsia="en-IN"/>
        </w:rPr>
        <w:t xml:space="preserve">, C., &amp; </w:t>
      </w:r>
      <w:proofErr w:type="spellStart"/>
      <w:r w:rsidRPr="0086101B">
        <w:rPr>
          <w:rFonts w:ascii="Times New Roman" w:eastAsia="Times New Roman" w:hAnsi="Times New Roman" w:cs="Times New Roman"/>
          <w:sz w:val="24"/>
          <w:szCs w:val="24"/>
          <w:lang w:eastAsia="en-IN"/>
        </w:rPr>
        <w:t>Tokpavi</w:t>
      </w:r>
      <w:proofErr w:type="spellEnd"/>
      <w:r w:rsidRPr="0086101B">
        <w:rPr>
          <w:rFonts w:ascii="Times New Roman" w:eastAsia="Times New Roman" w:hAnsi="Times New Roman" w:cs="Times New Roman"/>
          <w:sz w:val="24"/>
          <w:szCs w:val="24"/>
          <w:lang w:eastAsia="en-IN"/>
        </w:rPr>
        <w:t xml:space="preserve">, S. (2021). Machine learning for credit scoring: Improving logistic regression with non-linear decision-tree effects. </w:t>
      </w:r>
      <w:r w:rsidRPr="0086101B">
        <w:rPr>
          <w:rFonts w:ascii="Times New Roman" w:eastAsia="Times New Roman" w:hAnsi="Times New Roman" w:cs="Times New Roman"/>
          <w:i/>
          <w:iCs/>
          <w:sz w:val="24"/>
          <w:szCs w:val="24"/>
          <w:lang w:eastAsia="en-IN"/>
        </w:rPr>
        <w:t xml:space="preserve">Eur. J. </w:t>
      </w:r>
      <w:proofErr w:type="spellStart"/>
      <w:r w:rsidRPr="0086101B">
        <w:rPr>
          <w:rFonts w:ascii="Times New Roman" w:eastAsia="Times New Roman" w:hAnsi="Times New Roman" w:cs="Times New Roman"/>
          <w:i/>
          <w:iCs/>
          <w:sz w:val="24"/>
          <w:szCs w:val="24"/>
          <w:lang w:eastAsia="en-IN"/>
        </w:rPr>
        <w:t>Oper</w:t>
      </w:r>
      <w:proofErr w:type="spellEnd"/>
      <w:r w:rsidRPr="0086101B">
        <w:rPr>
          <w:rFonts w:ascii="Times New Roman" w:eastAsia="Times New Roman" w:hAnsi="Times New Roman" w:cs="Times New Roman"/>
          <w:i/>
          <w:iCs/>
          <w:sz w:val="24"/>
          <w:szCs w:val="24"/>
          <w:lang w:eastAsia="en-IN"/>
        </w:rPr>
        <w:t>. Res., 297</w:t>
      </w:r>
      <w:r w:rsidRPr="0086101B">
        <w:rPr>
          <w:rFonts w:ascii="Times New Roman" w:eastAsia="Times New Roman" w:hAnsi="Times New Roman" w:cs="Times New Roman"/>
          <w:sz w:val="24"/>
          <w:szCs w:val="24"/>
          <w:lang w:eastAsia="en-IN"/>
        </w:rPr>
        <w:t xml:space="preserve">, 1178-1192. </w:t>
      </w:r>
      <w:hyperlink r:id="rId14" w:history="1">
        <w:r w:rsidRPr="0086101B">
          <w:rPr>
            <w:rFonts w:ascii="Times New Roman" w:eastAsia="Times New Roman" w:hAnsi="Times New Roman" w:cs="Times New Roman"/>
            <w:color w:val="0000FF"/>
            <w:sz w:val="24"/>
            <w:szCs w:val="24"/>
            <w:u w:val="single"/>
            <w:lang w:eastAsia="en-IN"/>
          </w:rPr>
          <w:t>https://doi.org/10.1016/j.ejor.2021.06.053</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Geng</w:t>
      </w:r>
      <w:proofErr w:type="spellEnd"/>
      <w:r w:rsidRPr="0086101B">
        <w:rPr>
          <w:rFonts w:ascii="Times New Roman" w:eastAsia="Times New Roman" w:hAnsi="Times New Roman" w:cs="Times New Roman"/>
          <w:sz w:val="24"/>
          <w:szCs w:val="24"/>
          <w:lang w:eastAsia="en-IN"/>
        </w:rPr>
        <w:t xml:space="preserve">, Z., </w:t>
      </w:r>
      <w:proofErr w:type="spellStart"/>
      <w:r w:rsidRPr="0086101B">
        <w:rPr>
          <w:rFonts w:ascii="Times New Roman" w:eastAsia="Times New Roman" w:hAnsi="Times New Roman" w:cs="Times New Roman"/>
          <w:sz w:val="24"/>
          <w:szCs w:val="24"/>
          <w:lang w:eastAsia="en-IN"/>
        </w:rPr>
        <w:t>Schleich</w:t>
      </w:r>
      <w:proofErr w:type="spellEnd"/>
      <w:r w:rsidRPr="0086101B">
        <w:rPr>
          <w:rFonts w:ascii="Times New Roman" w:eastAsia="Times New Roman" w:hAnsi="Times New Roman" w:cs="Times New Roman"/>
          <w:sz w:val="24"/>
          <w:szCs w:val="24"/>
          <w:lang w:eastAsia="en-IN"/>
        </w:rPr>
        <w:t xml:space="preserve">, M., &amp; </w:t>
      </w:r>
      <w:proofErr w:type="spellStart"/>
      <w:r w:rsidRPr="0086101B">
        <w:rPr>
          <w:rFonts w:ascii="Times New Roman" w:eastAsia="Times New Roman" w:hAnsi="Times New Roman" w:cs="Times New Roman"/>
          <w:sz w:val="24"/>
          <w:szCs w:val="24"/>
          <w:lang w:eastAsia="en-IN"/>
        </w:rPr>
        <w:t>Suciu</w:t>
      </w:r>
      <w:proofErr w:type="spellEnd"/>
      <w:r w:rsidRPr="0086101B">
        <w:rPr>
          <w:rFonts w:ascii="Times New Roman" w:eastAsia="Times New Roman" w:hAnsi="Times New Roman" w:cs="Times New Roman"/>
          <w:sz w:val="24"/>
          <w:szCs w:val="24"/>
          <w:lang w:eastAsia="en-IN"/>
        </w:rPr>
        <w:t xml:space="preserve">, D. (2022). Computing Rule-Based Explanations by Leveraging Counterfactuals. </w:t>
      </w:r>
      <w:r w:rsidRPr="0086101B">
        <w:rPr>
          <w:rFonts w:ascii="Times New Roman" w:eastAsia="Times New Roman" w:hAnsi="Times New Roman" w:cs="Times New Roman"/>
          <w:i/>
          <w:iCs/>
          <w:sz w:val="24"/>
          <w:szCs w:val="24"/>
          <w:lang w:eastAsia="en-IN"/>
        </w:rPr>
        <w:t>Proc. VLDB Endow., 16</w:t>
      </w:r>
      <w:r w:rsidRPr="0086101B">
        <w:rPr>
          <w:rFonts w:ascii="Times New Roman" w:eastAsia="Times New Roman" w:hAnsi="Times New Roman" w:cs="Times New Roman"/>
          <w:sz w:val="24"/>
          <w:szCs w:val="24"/>
          <w:lang w:eastAsia="en-IN"/>
        </w:rPr>
        <w:t xml:space="preserve">, 420-432. </w:t>
      </w:r>
      <w:hyperlink r:id="rId15" w:history="1">
        <w:r w:rsidRPr="0086101B">
          <w:rPr>
            <w:rFonts w:ascii="Times New Roman" w:eastAsia="Times New Roman" w:hAnsi="Times New Roman" w:cs="Times New Roman"/>
            <w:color w:val="0000FF"/>
            <w:sz w:val="24"/>
            <w:szCs w:val="24"/>
            <w:u w:val="single"/>
            <w:lang w:eastAsia="en-IN"/>
          </w:rPr>
          <w:t>https://doi.org/10.48550/arxiv.2210.17071</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Hasan, M. S., </w:t>
      </w:r>
      <w:proofErr w:type="spellStart"/>
      <w:r w:rsidRPr="0086101B">
        <w:rPr>
          <w:rFonts w:ascii="Times New Roman" w:eastAsia="Times New Roman" w:hAnsi="Times New Roman" w:cs="Times New Roman"/>
          <w:sz w:val="24"/>
          <w:szCs w:val="24"/>
          <w:lang w:eastAsia="en-IN"/>
        </w:rPr>
        <w:t>Jakir</w:t>
      </w:r>
      <w:proofErr w:type="spellEnd"/>
      <w:r w:rsidRPr="0086101B">
        <w:rPr>
          <w:rFonts w:ascii="Times New Roman" w:eastAsia="Times New Roman" w:hAnsi="Times New Roman" w:cs="Times New Roman"/>
          <w:sz w:val="24"/>
          <w:szCs w:val="24"/>
          <w:lang w:eastAsia="en-IN"/>
        </w:rPr>
        <w:t xml:space="preserve">, T., Hossain, A., Khan, M. T., Sultana, K. S., </w:t>
      </w:r>
      <w:proofErr w:type="spellStart"/>
      <w:r w:rsidRPr="0086101B">
        <w:rPr>
          <w:rFonts w:ascii="Times New Roman" w:eastAsia="Times New Roman" w:hAnsi="Times New Roman" w:cs="Times New Roman"/>
          <w:sz w:val="24"/>
          <w:szCs w:val="24"/>
          <w:lang w:eastAsia="en-IN"/>
        </w:rPr>
        <w:t>Ahad</w:t>
      </w:r>
      <w:proofErr w:type="spellEnd"/>
      <w:r w:rsidRPr="0086101B">
        <w:rPr>
          <w:rFonts w:ascii="Times New Roman" w:eastAsia="Times New Roman" w:hAnsi="Times New Roman" w:cs="Times New Roman"/>
          <w:sz w:val="24"/>
          <w:szCs w:val="24"/>
          <w:lang w:eastAsia="en-IN"/>
        </w:rPr>
        <w:t xml:space="preserve">, M., </w:t>
      </w:r>
      <w:proofErr w:type="spellStart"/>
      <w:r w:rsidRPr="0086101B">
        <w:rPr>
          <w:rFonts w:ascii="Times New Roman" w:eastAsia="Times New Roman" w:hAnsi="Times New Roman" w:cs="Times New Roman"/>
          <w:sz w:val="24"/>
          <w:szCs w:val="24"/>
          <w:lang w:eastAsia="en-IN"/>
        </w:rPr>
        <w:t>Shakir</w:t>
      </w:r>
      <w:proofErr w:type="spellEnd"/>
      <w:r w:rsidRPr="0086101B">
        <w:rPr>
          <w:rFonts w:ascii="Times New Roman" w:eastAsia="Times New Roman" w:hAnsi="Times New Roman" w:cs="Times New Roman"/>
          <w:sz w:val="24"/>
          <w:szCs w:val="24"/>
          <w:lang w:eastAsia="en-IN"/>
        </w:rPr>
        <w:t xml:space="preserve">, M., </w:t>
      </w:r>
      <w:proofErr w:type="spellStart"/>
      <w:r w:rsidRPr="0086101B">
        <w:rPr>
          <w:rFonts w:ascii="Times New Roman" w:eastAsia="Times New Roman" w:hAnsi="Times New Roman" w:cs="Times New Roman"/>
          <w:sz w:val="24"/>
          <w:szCs w:val="24"/>
          <w:lang w:eastAsia="en-IN"/>
        </w:rPr>
        <w:t>Billah</w:t>
      </w:r>
      <w:proofErr w:type="spellEnd"/>
      <w:r w:rsidRPr="0086101B">
        <w:rPr>
          <w:rFonts w:ascii="Times New Roman" w:eastAsia="Times New Roman" w:hAnsi="Times New Roman" w:cs="Times New Roman"/>
          <w:sz w:val="24"/>
          <w:szCs w:val="24"/>
          <w:lang w:eastAsia="en-IN"/>
        </w:rPr>
        <w:t xml:space="preserve">, M., Rahman, M. S., </w:t>
      </w:r>
      <w:proofErr w:type="spellStart"/>
      <w:r w:rsidRPr="0086101B">
        <w:rPr>
          <w:rFonts w:ascii="Times New Roman" w:eastAsia="Times New Roman" w:hAnsi="Times New Roman" w:cs="Times New Roman"/>
          <w:sz w:val="24"/>
          <w:szCs w:val="24"/>
          <w:lang w:eastAsia="en-IN"/>
        </w:rPr>
        <w:t>Udden</w:t>
      </w:r>
      <w:proofErr w:type="spellEnd"/>
      <w:r w:rsidRPr="0086101B">
        <w:rPr>
          <w:rFonts w:ascii="Times New Roman" w:eastAsia="Times New Roman" w:hAnsi="Times New Roman" w:cs="Times New Roman"/>
          <w:sz w:val="24"/>
          <w:szCs w:val="24"/>
          <w:lang w:eastAsia="en-IN"/>
        </w:rPr>
        <w:t xml:space="preserve">, M. A., Jahan, S., &amp; R. (2025). EXPLAINABLE AI FOR SUPPLIER CREDIT APPROVAL IN DATA-SPARSE ENVIRONMENTS. </w:t>
      </w:r>
      <w:r w:rsidRPr="0086101B">
        <w:rPr>
          <w:rFonts w:ascii="Times New Roman" w:eastAsia="Times New Roman" w:hAnsi="Times New Roman" w:cs="Times New Roman"/>
          <w:i/>
          <w:iCs/>
          <w:sz w:val="24"/>
          <w:szCs w:val="24"/>
          <w:lang w:eastAsia="en-IN"/>
        </w:rPr>
        <w:t>International Journal of Applied Mathematics</w:t>
      </w:r>
      <w:r w:rsidRPr="0086101B">
        <w:rPr>
          <w:rFonts w:ascii="Times New Roman" w:eastAsia="Times New Roman" w:hAnsi="Times New Roman" w:cs="Times New Roman"/>
          <w:sz w:val="24"/>
          <w:szCs w:val="24"/>
          <w:lang w:eastAsia="en-IN"/>
        </w:rPr>
        <w:t xml:space="preserve">. </w:t>
      </w:r>
      <w:hyperlink r:id="rId16" w:history="1">
        <w:r w:rsidRPr="0086101B">
          <w:rPr>
            <w:rFonts w:ascii="Times New Roman" w:eastAsia="Times New Roman" w:hAnsi="Times New Roman" w:cs="Times New Roman"/>
            <w:color w:val="0000FF"/>
            <w:sz w:val="24"/>
            <w:szCs w:val="24"/>
            <w:u w:val="single"/>
            <w:lang w:eastAsia="en-IN"/>
          </w:rPr>
          <w:t>https://doi.org/10.12732/ijam.v38i5s.380</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Misheva</w:t>
      </w:r>
      <w:proofErr w:type="spellEnd"/>
      <w:r w:rsidRPr="0086101B">
        <w:rPr>
          <w:rFonts w:ascii="Times New Roman" w:eastAsia="Times New Roman" w:hAnsi="Times New Roman" w:cs="Times New Roman"/>
          <w:sz w:val="24"/>
          <w:szCs w:val="24"/>
          <w:lang w:eastAsia="en-IN"/>
        </w:rPr>
        <w:t xml:space="preserve">, B. H., </w:t>
      </w:r>
      <w:proofErr w:type="spellStart"/>
      <w:r w:rsidRPr="0086101B">
        <w:rPr>
          <w:rFonts w:ascii="Times New Roman" w:eastAsia="Times New Roman" w:hAnsi="Times New Roman" w:cs="Times New Roman"/>
          <w:sz w:val="24"/>
          <w:szCs w:val="24"/>
          <w:lang w:eastAsia="en-IN"/>
        </w:rPr>
        <w:t>Osterrieder</w:t>
      </w:r>
      <w:proofErr w:type="spellEnd"/>
      <w:r w:rsidRPr="0086101B">
        <w:rPr>
          <w:rFonts w:ascii="Times New Roman" w:eastAsia="Times New Roman" w:hAnsi="Times New Roman" w:cs="Times New Roman"/>
          <w:sz w:val="24"/>
          <w:szCs w:val="24"/>
          <w:lang w:eastAsia="en-IN"/>
        </w:rPr>
        <w:t xml:space="preserve">, J., </w:t>
      </w:r>
      <w:proofErr w:type="spellStart"/>
      <w:r w:rsidRPr="0086101B">
        <w:rPr>
          <w:rFonts w:ascii="Times New Roman" w:eastAsia="Times New Roman" w:hAnsi="Times New Roman" w:cs="Times New Roman"/>
          <w:sz w:val="24"/>
          <w:szCs w:val="24"/>
          <w:lang w:eastAsia="en-IN"/>
        </w:rPr>
        <w:t>Hirsa</w:t>
      </w:r>
      <w:proofErr w:type="spellEnd"/>
      <w:r w:rsidRPr="0086101B">
        <w:rPr>
          <w:rFonts w:ascii="Times New Roman" w:eastAsia="Times New Roman" w:hAnsi="Times New Roman" w:cs="Times New Roman"/>
          <w:sz w:val="24"/>
          <w:szCs w:val="24"/>
          <w:lang w:eastAsia="en-IN"/>
        </w:rPr>
        <w:t xml:space="preserve">, A., Kulkarni, O., &amp; Lin, S. (2021). Explainable AI in Credit Risk Management. </w:t>
      </w:r>
      <w:proofErr w:type="spellStart"/>
      <w:r w:rsidRPr="0086101B">
        <w:rPr>
          <w:rFonts w:ascii="Times New Roman" w:eastAsia="Times New Roman" w:hAnsi="Times New Roman" w:cs="Times New Roman"/>
          <w:i/>
          <w:iCs/>
          <w:sz w:val="24"/>
          <w:szCs w:val="24"/>
          <w:lang w:eastAsia="en-IN"/>
        </w:rPr>
        <w:t>ArXiv</w:t>
      </w:r>
      <w:proofErr w:type="spellEnd"/>
      <w:r w:rsidRPr="0086101B">
        <w:rPr>
          <w:rFonts w:ascii="Times New Roman" w:eastAsia="Times New Roman" w:hAnsi="Times New Roman" w:cs="Times New Roman"/>
          <w:i/>
          <w:iCs/>
          <w:sz w:val="24"/>
          <w:szCs w:val="24"/>
          <w:lang w:eastAsia="en-IN"/>
        </w:rPr>
        <w:t>, abs/2103.00949</w:t>
      </w:r>
      <w:r w:rsidRPr="0086101B">
        <w:rPr>
          <w:rFonts w:ascii="Times New Roman" w:eastAsia="Times New Roman" w:hAnsi="Times New Roman" w:cs="Times New Roman"/>
          <w:sz w:val="24"/>
          <w:szCs w:val="24"/>
          <w:lang w:eastAsia="en-IN"/>
        </w:rPr>
        <w:t xml:space="preserve">. </w:t>
      </w:r>
      <w:hyperlink r:id="rId17" w:history="1">
        <w:r w:rsidRPr="0086101B">
          <w:rPr>
            <w:rFonts w:ascii="Times New Roman" w:eastAsia="Times New Roman" w:hAnsi="Times New Roman" w:cs="Times New Roman"/>
            <w:color w:val="0000FF"/>
            <w:sz w:val="24"/>
            <w:szCs w:val="24"/>
            <w:u w:val="single"/>
            <w:lang w:eastAsia="en-IN"/>
          </w:rPr>
          <w:t>https://doi.org/10.2139/ssrn.3795322</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Rudin</w:t>
      </w:r>
      <w:proofErr w:type="spellEnd"/>
      <w:r w:rsidRPr="0086101B">
        <w:rPr>
          <w:rFonts w:ascii="Times New Roman" w:eastAsia="Times New Roman" w:hAnsi="Times New Roman" w:cs="Times New Roman"/>
          <w:sz w:val="24"/>
          <w:szCs w:val="24"/>
          <w:lang w:eastAsia="en-IN"/>
        </w:rPr>
        <w:t xml:space="preserve">, C., &amp; </w:t>
      </w:r>
      <w:proofErr w:type="spellStart"/>
      <w:r w:rsidRPr="0086101B">
        <w:rPr>
          <w:rFonts w:ascii="Times New Roman" w:eastAsia="Times New Roman" w:hAnsi="Times New Roman" w:cs="Times New Roman"/>
          <w:sz w:val="24"/>
          <w:szCs w:val="24"/>
          <w:lang w:eastAsia="en-IN"/>
        </w:rPr>
        <w:t>Shaposhnik</w:t>
      </w:r>
      <w:proofErr w:type="spellEnd"/>
      <w:r w:rsidRPr="0086101B">
        <w:rPr>
          <w:rFonts w:ascii="Times New Roman" w:eastAsia="Times New Roman" w:hAnsi="Times New Roman" w:cs="Times New Roman"/>
          <w:sz w:val="24"/>
          <w:szCs w:val="24"/>
          <w:lang w:eastAsia="en-IN"/>
        </w:rPr>
        <w:t xml:space="preserve">, Y. (2019). Globally-Consistent Rule-Based Summary-Explanations for Machine Learning Models: Application to Credit-Risk Evaluation. </w:t>
      </w:r>
      <w:r w:rsidRPr="0086101B">
        <w:rPr>
          <w:rFonts w:ascii="Times New Roman" w:eastAsia="Times New Roman" w:hAnsi="Times New Roman" w:cs="Times New Roman"/>
          <w:i/>
          <w:iCs/>
          <w:sz w:val="24"/>
          <w:szCs w:val="24"/>
          <w:lang w:eastAsia="en-IN"/>
        </w:rPr>
        <w:t>J. Mach. Learn. Res., 24</w:t>
      </w:r>
      <w:r w:rsidRPr="0086101B">
        <w:rPr>
          <w:rFonts w:ascii="Times New Roman" w:eastAsia="Times New Roman" w:hAnsi="Times New Roman" w:cs="Times New Roman"/>
          <w:sz w:val="24"/>
          <w:szCs w:val="24"/>
          <w:lang w:eastAsia="en-IN"/>
        </w:rPr>
        <w:t xml:space="preserve">, 16:1-16:44. </w:t>
      </w:r>
      <w:hyperlink r:id="rId18" w:history="1">
        <w:r w:rsidRPr="0086101B">
          <w:rPr>
            <w:rFonts w:ascii="Times New Roman" w:eastAsia="Times New Roman" w:hAnsi="Times New Roman" w:cs="Times New Roman"/>
            <w:color w:val="0000FF"/>
            <w:sz w:val="24"/>
            <w:szCs w:val="24"/>
            <w:u w:val="single"/>
            <w:lang w:eastAsia="en-IN"/>
          </w:rPr>
          <w:t>https://doi.org/10.2139/ssrn.3395422</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Sachan</w:t>
      </w:r>
      <w:proofErr w:type="spellEnd"/>
      <w:r w:rsidRPr="0086101B">
        <w:rPr>
          <w:rFonts w:ascii="Times New Roman" w:eastAsia="Times New Roman" w:hAnsi="Times New Roman" w:cs="Times New Roman"/>
          <w:sz w:val="24"/>
          <w:szCs w:val="24"/>
          <w:lang w:eastAsia="en-IN"/>
        </w:rPr>
        <w:t xml:space="preserve">, S., Yang, J., Xu, D., Benavides, D., &amp; Li, Y. (2020). An explainable AI decision-support-system to automate loan underwriting. </w:t>
      </w:r>
      <w:r w:rsidRPr="0086101B">
        <w:rPr>
          <w:rFonts w:ascii="Times New Roman" w:eastAsia="Times New Roman" w:hAnsi="Times New Roman" w:cs="Times New Roman"/>
          <w:i/>
          <w:iCs/>
          <w:sz w:val="24"/>
          <w:szCs w:val="24"/>
          <w:lang w:eastAsia="en-IN"/>
        </w:rPr>
        <w:t>Expert Syst. Appl., 144</w:t>
      </w:r>
      <w:r w:rsidRPr="0086101B">
        <w:rPr>
          <w:rFonts w:ascii="Times New Roman" w:eastAsia="Times New Roman" w:hAnsi="Times New Roman" w:cs="Times New Roman"/>
          <w:sz w:val="24"/>
          <w:szCs w:val="24"/>
          <w:lang w:eastAsia="en-IN"/>
        </w:rPr>
        <w:t xml:space="preserve">, 113100. </w:t>
      </w:r>
      <w:hyperlink r:id="rId19" w:history="1">
        <w:r w:rsidRPr="0086101B">
          <w:rPr>
            <w:rFonts w:ascii="Times New Roman" w:eastAsia="Times New Roman" w:hAnsi="Times New Roman" w:cs="Times New Roman"/>
            <w:color w:val="0000FF"/>
            <w:sz w:val="24"/>
            <w:szCs w:val="24"/>
            <w:u w:val="single"/>
            <w:lang w:eastAsia="en-IN"/>
          </w:rPr>
          <w:t>https://doi.org/10.1016/j.eswa.2019.113100</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Seela</w:t>
      </w:r>
      <w:proofErr w:type="spellEnd"/>
      <w:r w:rsidRPr="0086101B">
        <w:rPr>
          <w:rFonts w:ascii="Times New Roman" w:eastAsia="Times New Roman" w:hAnsi="Times New Roman" w:cs="Times New Roman"/>
          <w:sz w:val="24"/>
          <w:szCs w:val="24"/>
          <w:lang w:eastAsia="en-IN"/>
        </w:rPr>
        <w:t xml:space="preserve">, V. (2026). Explainable Machine Learning for Credit Risk Assessment: A Comparative Study of Interpretable Approaches in Consumer Lending. </w:t>
      </w:r>
      <w:r w:rsidRPr="0086101B">
        <w:rPr>
          <w:rFonts w:ascii="Times New Roman" w:eastAsia="Times New Roman" w:hAnsi="Times New Roman" w:cs="Times New Roman"/>
          <w:i/>
          <w:iCs/>
          <w:sz w:val="24"/>
          <w:szCs w:val="24"/>
          <w:lang w:eastAsia="en-IN"/>
        </w:rPr>
        <w:t>SSRN Electronic Journal</w:t>
      </w:r>
      <w:r w:rsidRPr="0086101B">
        <w:rPr>
          <w:rFonts w:ascii="Times New Roman" w:eastAsia="Times New Roman" w:hAnsi="Times New Roman" w:cs="Times New Roman"/>
          <w:sz w:val="24"/>
          <w:szCs w:val="24"/>
          <w:lang w:eastAsia="en-IN"/>
        </w:rPr>
        <w:t xml:space="preserve">. </w:t>
      </w:r>
      <w:hyperlink r:id="rId20" w:history="1">
        <w:r w:rsidRPr="0086101B">
          <w:rPr>
            <w:rFonts w:ascii="Times New Roman" w:eastAsia="Times New Roman" w:hAnsi="Times New Roman" w:cs="Times New Roman"/>
            <w:color w:val="0000FF"/>
            <w:sz w:val="24"/>
            <w:szCs w:val="24"/>
            <w:u w:val="single"/>
            <w:lang w:eastAsia="en-IN"/>
          </w:rPr>
          <w:t>https://doi.org/10.2139/ssrn.6659002</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Vinutna</w:t>
      </w:r>
      <w:proofErr w:type="spellEnd"/>
      <w:r w:rsidRPr="0086101B">
        <w:rPr>
          <w:rFonts w:ascii="Times New Roman" w:eastAsia="Times New Roman" w:hAnsi="Times New Roman" w:cs="Times New Roman"/>
          <w:sz w:val="24"/>
          <w:szCs w:val="24"/>
          <w:lang w:eastAsia="en-IN"/>
        </w:rPr>
        <w:t xml:space="preserve">, S., Jo, A. A., </w:t>
      </w:r>
      <w:proofErr w:type="spellStart"/>
      <w:r w:rsidRPr="0086101B">
        <w:rPr>
          <w:rFonts w:ascii="Times New Roman" w:eastAsia="Times New Roman" w:hAnsi="Times New Roman" w:cs="Times New Roman"/>
          <w:sz w:val="24"/>
          <w:szCs w:val="24"/>
          <w:lang w:eastAsia="en-IN"/>
        </w:rPr>
        <w:t>Ebin</w:t>
      </w:r>
      <w:proofErr w:type="spellEnd"/>
      <w:r w:rsidRPr="0086101B">
        <w:rPr>
          <w:rFonts w:ascii="Times New Roman" w:eastAsia="Times New Roman" w:hAnsi="Times New Roman" w:cs="Times New Roman"/>
          <w:sz w:val="24"/>
          <w:szCs w:val="24"/>
          <w:lang w:eastAsia="en-IN"/>
        </w:rPr>
        <w:t xml:space="preserve">, R., &amp; Raj, D. (2026). Auditable Credit Scoring: Explainable Models with Stable Rationales on Tabular Data. </w:t>
      </w:r>
      <w:r w:rsidRPr="0086101B">
        <w:rPr>
          <w:rFonts w:ascii="Times New Roman" w:eastAsia="Times New Roman" w:hAnsi="Times New Roman" w:cs="Times New Roman"/>
          <w:i/>
          <w:iCs/>
          <w:sz w:val="24"/>
          <w:szCs w:val="24"/>
          <w:lang w:eastAsia="en-IN"/>
        </w:rPr>
        <w:t>2026 International Conference on AI-Driven Smart Systems and Ubiquitous Computing (ICAUC)</w:t>
      </w:r>
      <w:r w:rsidRPr="0086101B">
        <w:rPr>
          <w:rFonts w:ascii="Times New Roman" w:eastAsia="Times New Roman" w:hAnsi="Times New Roman" w:cs="Times New Roman"/>
          <w:sz w:val="24"/>
          <w:szCs w:val="24"/>
          <w:lang w:eastAsia="en-IN"/>
        </w:rPr>
        <w:t xml:space="preserve">, 1023-1029. </w:t>
      </w:r>
      <w:hyperlink r:id="rId21" w:history="1">
        <w:r w:rsidRPr="0086101B">
          <w:rPr>
            <w:rFonts w:ascii="Times New Roman" w:eastAsia="Times New Roman" w:hAnsi="Times New Roman" w:cs="Times New Roman"/>
            <w:color w:val="0000FF"/>
            <w:sz w:val="24"/>
            <w:szCs w:val="24"/>
            <w:u w:val="single"/>
            <w:lang w:eastAsia="en-IN"/>
          </w:rPr>
          <w:t>https://doi.org/10.1109/icauc68182.2026.11441016</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Wang, W., Lesner, C., Ran, A., </w:t>
      </w:r>
      <w:proofErr w:type="spellStart"/>
      <w:r w:rsidRPr="0086101B">
        <w:rPr>
          <w:rFonts w:ascii="Times New Roman" w:eastAsia="Times New Roman" w:hAnsi="Times New Roman" w:cs="Times New Roman"/>
          <w:sz w:val="24"/>
          <w:szCs w:val="24"/>
          <w:lang w:eastAsia="en-IN"/>
        </w:rPr>
        <w:t>Rukonic</w:t>
      </w:r>
      <w:proofErr w:type="spellEnd"/>
      <w:r w:rsidRPr="0086101B">
        <w:rPr>
          <w:rFonts w:ascii="Times New Roman" w:eastAsia="Times New Roman" w:hAnsi="Times New Roman" w:cs="Times New Roman"/>
          <w:sz w:val="24"/>
          <w:szCs w:val="24"/>
          <w:lang w:eastAsia="en-IN"/>
        </w:rPr>
        <w:t xml:space="preserve">, M., </w:t>
      </w:r>
      <w:proofErr w:type="spellStart"/>
      <w:r w:rsidRPr="0086101B">
        <w:rPr>
          <w:rFonts w:ascii="Times New Roman" w:eastAsia="Times New Roman" w:hAnsi="Times New Roman" w:cs="Times New Roman"/>
          <w:sz w:val="24"/>
          <w:szCs w:val="24"/>
          <w:lang w:eastAsia="en-IN"/>
        </w:rPr>
        <w:t>Xue</w:t>
      </w:r>
      <w:proofErr w:type="spellEnd"/>
      <w:r w:rsidRPr="0086101B">
        <w:rPr>
          <w:rFonts w:ascii="Times New Roman" w:eastAsia="Times New Roman" w:hAnsi="Times New Roman" w:cs="Times New Roman"/>
          <w:sz w:val="24"/>
          <w:szCs w:val="24"/>
          <w:lang w:eastAsia="en-IN"/>
        </w:rPr>
        <w:t xml:space="preserve">, J., &amp; </w:t>
      </w:r>
      <w:proofErr w:type="spellStart"/>
      <w:r w:rsidRPr="0086101B">
        <w:rPr>
          <w:rFonts w:ascii="Times New Roman" w:eastAsia="Times New Roman" w:hAnsi="Times New Roman" w:cs="Times New Roman"/>
          <w:sz w:val="24"/>
          <w:szCs w:val="24"/>
          <w:lang w:eastAsia="en-IN"/>
        </w:rPr>
        <w:t>Shiu</w:t>
      </w:r>
      <w:proofErr w:type="spellEnd"/>
      <w:r w:rsidRPr="0086101B">
        <w:rPr>
          <w:rFonts w:ascii="Times New Roman" w:eastAsia="Times New Roman" w:hAnsi="Times New Roman" w:cs="Times New Roman"/>
          <w:sz w:val="24"/>
          <w:szCs w:val="24"/>
          <w:lang w:eastAsia="en-IN"/>
        </w:rPr>
        <w:t xml:space="preserve">, E. C. (2020). Using Small Business Banking Data for Explainable Credit Risk Scoring. 13396-13401. </w:t>
      </w:r>
      <w:hyperlink r:id="rId22" w:history="1">
        <w:r w:rsidRPr="0086101B">
          <w:rPr>
            <w:rFonts w:ascii="Times New Roman" w:eastAsia="Times New Roman" w:hAnsi="Times New Roman" w:cs="Times New Roman"/>
            <w:color w:val="0000FF"/>
            <w:sz w:val="24"/>
            <w:szCs w:val="24"/>
            <w:u w:val="single"/>
            <w:lang w:eastAsia="en-IN"/>
          </w:rPr>
          <w:t>https://doi.org/10.1609/aaai.v34i08.7055</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Xin, Q. (2026). Explainable and Fair Credit Risk Scoring with Counterfactual Explanations: A Reproducible Evaluation on the German Credit Dataset (HELOC-Motivated). </w:t>
      </w:r>
      <w:r w:rsidRPr="0086101B">
        <w:rPr>
          <w:rFonts w:ascii="Times New Roman" w:eastAsia="Times New Roman" w:hAnsi="Times New Roman" w:cs="Times New Roman"/>
          <w:i/>
          <w:iCs/>
          <w:sz w:val="24"/>
          <w:szCs w:val="24"/>
          <w:lang w:eastAsia="en-IN"/>
        </w:rPr>
        <w:t>J-INTECH</w:t>
      </w:r>
      <w:r w:rsidRPr="0086101B">
        <w:rPr>
          <w:rFonts w:ascii="Times New Roman" w:eastAsia="Times New Roman" w:hAnsi="Times New Roman" w:cs="Times New Roman"/>
          <w:sz w:val="24"/>
          <w:szCs w:val="24"/>
          <w:lang w:eastAsia="en-IN"/>
        </w:rPr>
        <w:t xml:space="preserve">. </w:t>
      </w:r>
      <w:hyperlink r:id="rId23" w:history="1">
        <w:r w:rsidRPr="0086101B">
          <w:rPr>
            <w:rFonts w:ascii="Times New Roman" w:eastAsia="Times New Roman" w:hAnsi="Times New Roman" w:cs="Times New Roman"/>
            <w:color w:val="0000FF"/>
            <w:sz w:val="24"/>
            <w:szCs w:val="24"/>
            <w:u w:val="single"/>
            <w:lang w:eastAsia="en-IN"/>
          </w:rPr>
          <w:t>https://doi.org/10.32664/j-intech.v14i02.2228</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lastRenderedPageBreak/>
        <w:t xml:space="preserve">Zhao, S., Wang, H., &amp; Davison, N. R. (2024). Profit-Maximizing Cost-Sensitive Credit Scoring with LLM-Extracted Policy Constraints. </w:t>
      </w:r>
      <w:r w:rsidRPr="0086101B">
        <w:rPr>
          <w:rFonts w:ascii="Times New Roman" w:eastAsia="Times New Roman" w:hAnsi="Times New Roman" w:cs="Times New Roman"/>
          <w:i/>
          <w:iCs/>
          <w:sz w:val="24"/>
          <w:szCs w:val="24"/>
          <w:lang w:eastAsia="en-IN"/>
        </w:rPr>
        <w:t>Journal of Advanced Computing Systems</w:t>
      </w:r>
      <w:r w:rsidRPr="0086101B">
        <w:rPr>
          <w:rFonts w:ascii="Times New Roman" w:eastAsia="Times New Roman" w:hAnsi="Times New Roman" w:cs="Times New Roman"/>
          <w:sz w:val="24"/>
          <w:szCs w:val="24"/>
          <w:lang w:eastAsia="en-IN"/>
        </w:rPr>
        <w:t xml:space="preserve">. </w:t>
      </w:r>
      <w:hyperlink r:id="rId24" w:history="1">
        <w:r w:rsidRPr="0086101B">
          <w:rPr>
            <w:rFonts w:ascii="Times New Roman" w:eastAsia="Times New Roman" w:hAnsi="Times New Roman" w:cs="Times New Roman"/>
            <w:color w:val="0000FF"/>
            <w:sz w:val="24"/>
            <w:szCs w:val="24"/>
            <w:u w:val="single"/>
            <w:lang w:eastAsia="en-IN"/>
          </w:rPr>
          <w:t>https://doi.org/10.69987/jacs.2024.40307</w:t>
        </w:r>
      </w:hyperlink>
    </w:p>
    <w:p w:rsidR="0086101B" w:rsidRDefault="0086101B" w:rsidP="0086101B">
      <w:pPr>
        <w:pStyle w:val="Heading1"/>
      </w:pPr>
      <w:r>
        <w:br/>
      </w:r>
      <w:r>
        <w:br/>
      </w:r>
      <w:r>
        <w:br/>
      </w:r>
      <w:r>
        <w:br/>
      </w:r>
      <w:r>
        <w:t xml:space="preserve">For a </w:t>
      </w:r>
      <w:r>
        <w:rPr>
          <w:rStyle w:val="Strong"/>
          <w:b/>
          <w:bCs/>
        </w:rPr>
        <w:t>90-minute prototype</w:t>
      </w:r>
      <w:r>
        <w:t xml:space="preserve">, </w:t>
      </w:r>
      <w:r>
        <w:rPr>
          <w:rStyle w:val="Strong"/>
          <w:b/>
          <w:bCs/>
        </w:rPr>
        <w:t>rule-based reason codes</w:t>
      </w:r>
      <w:r>
        <w:t xml:space="preserve"> are more suitable than SHAP/LIME, which fit black-box models better.</w:t>
      </w:r>
    </w:p>
    <w:p w:rsidR="0086101B" w:rsidRDefault="0086101B" w:rsidP="0086101B">
      <w:pPr>
        <w:pStyle w:val="NormalWeb"/>
      </w:pPr>
      <w:r>
        <w:t xml:space="preserve">For your use case, the key sub-questions are </w:t>
      </w:r>
      <w:r>
        <w:rPr>
          <w:rStyle w:val="Strong"/>
        </w:rPr>
        <w:t>how SHAP/LIME create top reasons</w:t>
      </w:r>
      <w:r>
        <w:t xml:space="preserve">, </w:t>
      </w:r>
      <w:r>
        <w:rPr>
          <w:rStyle w:val="Strong"/>
        </w:rPr>
        <w:t>how rule-based reason codes create top reasons</w:t>
      </w:r>
      <w:r>
        <w:t xml:space="preserve">, and </w:t>
      </w:r>
      <w:r>
        <w:rPr>
          <w:rStyle w:val="Strong"/>
        </w:rPr>
        <w:t>which approach fits a fast loan/scholarship explainer prototype</w:t>
      </w:r>
      <w:r>
        <w:t>.</w:t>
      </w:r>
    </w:p>
    <w:p w:rsidR="0086101B" w:rsidRDefault="0086101B" w:rsidP="0086101B">
      <w:pPr>
        <w:pStyle w:val="Heading2"/>
      </w:pPr>
      <w:r>
        <w:t>SHAP/LIME Reasons</w:t>
      </w:r>
    </w:p>
    <w:p w:rsidR="0086101B" w:rsidRDefault="0086101B" w:rsidP="0086101B">
      <w:pPr>
        <w:pStyle w:val="NormalWeb"/>
      </w:pPr>
      <w:r>
        <w:t>SHAP and LIME generate human-readable reasons by attributing a prediction to input features for one applicant at a time, which is the standard local-explanation pattern in credit scoring (</w:t>
      </w:r>
      <w:proofErr w:type="spellStart"/>
      <w:r>
        <w:t>Bücker</w:t>
      </w:r>
      <w:proofErr w:type="spellEnd"/>
      <w:r>
        <w:t xml:space="preserve"> et al., 2020; </w:t>
      </w:r>
      <w:proofErr w:type="spellStart"/>
      <w:r>
        <w:t>Černevičienė</w:t>
      </w:r>
      <w:proofErr w:type="spellEnd"/>
      <w:r>
        <w:t xml:space="preserve"> &amp; </w:t>
      </w:r>
      <w:proofErr w:type="spellStart"/>
      <w:r>
        <w:t>Kabašinskas</w:t>
      </w:r>
      <w:proofErr w:type="spellEnd"/>
      <w:r>
        <w:t xml:space="preserve">, 2024; </w:t>
      </w:r>
      <w:proofErr w:type="spellStart"/>
      <w:r>
        <w:t>Misheva</w:t>
      </w:r>
      <w:proofErr w:type="spellEnd"/>
      <w:r>
        <w:t xml:space="preserve"> et al., 2021). SHAP computes per-feature contributions using Shapley values, while LIME fits a simple local surrogate model around the applicant to identify the most influential features (Wang et al., 2020; </w:t>
      </w:r>
      <w:proofErr w:type="spellStart"/>
      <w:r>
        <w:t>Dastile</w:t>
      </w:r>
      <w:proofErr w:type="spellEnd"/>
      <w:r>
        <w:t xml:space="preserve"> &amp; </w:t>
      </w:r>
      <w:proofErr w:type="spellStart"/>
      <w:r>
        <w:t>Çelik</w:t>
      </w:r>
      <w:proofErr w:type="spellEnd"/>
      <w:r>
        <w:t>, 2021; Hasan et al., 2025). These methods are useful for ranking “top reasons,” but attribution methods mainly explain what drove the score, not what policy rule was triggered or what specific institution-approved reason code should be shown to the user (</w:t>
      </w:r>
      <w:proofErr w:type="spellStart"/>
      <w:r>
        <w:t>Bücker</w:t>
      </w:r>
      <w:proofErr w:type="spellEnd"/>
      <w:r>
        <w:t xml:space="preserve"> et al., 2020; Xin, 2026).</w:t>
      </w:r>
    </w:p>
    <w:p w:rsidR="0086101B" w:rsidRDefault="0086101B" w:rsidP="0086101B">
      <w:pPr>
        <w:numPr>
          <w:ilvl w:val="0"/>
          <w:numId w:val="1"/>
        </w:numPr>
        <w:spacing w:before="100" w:beforeAutospacing="1" w:after="100" w:afterAutospacing="1" w:line="240" w:lineRule="auto"/>
      </w:pPr>
      <w:r>
        <w:rPr>
          <w:rStyle w:val="Strong"/>
        </w:rPr>
        <w:t>SHAP</w:t>
      </w:r>
      <w:r>
        <w:t xml:space="preserve"> is locally accurate and widely used for local and global explanations in credit models (</w:t>
      </w:r>
      <w:proofErr w:type="spellStart"/>
      <w:r>
        <w:t>Bücker</w:t>
      </w:r>
      <w:proofErr w:type="spellEnd"/>
      <w:r>
        <w:t xml:space="preserve"> et al., 2020; </w:t>
      </w:r>
      <w:proofErr w:type="spellStart"/>
      <w:r>
        <w:t>Misheva</w:t>
      </w:r>
      <w:proofErr w:type="spellEnd"/>
      <w:r>
        <w:t xml:space="preserve"> et al., 2021; Hasan et al., 2025).</w:t>
      </w:r>
    </w:p>
    <w:p w:rsidR="0086101B" w:rsidRDefault="0086101B" w:rsidP="0086101B">
      <w:pPr>
        <w:numPr>
          <w:ilvl w:val="0"/>
          <w:numId w:val="1"/>
        </w:numPr>
        <w:spacing w:before="100" w:beforeAutospacing="1" w:after="100" w:afterAutospacing="1" w:line="240" w:lineRule="auto"/>
      </w:pPr>
      <w:r>
        <w:rPr>
          <w:rStyle w:val="Strong"/>
        </w:rPr>
        <w:t>LIME</w:t>
      </w:r>
      <w:r>
        <w:t xml:space="preserve"> tends to return a sparse set of influential features, which can be readable in a demo (</w:t>
      </w:r>
      <w:proofErr w:type="spellStart"/>
      <w:r>
        <w:t>Bücker</w:t>
      </w:r>
      <w:proofErr w:type="spellEnd"/>
      <w:r>
        <w:t xml:space="preserve"> et al., 2020; </w:t>
      </w:r>
      <w:proofErr w:type="spellStart"/>
      <w:r>
        <w:t>Černevičienė</w:t>
      </w:r>
      <w:proofErr w:type="spellEnd"/>
      <w:r>
        <w:t xml:space="preserve"> &amp; </w:t>
      </w:r>
      <w:proofErr w:type="spellStart"/>
      <w:r>
        <w:t>Kabašinskas</w:t>
      </w:r>
      <w:proofErr w:type="spellEnd"/>
      <w:r>
        <w:t>, 2024).</w:t>
      </w:r>
    </w:p>
    <w:p w:rsidR="0086101B" w:rsidRDefault="0086101B" w:rsidP="0086101B">
      <w:pPr>
        <w:numPr>
          <w:ilvl w:val="0"/>
          <w:numId w:val="1"/>
        </w:numPr>
        <w:spacing w:before="100" w:beforeAutospacing="1" w:after="100" w:afterAutospacing="1" w:line="240" w:lineRule="auto"/>
      </w:pPr>
      <w:r>
        <w:t xml:space="preserve">SHAP/LIME add </w:t>
      </w:r>
      <w:r>
        <w:rPr>
          <w:rStyle w:val="Strong"/>
        </w:rPr>
        <w:t>implementation overhead</w:t>
      </w:r>
      <w:r>
        <w:t xml:space="preserve"> and can have stability, runtime, or reliability limits in high-stakes settings (</w:t>
      </w:r>
      <w:proofErr w:type="spellStart"/>
      <w:r>
        <w:t>Dumitrescu</w:t>
      </w:r>
      <w:proofErr w:type="spellEnd"/>
      <w:r>
        <w:t xml:space="preserve"> et al., 2021; </w:t>
      </w:r>
      <w:proofErr w:type="spellStart"/>
      <w:r>
        <w:t>Misheva</w:t>
      </w:r>
      <w:proofErr w:type="spellEnd"/>
      <w:r>
        <w:t xml:space="preserve"> et al., 2021; Chen et al., 2023).</w:t>
      </w:r>
    </w:p>
    <w:p w:rsidR="0086101B" w:rsidRDefault="0086101B" w:rsidP="0086101B">
      <w:pPr>
        <w:pStyle w:val="Heading2"/>
      </w:pPr>
      <w:r>
        <w:t>Rule-Based Reason Codes</w:t>
      </w:r>
    </w:p>
    <w:p w:rsidR="0086101B" w:rsidRDefault="0086101B" w:rsidP="0086101B">
      <w:pPr>
        <w:pStyle w:val="NormalWeb"/>
      </w:pPr>
      <w:r>
        <w:t xml:space="preserve">Rule-based systems generate top reasons by linking the decision directly to explicit rules, score thresholds, or mapped adverse-action codes based on factors actually used by the model </w:t>
      </w:r>
      <w:r>
        <w:lastRenderedPageBreak/>
        <w:t>(Wang et al., 2020; Zhao et al., 2024). In interpretable credit systems, reasons can come from activated rules, weighted scorecard factors, or a fixed mapping from the largest risk-increasing factor to a reason code (</w:t>
      </w:r>
      <w:proofErr w:type="spellStart"/>
      <w:r>
        <w:t>Bücker</w:t>
      </w:r>
      <w:proofErr w:type="spellEnd"/>
      <w:r>
        <w:t xml:space="preserve"> et al., 2020; Wang et al., 2020; </w:t>
      </w:r>
      <w:proofErr w:type="spellStart"/>
      <w:r>
        <w:t>Sachan</w:t>
      </w:r>
      <w:proofErr w:type="spellEnd"/>
      <w:r>
        <w:t xml:space="preserve"> et al., 2020). This style is closer to what regulators and applicants need because it yields specific, auditable, policy-consistent explanations rather than only feature rankings (Xin, 2026; </w:t>
      </w:r>
      <w:proofErr w:type="spellStart"/>
      <w:r>
        <w:t>Sachan</w:t>
      </w:r>
      <w:proofErr w:type="spellEnd"/>
      <w:r>
        <w:t xml:space="preserve"> et al., 2020; </w:t>
      </w:r>
      <w:proofErr w:type="spellStart"/>
      <w:r>
        <w:t>Seela</w:t>
      </w:r>
      <w:proofErr w:type="spellEnd"/>
      <w:r>
        <w:t>, 2026).</w:t>
      </w:r>
    </w:p>
    <w:p w:rsidR="0086101B" w:rsidRDefault="0086101B" w:rsidP="0086101B">
      <w:pPr>
        <w:pStyle w:val="NormalWeb"/>
      </w:pPr>
      <w:r>
        <w:t>&lt;</w:t>
      </w:r>
      <w:proofErr w:type="spellStart"/>
      <w:r>
        <w:t>mermaid_diagram</w:t>
      </w:r>
      <w:proofErr w:type="spellEnd"/>
      <w:r>
        <w:t xml:space="preserve"> chart="flowchart LR; A[Applicant Data] --&gt; B{Check Rules}; B --&gt;|Hard fail| C[Reject]; B --&gt;|Borderline| D[Needs Review]; B --&gt;|Pass| E[Approve]; C --&gt; F[Top Reasons]; D --&gt; F; E --&gt; F; F --&gt; G[Confidence]; F --&gt; H[Fairness Flag]" title="Prototype Explanation Flow" descriptions='@@</w:t>
      </w:r>
      <w:proofErr w:type="spellStart"/>
      <w:r>
        <w:t>json</w:t>
      </w:r>
      <w:proofErr w:type="spellEnd"/>
      <w:r>
        <w:t xml:space="preserve">@@:{"Applicant </w:t>
      </w:r>
      <w:proofErr w:type="spellStart"/>
      <w:r>
        <w:t>Data":"Mock</w:t>
      </w:r>
      <w:proofErr w:type="spellEnd"/>
      <w:r>
        <w:t xml:space="preserve"> fields such as score, income band, eligibility flags, and missing </w:t>
      </w:r>
      <w:proofErr w:type="spellStart"/>
      <w:r>
        <w:t>documents.","Check</w:t>
      </w:r>
      <w:proofErr w:type="spellEnd"/>
      <w:r>
        <w:t xml:space="preserve"> </w:t>
      </w:r>
      <w:proofErr w:type="spellStart"/>
      <w:r>
        <w:t>Rules":"Apply</w:t>
      </w:r>
      <w:proofErr w:type="spellEnd"/>
      <w:r>
        <w:t xml:space="preserve"> explicit thresholds, document checks, and eligibility logic agreed </w:t>
      </w:r>
      <w:proofErr w:type="spellStart"/>
      <w:r>
        <w:t>beforehand.","Top</w:t>
      </w:r>
      <w:proofErr w:type="spellEnd"/>
      <w:r>
        <w:t xml:space="preserve"> </w:t>
      </w:r>
      <w:proofErr w:type="spellStart"/>
      <w:r>
        <w:t>Reasons":"Return</w:t>
      </w:r>
      <w:proofErr w:type="spellEnd"/>
      <w:r>
        <w:t xml:space="preserve"> simple policy-linked reasons from triggered rules, not sensitive </w:t>
      </w:r>
      <w:proofErr w:type="spellStart"/>
      <w:r>
        <w:t>attributes.","Fairness</w:t>
      </w:r>
      <w:proofErr w:type="spellEnd"/>
      <w:r>
        <w:t xml:space="preserve"> </w:t>
      </w:r>
      <w:proofErr w:type="spellStart"/>
      <w:r>
        <w:t>Flag":"Escalate</w:t>
      </w:r>
      <w:proofErr w:type="spellEnd"/>
      <w:r>
        <w:t xml:space="preserve"> cases with proxy-risk or uncertain logic for human review."}' /&gt; </w:t>
      </w:r>
      <w:r>
        <w:rPr>
          <w:rStyle w:val="Strong"/>
        </w:rPr>
        <w:t>Figure 1:</w:t>
      </w:r>
      <w:r>
        <w:t xml:space="preserve"> Rule-based decision and explanation workflow for prototype</w:t>
      </w:r>
    </w:p>
    <w:p w:rsidR="0086101B" w:rsidRDefault="0086101B" w:rsidP="0086101B">
      <w:pPr>
        <w:numPr>
          <w:ilvl w:val="0"/>
          <w:numId w:val="2"/>
        </w:numPr>
        <w:spacing w:before="100" w:beforeAutospacing="1" w:after="100" w:afterAutospacing="1" w:line="240" w:lineRule="auto"/>
      </w:pPr>
      <w:r>
        <w:rPr>
          <w:rStyle w:val="Strong"/>
        </w:rPr>
        <w:t>Scorecards and rules</w:t>
      </w:r>
      <w:r>
        <w:t xml:space="preserve"> are straightforward to explain because the decision logic is explicit (Wang et al., 2020; </w:t>
      </w:r>
      <w:proofErr w:type="spellStart"/>
      <w:r>
        <w:t>Bücker</w:t>
      </w:r>
      <w:proofErr w:type="spellEnd"/>
      <w:r>
        <w:t xml:space="preserve"> et al., 2020; Chen et al., 2023).</w:t>
      </w:r>
    </w:p>
    <w:p w:rsidR="0086101B" w:rsidRDefault="0086101B" w:rsidP="0086101B">
      <w:pPr>
        <w:numPr>
          <w:ilvl w:val="0"/>
          <w:numId w:val="2"/>
        </w:numPr>
        <w:spacing w:before="100" w:beforeAutospacing="1" w:after="100" w:afterAutospacing="1" w:line="240" w:lineRule="auto"/>
      </w:pPr>
      <w:r>
        <w:t xml:space="preserve">Rule systems can emit </w:t>
      </w:r>
      <w:r>
        <w:rPr>
          <w:rStyle w:val="Strong"/>
        </w:rPr>
        <w:t>textual denial reasons</w:t>
      </w:r>
      <w:r>
        <w:t xml:space="preserve"> from activated rules or reason-code mappings (</w:t>
      </w:r>
      <w:proofErr w:type="spellStart"/>
      <w:r>
        <w:t>Sachan</w:t>
      </w:r>
      <w:proofErr w:type="spellEnd"/>
      <w:r>
        <w:t xml:space="preserve"> et al., 2020; Zhao et al., 2024; Hasan et al., 2025).</w:t>
      </w:r>
    </w:p>
    <w:p w:rsidR="0086101B" w:rsidRDefault="0086101B" w:rsidP="0086101B">
      <w:pPr>
        <w:numPr>
          <w:ilvl w:val="0"/>
          <w:numId w:val="2"/>
        </w:numPr>
        <w:spacing w:before="100" w:beforeAutospacing="1" w:after="100" w:afterAutospacing="1" w:line="240" w:lineRule="auto"/>
      </w:pPr>
      <w:r>
        <w:t>Interpretable models are often preferred in regulated lending because auditability matters alongside accuracy (</w:t>
      </w:r>
      <w:proofErr w:type="spellStart"/>
      <w:r>
        <w:t>Dumitrescu</w:t>
      </w:r>
      <w:proofErr w:type="spellEnd"/>
      <w:r>
        <w:t xml:space="preserve"> et al., 2021; </w:t>
      </w:r>
      <w:proofErr w:type="spellStart"/>
      <w:r>
        <w:t>Seela</w:t>
      </w:r>
      <w:proofErr w:type="spellEnd"/>
      <w:r>
        <w:t xml:space="preserve">, 2026; </w:t>
      </w:r>
      <w:proofErr w:type="spellStart"/>
      <w:r>
        <w:t>Vinutna</w:t>
      </w:r>
      <w:proofErr w:type="spellEnd"/>
      <w:r>
        <w:t xml:space="preserve"> et al., 2026).</w:t>
      </w:r>
    </w:p>
    <w:p w:rsidR="0086101B" w:rsidRDefault="0086101B" w:rsidP="0086101B">
      <w:pPr>
        <w:pStyle w:val="Heading2"/>
      </w:pPr>
      <w:r>
        <w:t>Best Fit Here</w:t>
      </w:r>
    </w:p>
    <w:p w:rsidR="0086101B" w:rsidRDefault="0086101B" w:rsidP="0086101B">
      <w:pPr>
        <w:pStyle w:val="NormalWeb"/>
      </w:pPr>
      <w:r>
        <w:t>For a 90-minute build, a rule-based or scoring-based prototype is the better fit because your task already specifies mock structured inputs, simple outputs, neutral top reasons, and human review flags. The literature consistently treats post-hoc SHAP/LIME as useful add-ons for black-box models, but also notes that different stakeholders need different explanation types and that one method rarely covers all needs (</w:t>
      </w:r>
      <w:proofErr w:type="spellStart"/>
      <w:r>
        <w:t>Černevičienė</w:t>
      </w:r>
      <w:proofErr w:type="spellEnd"/>
      <w:r>
        <w:t xml:space="preserve"> &amp; </w:t>
      </w:r>
      <w:proofErr w:type="spellStart"/>
      <w:r>
        <w:t>Kabašinskas</w:t>
      </w:r>
      <w:proofErr w:type="spellEnd"/>
      <w:r>
        <w:t xml:space="preserve">, 2024; </w:t>
      </w:r>
      <w:proofErr w:type="spellStart"/>
      <w:r>
        <w:t>Demajo</w:t>
      </w:r>
      <w:proofErr w:type="spellEnd"/>
      <w:r>
        <w:t xml:space="preserve"> et al., 2020; </w:t>
      </w:r>
      <w:proofErr w:type="spellStart"/>
      <w:r>
        <w:t>Demajo</w:t>
      </w:r>
      <w:proofErr w:type="spellEnd"/>
      <w:r>
        <w:t xml:space="preserve"> et al., 2021).</w:t>
      </w:r>
    </w:p>
    <w:p w:rsidR="0086101B" w:rsidRDefault="0086101B" w:rsidP="0086101B">
      <w:pPr>
        <w:numPr>
          <w:ilvl w:val="0"/>
          <w:numId w:val="3"/>
        </w:numPr>
        <w:spacing w:before="100" w:beforeAutospacing="1" w:after="100" w:afterAutospacing="1" w:line="240" w:lineRule="auto"/>
      </w:pPr>
      <w:r>
        <w:t xml:space="preserve">Build </w:t>
      </w:r>
      <w:r>
        <w:rPr>
          <w:rStyle w:val="Strong"/>
        </w:rPr>
        <w:t>explicit approval rules</w:t>
      </w:r>
      <w:r>
        <w:t xml:space="preserve"> first, then output the 2-3 triggered reasons (</w:t>
      </w:r>
      <w:proofErr w:type="spellStart"/>
      <w:r>
        <w:t>Rudin</w:t>
      </w:r>
      <w:proofErr w:type="spellEnd"/>
      <w:r>
        <w:t xml:space="preserve"> &amp; </w:t>
      </w:r>
      <w:proofErr w:type="spellStart"/>
      <w:r>
        <w:t>Shaposhnik</w:t>
      </w:r>
      <w:proofErr w:type="spellEnd"/>
      <w:r>
        <w:t xml:space="preserve">, 2019; </w:t>
      </w:r>
      <w:proofErr w:type="spellStart"/>
      <w:r>
        <w:t>Sachan</w:t>
      </w:r>
      <w:proofErr w:type="spellEnd"/>
      <w:r>
        <w:t xml:space="preserve"> et al., 2020; Hasan et al., 2025).</w:t>
      </w:r>
    </w:p>
    <w:p w:rsidR="0086101B" w:rsidRDefault="0086101B" w:rsidP="0086101B">
      <w:pPr>
        <w:numPr>
          <w:ilvl w:val="0"/>
          <w:numId w:val="3"/>
        </w:numPr>
        <w:spacing w:before="100" w:beforeAutospacing="1" w:after="100" w:afterAutospacing="1" w:line="240" w:lineRule="auto"/>
      </w:pPr>
      <w:r>
        <w:t xml:space="preserve">Use </w:t>
      </w:r>
      <w:r>
        <w:rPr>
          <w:rStyle w:val="Strong"/>
        </w:rPr>
        <w:t>Needs Review</w:t>
      </w:r>
      <w:r>
        <w:t xml:space="preserve"> for missing docs, borderline scores, or fairness-sensitive cases (Hasan et al., 2025; </w:t>
      </w:r>
      <w:proofErr w:type="spellStart"/>
      <w:r>
        <w:t>Vinutna</w:t>
      </w:r>
      <w:proofErr w:type="spellEnd"/>
      <w:r>
        <w:t xml:space="preserve"> et al., 2026).</w:t>
      </w:r>
    </w:p>
    <w:p w:rsidR="0086101B" w:rsidRDefault="0086101B" w:rsidP="0086101B">
      <w:pPr>
        <w:numPr>
          <w:ilvl w:val="0"/>
          <w:numId w:val="3"/>
        </w:numPr>
        <w:spacing w:before="100" w:beforeAutospacing="1" w:after="100" w:afterAutospacing="1" w:line="240" w:lineRule="auto"/>
      </w:pPr>
      <w:r>
        <w:t xml:space="preserve">If time remains, add </w:t>
      </w:r>
      <w:r>
        <w:rPr>
          <w:rStyle w:val="Strong"/>
        </w:rPr>
        <w:t>SHAP-like styling later</w:t>
      </w:r>
      <w:r>
        <w:t xml:space="preserve"> as a nicer ranking layer, not as the core decision engine (Wang et al., 2020; Dai, 2026; </w:t>
      </w:r>
      <w:proofErr w:type="spellStart"/>
      <w:r>
        <w:t>Demajo</w:t>
      </w:r>
      <w:proofErr w:type="spellEnd"/>
      <w:r>
        <w:t xml:space="preserve"> et al., 2021).</w:t>
      </w:r>
    </w:p>
    <w:p w:rsidR="0086101B" w:rsidRDefault="0086101B" w:rsidP="0086101B">
      <w:pPr>
        <w:pStyle w:val="NormalWeb"/>
      </w:pPr>
      <w:r>
        <w:t xml:space="preserve">For your competition problem, </w:t>
      </w:r>
      <w:r>
        <w:rPr>
          <w:rStyle w:val="Strong"/>
        </w:rPr>
        <w:t>rule-based reason codes</w:t>
      </w:r>
      <w:r>
        <w:t xml:space="preserve"> are the most suitable way to generate human-readable top reasons quickly, clearly, and defensibly.</w:t>
      </w:r>
    </w:p>
    <w:p w:rsidR="0086101B" w:rsidRDefault="0086101B" w:rsidP="0086101B">
      <w:pPr>
        <w:pStyle w:val="NormalWeb"/>
      </w:pPr>
      <w:r>
        <w:rPr>
          <w:rStyle w:val="Emphasis"/>
        </w:rPr>
        <w:t xml:space="preserve">These search results were found and </w:t>
      </w:r>
      <w:proofErr w:type="spellStart"/>
      <w:r>
        <w:rPr>
          <w:rStyle w:val="Emphasis"/>
        </w:rPr>
        <w:t>analyzed</w:t>
      </w:r>
      <w:proofErr w:type="spellEnd"/>
      <w:r>
        <w:rPr>
          <w:rStyle w:val="Emphasis"/>
        </w:rPr>
        <w:t xml:space="preserve"> using Consensus, an AI-powered search engine for research. Try it at </w:t>
      </w:r>
      <w:hyperlink r:id="rId25" w:history="1">
        <w:r>
          <w:rPr>
            <w:rStyle w:val="Hyperlink"/>
            <w:rFonts w:eastAsiaTheme="majorEastAsia"/>
            <w:i/>
            <w:iCs/>
          </w:rPr>
          <w:t>https://consensus.app</w:t>
        </w:r>
      </w:hyperlink>
      <w:r>
        <w:rPr>
          <w:rStyle w:val="Emphasis"/>
        </w:rPr>
        <w:t>. © 2026 Consensus NLP, Inc. Personal, non-commercial use only; redistribution requires copyright holders’ consent.</w:t>
      </w:r>
    </w:p>
    <w:p w:rsidR="0086101B" w:rsidRDefault="0086101B" w:rsidP="0086101B">
      <w:pPr>
        <w:pStyle w:val="Heading2"/>
      </w:pPr>
      <w:r>
        <w:t>References</w:t>
      </w:r>
    </w:p>
    <w:p w:rsidR="0086101B" w:rsidRDefault="0086101B" w:rsidP="0086101B">
      <w:pPr>
        <w:pStyle w:val="NormalWeb"/>
      </w:pPr>
      <w:proofErr w:type="spellStart"/>
      <w:r>
        <w:lastRenderedPageBreak/>
        <w:t>Bücker</w:t>
      </w:r>
      <w:proofErr w:type="spellEnd"/>
      <w:r>
        <w:t xml:space="preserve">, M., </w:t>
      </w:r>
      <w:proofErr w:type="spellStart"/>
      <w:r>
        <w:t>Szepannek</w:t>
      </w:r>
      <w:proofErr w:type="spellEnd"/>
      <w:r>
        <w:t xml:space="preserve">, G., </w:t>
      </w:r>
      <w:proofErr w:type="spellStart"/>
      <w:r>
        <w:t>Gosiewska</w:t>
      </w:r>
      <w:proofErr w:type="spellEnd"/>
      <w:r>
        <w:t xml:space="preserve">, A., &amp; </w:t>
      </w:r>
      <w:proofErr w:type="spellStart"/>
      <w:r>
        <w:t>Biecek</w:t>
      </w:r>
      <w:proofErr w:type="spellEnd"/>
      <w:r>
        <w:t xml:space="preserve">, P. (2020). Transparency, auditability, and </w:t>
      </w:r>
      <w:proofErr w:type="spellStart"/>
      <w:r>
        <w:t>explainability</w:t>
      </w:r>
      <w:proofErr w:type="spellEnd"/>
      <w:r>
        <w:t xml:space="preserve"> of machine learning models in credit scoring. </w:t>
      </w:r>
      <w:r>
        <w:rPr>
          <w:rStyle w:val="Emphasis"/>
        </w:rPr>
        <w:t>Journal of the Operational Research Society, 73</w:t>
      </w:r>
      <w:r>
        <w:t xml:space="preserve">, 70 - 90. </w:t>
      </w:r>
      <w:hyperlink r:id="rId26" w:history="1">
        <w:r>
          <w:rPr>
            <w:rStyle w:val="Hyperlink"/>
            <w:rFonts w:eastAsiaTheme="majorEastAsia"/>
          </w:rPr>
          <w:t>https://doi.org/10.1080/01605682.2021.1922098</w:t>
        </w:r>
      </w:hyperlink>
    </w:p>
    <w:p w:rsidR="0086101B" w:rsidRDefault="0086101B" w:rsidP="0086101B">
      <w:pPr>
        <w:pStyle w:val="NormalWeb"/>
      </w:pPr>
      <w:proofErr w:type="spellStart"/>
      <w:r>
        <w:t>Černevičienė</w:t>
      </w:r>
      <w:proofErr w:type="spellEnd"/>
      <w:r>
        <w:t xml:space="preserve">, J., &amp; </w:t>
      </w:r>
      <w:proofErr w:type="spellStart"/>
      <w:r>
        <w:t>Kabašinskas</w:t>
      </w:r>
      <w:proofErr w:type="spellEnd"/>
      <w:r>
        <w:t xml:space="preserve">, A. (2024). Explainable artificial intelligence (XAI) in finance: a systematic literature review. </w:t>
      </w:r>
      <w:r>
        <w:rPr>
          <w:rStyle w:val="Emphasis"/>
        </w:rPr>
        <w:t>Artificial Intelligence Review, 57</w:t>
      </w:r>
      <w:r>
        <w:t xml:space="preserve">. </w:t>
      </w:r>
      <w:hyperlink r:id="rId27" w:history="1">
        <w:r>
          <w:rPr>
            <w:rStyle w:val="Hyperlink"/>
            <w:rFonts w:eastAsiaTheme="majorEastAsia"/>
          </w:rPr>
          <w:t>https://doi.org/10.1007/s10462-024-10854-8</w:t>
        </w:r>
      </w:hyperlink>
    </w:p>
    <w:p w:rsidR="0086101B" w:rsidRDefault="0086101B" w:rsidP="0086101B">
      <w:pPr>
        <w:pStyle w:val="NormalWeb"/>
      </w:pPr>
      <w:r>
        <w:t xml:space="preserve">Chen, Z.-Y., Wang, X., Huang, Y., &amp; </w:t>
      </w:r>
      <w:proofErr w:type="spellStart"/>
      <w:r>
        <w:t>Jia</w:t>
      </w:r>
      <w:proofErr w:type="spellEnd"/>
      <w:r>
        <w:t xml:space="preserve">, T. (2023). An Interpretable Loan Credit Evaluation Method Based on Rule Representation Learner. 580-594. </w:t>
      </w:r>
      <w:hyperlink r:id="rId28" w:history="1">
        <w:r>
          <w:rPr>
            <w:rStyle w:val="Hyperlink"/>
            <w:rFonts w:eastAsiaTheme="majorEastAsia"/>
          </w:rPr>
          <w:t>https://doi.org/10.48550/arxiv.2304.00731</w:t>
        </w:r>
      </w:hyperlink>
    </w:p>
    <w:p w:rsidR="0086101B" w:rsidRDefault="0086101B" w:rsidP="0086101B">
      <w:pPr>
        <w:pStyle w:val="NormalWeb"/>
      </w:pPr>
      <w:r>
        <w:t xml:space="preserve">Dai, Y. (2026). Research and Analysis of Explainable Machine Learning Methods for Credit Scoring and Loan Approval. </w:t>
      </w:r>
      <w:r>
        <w:rPr>
          <w:rStyle w:val="Emphasis"/>
        </w:rPr>
        <w:t>Science and Technology of Engineering, Chemistry and Environmental Protection</w:t>
      </w:r>
      <w:r>
        <w:t xml:space="preserve">. </w:t>
      </w:r>
      <w:hyperlink r:id="rId29" w:history="1">
        <w:r>
          <w:rPr>
            <w:rStyle w:val="Hyperlink"/>
            <w:rFonts w:eastAsiaTheme="majorEastAsia"/>
          </w:rPr>
          <w:t>https://doi.org/10.61173/jap4ag43</w:t>
        </w:r>
      </w:hyperlink>
    </w:p>
    <w:p w:rsidR="0086101B" w:rsidRDefault="0086101B" w:rsidP="0086101B">
      <w:pPr>
        <w:pStyle w:val="NormalWeb"/>
      </w:pPr>
      <w:proofErr w:type="spellStart"/>
      <w:r>
        <w:t>Dastile</w:t>
      </w:r>
      <w:proofErr w:type="spellEnd"/>
      <w:r>
        <w:t xml:space="preserve">, X., &amp; </w:t>
      </w:r>
      <w:proofErr w:type="spellStart"/>
      <w:r>
        <w:t>Çelik</w:t>
      </w:r>
      <w:proofErr w:type="spellEnd"/>
      <w:r>
        <w:t xml:space="preserve">, T. (2021). Making Deep Learning-Based Predictions for Credit Scoring Explainable. </w:t>
      </w:r>
      <w:r>
        <w:rPr>
          <w:rStyle w:val="Emphasis"/>
        </w:rPr>
        <w:t>IEEE Access, 9</w:t>
      </w:r>
      <w:r>
        <w:t xml:space="preserve">, 50426-50440. </w:t>
      </w:r>
      <w:hyperlink r:id="rId30" w:history="1">
        <w:r>
          <w:rPr>
            <w:rStyle w:val="Hyperlink"/>
            <w:rFonts w:eastAsiaTheme="majorEastAsia"/>
          </w:rPr>
          <w:t>https://doi.org/10.1109/access.2021.3068854</w:t>
        </w:r>
      </w:hyperlink>
    </w:p>
    <w:p w:rsidR="0086101B" w:rsidRDefault="0086101B" w:rsidP="0086101B">
      <w:pPr>
        <w:pStyle w:val="NormalWeb"/>
      </w:pPr>
      <w:proofErr w:type="spellStart"/>
      <w:r>
        <w:t>Demajo</w:t>
      </w:r>
      <w:proofErr w:type="spellEnd"/>
      <w:r>
        <w:t xml:space="preserve">, L. M., Vella, V., &amp; </w:t>
      </w:r>
      <w:proofErr w:type="spellStart"/>
      <w:r>
        <w:t>Dingli</w:t>
      </w:r>
      <w:proofErr w:type="spellEnd"/>
      <w:r>
        <w:t xml:space="preserve">, A. (2020). Explainable AI for Interpretable Credit Scoring. </w:t>
      </w:r>
      <w:proofErr w:type="spellStart"/>
      <w:r>
        <w:rPr>
          <w:rStyle w:val="Emphasis"/>
        </w:rPr>
        <w:t>ArXiv</w:t>
      </w:r>
      <w:proofErr w:type="spellEnd"/>
      <w:r>
        <w:rPr>
          <w:rStyle w:val="Emphasis"/>
        </w:rPr>
        <w:t>, abs/2012.03749</w:t>
      </w:r>
      <w:r>
        <w:t xml:space="preserve">. </w:t>
      </w:r>
      <w:hyperlink r:id="rId31" w:history="1">
        <w:r>
          <w:rPr>
            <w:rStyle w:val="Hyperlink"/>
            <w:rFonts w:eastAsiaTheme="majorEastAsia"/>
          </w:rPr>
          <w:t>https://doi.org/10.5121/csit.2020.101516</w:t>
        </w:r>
      </w:hyperlink>
    </w:p>
    <w:p w:rsidR="0086101B" w:rsidRDefault="0086101B" w:rsidP="0086101B">
      <w:pPr>
        <w:pStyle w:val="NormalWeb"/>
      </w:pPr>
      <w:proofErr w:type="spellStart"/>
      <w:r>
        <w:t>Demajo</w:t>
      </w:r>
      <w:proofErr w:type="spellEnd"/>
      <w:r>
        <w:t xml:space="preserve">, L. M., Vella, V., &amp; </w:t>
      </w:r>
      <w:proofErr w:type="spellStart"/>
      <w:r>
        <w:t>Dingli</w:t>
      </w:r>
      <w:proofErr w:type="spellEnd"/>
      <w:r>
        <w:t xml:space="preserve">, A. (2021). An Explanation Framework for Interpretable Credit Scoring. </w:t>
      </w:r>
      <w:r>
        <w:rPr>
          <w:rStyle w:val="Emphasis"/>
        </w:rPr>
        <w:t>International Journal of Artificial Intelligence &amp; Applications</w:t>
      </w:r>
      <w:r>
        <w:t xml:space="preserve">. </w:t>
      </w:r>
      <w:hyperlink r:id="rId32" w:history="1">
        <w:r>
          <w:rPr>
            <w:rStyle w:val="Hyperlink"/>
            <w:rFonts w:eastAsiaTheme="majorEastAsia"/>
          </w:rPr>
          <w:t>https://doi.org/10.5121/ijaia.2021.12102</w:t>
        </w:r>
      </w:hyperlink>
    </w:p>
    <w:p w:rsidR="0086101B" w:rsidRDefault="0086101B" w:rsidP="0086101B">
      <w:pPr>
        <w:pStyle w:val="NormalWeb"/>
      </w:pPr>
      <w:proofErr w:type="spellStart"/>
      <w:r>
        <w:t>Dumitrescu</w:t>
      </w:r>
      <w:proofErr w:type="spellEnd"/>
      <w:r>
        <w:t xml:space="preserve">, E., </w:t>
      </w:r>
      <w:proofErr w:type="spellStart"/>
      <w:r>
        <w:t>Hué</w:t>
      </w:r>
      <w:proofErr w:type="spellEnd"/>
      <w:r>
        <w:t xml:space="preserve">, S., </w:t>
      </w:r>
      <w:proofErr w:type="spellStart"/>
      <w:r>
        <w:t>Hurlin</w:t>
      </w:r>
      <w:proofErr w:type="spellEnd"/>
      <w:r>
        <w:t xml:space="preserve">, C., &amp; </w:t>
      </w:r>
      <w:proofErr w:type="spellStart"/>
      <w:r>
        <w:t>Tokpavi</w:t>
      </w:r>
      <w:proofErr w:type="spellEnd"/>
      <w:r>
        <w:t xml:space="preserve">, S. (2021). Machine learning for credit scoring: Improving logistic regression with non-linear decision-tree effects. </w:t>
      </w:r>
      <w:r>
        <w:rPr>
          <w:rStyle w:val="Emphasis"/>
        </w:rPr>
        <w:t xml:space="preserve">Eur. J. </w:t>
      </w:r>
      <w:proofErr w:type="spellStart"/>
      <w:r>
        <w:rPr>
          <w:rStyle w:val="Emphasis"/>
        </w:rPr>
        <w:t>Oper</w:t>
      </w:r>
      <w:proofErr w:type="spellEnd"/>
      <w:r>
        <w:rPr>
          <w:rStyle w:val="Emphasis"/>
        </w:rPr>
        <w:t>. Res., 297</w:t>
      </w:r>
      <w:r>
        <w:t xml:space="preserve">, 1178-1192. </w:t>
      </w:r>
      <w:hyperlink r:id="rId33" w:history="1">
        <w:r>
          <w:rPr>
            <w:rStyle w:val="Hyperlink"/>
            <w:rFonts w:eastAsiaTheme="majorEastAsia"/>
          </w:rPr>
          <w:t>https://doi.org/10.1016/j.ejor.2021.06.053</w:t>
        </w:r>
      </w:hyperlink>
    </w:p>
    <w:p w:rsidR="0086101B" w:rsidRDefault="0086101B" w:rsidP="0086101B">
      <w:pPr>
        <w:pStyle w:val="NormalWeb"/>
      </w:pPr>
      <w:r>
        <w:t xml:space="preserve">Hasan, M. S., </w:t>
      </w:r>
      <w:proofErr w:type="spellStart"/>
      <w:r>
        <w:t>Jakir</w:t>
      </w:r>
      <w:proofErr w:type="spellEnd"/>
      <w:r>
        <w:t xml:space="preserve">, T., Hossain, A., Khan, M. T., Sultana, K. S., </w:t>
      </w:r>
      <w:proofErr w:type="spellStart"/>
      <w:r>
        <w:t>Ahad</w:t>
      </w:r>
      <w:proofErr w:type="spellEnd"/>
      <w:r>
        <w:t xml:space="preserve">, M., </w:t>
      </w:r>
      <w:proofErr w:type="spellStart"/>
      <w:r>
        <w:t>Shakir</w:t>
      </w:r>
      <w:proofErr w:type="spellEnd"/>
      <w:r>
        <w:t xml:space="preserve">, M., </w:t>
      </w:r>
      <w:proofErr w:type="spellStart"/>
      <w:r>
        <w:t>Billah</w:t>
      </w:r>
      <w:proofErr w:type="spellEnd"/>
      <w:r>
        <w:t xml:space="preserve">, M., Rahman, M. S., </w:t>
      </w:r>
      <w:proofErr w:type="spellStart"/>
      <w:r>
        <w:t>Udden</w:t>
      </w:r>
      <w:proofErr w:type="spellEnd"/>
      <w:r>
        <w:t xml:space="preserve">, M. A., Jahan, S., &amp; R. (2025). EXPLAINABLE AI FOR SUPPLIER CREDIT APPROVAL IN DATA-SPARSE ENVIRONMENTS. </w:t>
      </w:r>
      <w:r>
        <w:rPr>
          <w:rStyle w:val="Emphasis"/>
        </w:rPr>
        <w:t>International Journal of Applied Mathematics</w:t>
      </w:r>
      <w:r>
        <w:t xml:space="preserve">. </w:t>
      </w:r>
      <w:hyperlink r:id="rId34" w:history="1">
        <w:r>
          <w:rPr>
            <w:rStyle w:val="Hyperlink"/>
            <w:rFonts w:eastAsiaTheme="majorEastAsia"/>
          </w:rPr>
          <w:t>https://doi.org/10.12732/ijam.v38i5s.380</w:t>
        </w:r>
      </w:hyperlink>
    </w:p>
    <w:p w:rsidR="0086101B" w:rsidRDefault="0086101B" w:rsidP="0086101B">
      <w:pPr>
        <w:pStyle w:val="NormalWeb"/>
      </w:pPr>
      <w:proofErr w:type="spellStart"/>
      <w:r>
        <w:t>Misheva</w:t>
      </w:r>
      <w:proofErr w:type="spellEnd"/>
      <w:r>
        <w:t xml:space="preserve">, B. H., </w:t>
      </w:r>
      <w:proofErr w:type="spellStart"/>
      <w:r>
        <w:t>Osterrieder</w:t>
      </w:r>
      <w:proofErr w:type="spellEnd"/>
      <w:r>
        <w:t xml:space="preserve">, J., </w:t>
      </w:r>
      <w:proofErr w:type="spellStart"/>
      <w:r>
        <w:t>Hirsa</w:t>
      </w:r>
      <w:proofErr w:type="spellEnd"/>
      <w:r>
        <w:t xml:space="preserve">, A., Kulkarni, O., &amp; Lin, S. (2021). Explainable AI in Credit Risk Management. </w:t>
      </w:r>
      <w:proofErr w:type="spellStart"/>
      <w:r>
        <w:rPr>
          <w:rStyle w:val="Emphasis"/>
        </w:rPr>
        <w:t>ArXiv</w:t>
      </w:r>
      <w:proofErr w:type="spellEnd"/>
      <w:r>
        <w:rPr>
          <w:rStyle w:val="Emphasis"/>
        </w:rPr>
        <w:t>, abs/2103.00949</w:t>
      </w:r>
      <w:r>
        <w:t xml:space="preserve">. </w:t>
      </w:r>
      <w:hyperlink r:id="rId35" w:history="1">
        <w:r>
          <w:rPr>
            <w:rStyle w:val="Hyperlink"/>
            <w:rFonts w:eastAsiaTheme="majorEastAsia"/>
          </w:rPr>
          <w:t>https://doi.org/10.2139/ssrn.3795322</w:t>
        </w:r>
      </w:hyperlink>
    </w:p>
    <w:p w:rsidR="0086101B" w:rsidRDefault="0086101B" w:rsidP="0086101B">
      <w:pPr>
        <w:pStyle w:val="NormalWeb"/>
      </w:pPr>
      <w:proofErr w:type="spellStart"/>
      <w:r>
        <w:t>Rudin</w:t>
      </w:r>
      <w:proofErr w:type="spellEnd"/>
      <w:r>
        <w:t xml:space="preserve">, C., &amp; </w:t>
      </w:r>
      <w:proofErr w:type="spellStart"/>
      <w:r>
        <w:t>Shaposhnik</w:t>
      </w:r>
      <w:proofErr w:type="spellEnd"/>
      <w:r>
        <w:t xml:space="preserve">, Y. (2019). Globally-Consistent Rule-Based Summary-Explanations for Machine Learning Models: Application to Credit-Risk Evaluation. </w:t>
      </w:r>
      <w:r>
        <w:rPr>
          <w:rStyle w:val="Emphasis"/>
        </w:rPr>
        <w:t>J. Mach. Learn. Res., 24</w:t>
      </w:r>
      <w:r>
        <w:t xml:space="preserve">, 16:1-16:44. </w:t>
      </w:r>
      <w:hyperlink r:id="rId36" w:history="1">
        <w:r>
          <w:rPr>
            <w:rStyle w:val="Hyperlink"/>
            <w:rFonts w:eastAsiaTheme="majorEastAsia"/>
          </w:rPr>
          <w:t>https://doi.org/10.2139/ssrn.3395422</w:t>
        </w:r>
      </w:hyperlink>
    </w:p>
    <w:p w:rsidR="0086101B" w:rsidRDefault="0086101B" w:rsidP="0086101B">
      <w:pPr>
        <w:pStyle w:val="NormalWeb"/>
      </w:pPr>
      <w:proofErr w:type="spellStart"/>
      <w:r>
        <w:t>Sachan</w:t>
      </w:r>
      <w:proofErr w:type="spellEnd"/>
      <w:r>
        <w:t xml:space="preserve">, S., Yang, J., Xu, D., Benavides, D., &amp; Li, Y. (2020). An explainable AI decision-support-system to automate loan underwriting. </w:t>
      </w:r>
      <w:r>
        <w:rPr>
          <w:rStyle w:val="Emphasis"/>
        </w:rPr>
        <w:t>Expert Syst. Appl., 144</w:t>
      </w:r>
      <w:r>
        <w:t xml:space="preserve">, 113100. </w:t>
      </w:r>
      <w:hyperlink r:id="rId37" w:history="1">
        <w:r>
          <w:rPr>
            <w:rStyle w:val="Hyperlink"/>
            <w:rFonts w:eastAsiaTheme="majorEastAsia"/>
          </w:rPr>
          <w:t>https://doi.org/10.1016/j.eswa.2019.113100</w:t>
        </w:r>
      </w:hyperlink>
    </w:p>
    <w:p w:rsidR="0086101B" w:rsidRDefault="0086101B" w:rsidP="0086101B">
      <w:pPr>
        <w:pStyle w:val="NormalWeb"/>
      </w:pPr>
      <w:proofErr w:type="spellStart"/>
      <w:r>
        <w:t>Seela</w:t>
      </w:r>
      <w:proofErr w:type="spellEnd"/>
      <w:r>
        <w:t xml:space="preserve">, V. (2026). Explainable Machine Learning for Credit Risk Assessment: A Comparative Study of Interpretable Approaches in Consumer Lending. </w:t>
      </w:r>
      <w:r>
        <w:rPr>
          <w:rStyle w:val="Emphasis"/>
        </w:rPr>
        <w:t>SSRN Electronic Journal</w:t>
      </w:r>
      <w:r>
        <w:t xml:space="preserve">. </w:t>
      </w:r>
      <w:hyperlink r:id="rId38" w:history="1">
        <w:r>
          <w:rPr>
            <w:rStyle w:val="Hyperlink"/>
            <w:rFonts w:eastAsiaTheme="majorEastAsia"/>
          </w:rPr>
          <w:t>https://doi.org/10.2139/ssrn.6659002</w:t>
        </w:r>
      </w:hyperlink>
    </w:p>
    <w:p w:rsidR="0086101B" w:rsidRDefault="0086101B" w:rsidP="0086101B">
      <w:pPr>
        <w:pStyle w:val="NormalWeb"/>
      </w:pPr>
      <w:proofErr w:type="spellStart"/>
      <w:r>
        <w:lastRenderedPageBreak/>
        <w:t>Vinutna</w:t>
      </w:r>
      <w:proofErr w:type="spellEnd"/>
      <w:r>
        <w:t xml:space="preserve">, S., Jo, A. A., </w:t>
      </w:r>
      <w:proofErr w:type="spellStart"/>
      <w:r>
        <w:t>Ebin</w:t>
      </w:r>
      <w:proofErr w:type="spellEnd"/>
      <w:r>
        <w:t xml:space="preserve">, R., &amp; Raj, D. (2026). Auditable Credit Scoring: Explainable Models with Stable Rationales on Tabular Data. </w:t>
      </w:r>
      <w:r>
        <w:rPr>
          <w:rStyle w:val="Emphasis"/>
        </w:rPr>
        <w:t>2026 International Conference on AI-Driven Smart Systems and Ubiquitous Computing (ICAUC)</w:t>
      </w:r>
      <w:r>
        <w:t xml:space="preserve">, 1023-1029. </w:t>
      </w:r>
      <w:hyperlink r:id="rId39" w:history="1">
        <w:r>
          <w:rPr>
            <w:rStyle w:val="Hyperlink"/>
            <w:rFonts w:eastAsiaTheme="majorEastAsia"/>
          </w:rPr>
          <w:t>https://doi.org/10.1109/icauc68182.2026.11441016</w:t>
        </w:r>
      </w:hyperlink>
    </w:p>
    <w:p w:rsidR="0086101B" w:rsidRDefault="0086101B" w:rsidP="0086101B">
      <w:pPr>
        <w:pStyle w:val="NormalWeb"/>
      </w:pPr>
      <w:r>
        <w:t xml:space="preserve">Wang, W., Lesner, C., Ran, A., </w:t>
      </w:r>
      <w:proofErr w:type="spellStart"/>
      <w:r>
        <w:t>Rukonic</w:t>
      </w:r>
      <w:proofErr w:type="spellEnd"/>
      <w:r>
        <w:t xml:space="preserve">, M., </w:t>
      </w:r>
      <w:proofErr w:type="spellStart"/>
      <w:r>
        <w:t>Xue</w:t>
      </w:r>
      <w:proofErr w:type="spellEnd"/>
      <w:r>
        <w:t xml:space="preserve">, J., &amp; </w:t>
      </w:r>
      <w:proofErr w:type="spellStart"/>
      <w:r>
        <w:t>Shiu</w:t>
      </w:r>
      <w:proofErr w:type="spellEnd"/>
      <w:r>
        <w:t xml:space="preserve">, E. C. (2020). Using Small Business Banking Data for Explainable Credit Risk Scoring. 13396-13401. </w:t>
      </w:r>
      <w:hyperlink r:id="rId40" w:history="1">
        <w:r>
          <w:rPr>
            <w:rStyle w:val="Hyperlink"/>
            <w:rFonts w:eastAsiaTheme="majorEastAsia"/>
          </w:rPr>
          <w:t>https://doi.org/10.1609/aaai.v34i08.7055</w:t>
        </w:r>
      </w:hyperlink>
    </w:p>
    <w:p w:rsidR="0086101B" w:rsidRDefault="0086101B" w:rsidP="0086101B">
      <w:pPr>
        <w:pStyle w:val="NormalWeb"/>
      </w:pPr>
      <w:r>
        <w:t xml:space="preserve">Xin, Q. (2026). Explainable and Fair Credit Risk Scoring with Counterfactual Explanations: A Reproducible Evaluation on the German Credit Dataset (HELOC-Motivated). </w:t>
      </w:r>
      <w:r>
        <w:rPr>
          <w:rStyle w:val="Emphasis"/>
        </w:rPr>
        <w:t>J-INTECH</w:t>
      </w:r>
      <w:r>
        <w:t xml:space="preserve">. </w:t>
      </w:r>
      <w:hyperlink r:id="rId41" w:history="1">
        <w:r>
          <w:rPr>
            <w:rStyle w:val="Hyperlink"/>
            <w:rFonts w:eastAsiaTheme="majorEastAsia"/>
          </w:rPr>
          <w:t>https://doi.org/10.32664/j-intech.v14i02.2228</w:t>
        </w:r>
      </w:hyperlink>
    </w:p>
    <w:p w:rsidR="0086101B" w:rsidRDefault="0086101B" w:rsidP="0086101B">
      <w:pPr>
        <w:pStyle w:val="NormalWeb"/>
      </w:pPr>
      <w:r>
        <w:t xml:space="preserve">Zhao, S., Wang, H., &amp; Davison, N. R. (2024). Profit-Maximizing Cost-Sensitive Credit Scoring with LLM-Extracted Policy Constraints. </w:t>
      </w:r>
      <w:r>
        <w:rPr>
          <w:rStyle w:val="Emphasis"/>
        </w:rPr>
        <w:t>Journal of Advanced Computing Systems</w:t>
      </w:r>
      <w:r>
        <w:t xml:space="preserve">. </w:t>
      </w:r>
      <w:hyperlink r:id="rId42" w:history="1">
        <w:r>
          <w:rPr>
            <w:rStyle w:val="Hyperlink"/>
            <w:rFonts w:eastAsiaTheme="majorEastAsia"/>
          </w:rPr>
          <w:t>https://doi.org/10.69987/jacs.2024.40307</w:t>
        </w:r>
      </w:hyperlink>
    </w:p>
    <w:p w:rsidR="0086101B" w:rsidRDefault="0086101B" w:rsidP="0086101B">
      <w:pPr>
        <w:pStyle w:val="Heading1"/>
      </w:pPr>
      <w:r>
        <w:br/>
      </w:r>
      <w:r>
        <w:rPr>
          <w:rStyle w:val="Strong"/>
          <w:b/>
          <w:bCs/>
        </w:rPr>
        <w:t>Confidence indicators</w:t>
      </w:r>
      <w:r>
        <w:t xml:space="preserve"> work best when they are </w:t>
      </w:r>
      <w:r>
        <w:rPr>
          <w:rStyle w:val="Strong"/>
          <w:b/>
          <w:bCs/>
        </w:rPr>
        <w:t>calibrated, simple, decision-linked, and able to defer ambiguous cases</w:t>
      </w:r>
      <w:r>
        <w:t>.</w:t>
      </w:r>
    </w:p>
    <w:p w:rsidR="0086101B" w:rsidRDefault="0086101B" w:rsidP="0086101B">
      <w:pPr>
        <w:pStyle w:val="Heading2"/>
      </w:pPr>
      <w:r>
        <w:t>1. Introduction</w:t>
      </w:r>
    </w:p>
    <w:p w:rsidR="0086101B" w:rsidRDefault="0086101B" w:rsidP="0086101B">
      <w:pPr>
        <w:pStyle w:val="NormalWeb"/>
      </w:pPr>
      <w:r>
        <w:t xml:space="preserve">Confidence indicators in decision-support systems are usually not just “scores next to labels.” The literature treats them as interface patterns for helping users decide </w:t>
      </w:r>
      <w:r>
        <w:rPr>
          <w:rStyle w:val="Strong"/>
        </w:rPr>
        <w:t>how much to trust a recommendation</w:t>
      </w:r>
      <w:r>
        <w:t xml:space="preserve">, </w:t>
      </w:r>
      <w:r>
        <w:rPr>
          <w:rStyle w:val="Strong"/>
        </w:rPr>
        <w:t>whether to verify it</w:t>
      </w:r>
      <w:r>
        <w:t xml:space="preserve">, and </w:t>
      </w:r>
      <w:r>
        <w:rPr>
          <w:rStyle w:val="Strong"/>
        </w:rPr>
        <w:t>when to hand a case to a human reviewer</w:t>
      </w:r>
      <w:r>
        <w:t xml:space="preserve"> (Waa et al., 2020; Kasper, 1996; Zhang et al., 2020; Liao &amp; </w:t>
      </w:r>
      <w:proofErr w:type="spellStart"/>
      <w:r>
        <w:t>Sundar</w:t>
      </w:r>
      <w:proofErr w:type="spellEnd"/>
      <w:r>
        <w:t xml:space="preserve">, 2022; </w:t>
      </w:r>
      <w:proofErr w:type="spellStart"/>
      <w:r>
        <w:t>Tomsett</w:t>
      </w:r>
      <w:proofErr w:type="spellEnd"/>
      <w:r>
        <w:t xml:space="preserve"> et al., 2020). Across domains such as clinical support, admissions, legal NLP, security triage, visual analytics, and LLM interfaces, four recurring requirements appear: the signal should be accurate or calibrated, understandable to users, predictable in how it changes, and actionable in the surrounding workflow (Waa et al., 2020; Karunanayake, 2025; Chowdhury &amp; </w:t>
      </w:r>
      <w:proofErr w:type="spellStart"/>
      <w:r>
        <w:t>Tanvir</w:t>
      </w:r>
      <w:proofErr w:type="spellEnd"/>
      <w:r>
        <w:t xml:space="preserve">, 2026; </w:t>
      </w:r>
      <w:proofErr w:type="spellStart"/>
      <w:r>
        <w:t>Hullman</w:t>
      </w:r>
      <w:proofErr w:type="spellEnd"/>
      <w:r>
        <w:t xml:space="preserve"> et al., 2025).</w:t>
      </w:r>
    </w:p>
    <w:p w:rsidR="0086101B" w:rsidRDefault="0086101B" w:rsidP="0086101B">
      <w:pPr>
        <w:pStyle w:val="NormalWeb"/>
      </w:pPr>
      <w:r>
        <w:t xml:space="preserve">The evidence is strongest that confidence cues can improve reliance only when they are paired with a design that users can interpret under task pressure. Raw probabilities alone often fail, and can even increase automation bias or conservatism bias when users misunderstand them, when trust in the system is already misaligned, or when the cue is presented too prominently (Zhang et al., 2020; Cao et al., 2024; </w:t>
      </w:r>
      <w:proofErr w:type="spellStart"/>
      <w:r>
        <w:t>Cabitza</w:t>
      </w:r>
      <w:proofErr w:type="spellEnd"/>
      <w:r>
        <w:t xml:space="preserve"> et al., 2025; Li et al., 2024; Goddard et al., 2011). The most common design patterns therefore combine a categorical recommendation with one of a small set of confidence formats: numeric probabilities, ordinal bins, integrated visual likelihood cues, dynamic confidence updates, selective silence or deferral in middling cases, and explanation or feedback layers that clarify what the signal means (</w:t>
      </w:r>
      <w:proofErr w:type="spellStart"/>
      <w:r>
        <w:t>Fröhlich</w:t>
      </w:r>
      <w:proofErr w:type="spellEnd"/>
      <w:r>
        <w:t xml:space="preserve"> et al., 2022; Zhao et al., 2023; </w:t>
      </w:r>
      <w:proofErr w:type="spellStart"/>
      <w:r>
        <w:t>Muric</w:t>
      </w:r>
      <w:proofErr w:type="spellEnd"/>
      <w:r>
        <w:t xml:space="preserve"> &amp; Minton, 2026; Mei et al., 2026).</w:t>
      </w:r>
    </w:p>
    <w:p w:rsidR="0086101B" w:rsidRDefault="0086101B" w:rsidP="0086101B">
      <w:pPr>
        <w:pStyle w:val="NormalWeb"/>
      </w:pPr>
      <w:r>
        <w:rPr>
          <w:rStyle w:val="Strong"/>
        </w:rPr>
        <w:lastRenderedPageBreak/>
        <w:t>Figure 1:</w:t>
      </w:r>
      <w:r>
        <w:t xml:space="preserve"> Consensus on value of confidence indicators</w:t>
      </w:r>
    </w:p>
    <w:p w:rsidR="0086101B" w:rsidRDefault="0086101B" w:rsidP="0086101B">
      <w:pPr>
        <w:pStyle w:val="Heading2"/>
      </w:pPr>
      <w:r>
        <w:t>2. Methods</w:t>
      </w:r>
    </w:p>
    <w:p w:rsidR="0086101B" w:rsidRDefault="0086101B" w:rsidP="0086101B">
      <w:pPr>
        <w:pStyle w:val="NormalWeb"/>
      </w:pPr>
      <w:r>
        <w:t>This synthesis draws on a Deep Search over more than 220 million research papers indexed in Consensus, spanning Semantic Scholar, PubMed, and related sources. The included literature covers foundational confidence theory, uncertainty visualization, trust calibration in AI-assisted decision-making, clinical decision support, selective prediction, and recent LLM work on verbalized uncertainty.</w:t>
      </w:r>
    </w:p>
    <w:p w:rsidR="0086101B" w:rsidRDefault="0086101B" w:rsidP="0086101B">
      <w:pPr>
        <w:pStyle w:val="NormalWeb"/>
      </w:pPr>
      <w:r>
        <w:t>The corpus was screened for papers addressing per-case confidence outputs, display formats, reliance effects, calibration, abstention or human review policies, and domain-specific interface guidance. The review prioritized studies that examined confidence as an output shown alongside recommendations rather than model-development metrics alone.</w:t>
      </w:r>
    </w:p>
    <w:p w:rsidR="0086101B" w:rsidRDefault="0086101B" w:rsidP="0086101B">
      <w:pPr>
        <w:pStyle w:val="NormalWeb"/>
      </w:pPr>
      <w:r>
        <w:rPr>
          <w:rStyle w:val="Strong"/>
        </w:rPr>
        <w:t>Figure 2:</w:t>
      </w:r>
      <w:r>
        <w:t xml:space="preserve"> Search funnel for confidence indicator literature</w:t>
      </w:r>
    </w:p>
    <w:p w:rsidR="0086101B" w:rsidRDefault="0086101B" w:rsidP="0086101B">
      <w:pPr>
        <w:pStyle w:val="NormalWeb"/>
      </w:pPr>
      <w:r>
        <w:t>Parallel searches targeted confidence scores, uncertainty visualization, trust calibration, abstention policies, and domain-specific implementations in clinical, legal, financial, and LLM-based decision support.</w:t>
      </w:r>
    </w:p>
    <w:p w:rsidR="0086101B" w:rsidRDefault="0086101B" w:rsidP="0086101B">
      <w:pPr>
        <w:pStyle w:val="Heading2"/>
      </w:pPr>
      <w:r>
        <w:t>3. Results</w:t>
      </w:r>
    </w:p>
    <w:p w:rsidR="0086101B" w:rsidRDefault="0086101B" w:rsidP="0086101B">
      <w:pPr>
        <w:pStyle w:val="Heading3"/>
      </w:pPr>
      <w:r>
        <w:t>3.1 Key Papers</w:t>
      </w:r>
    </w:p>
    <w:p w:rsidR="0086101B" w:rsidRDefault="0086101B" w:rsidP="0086101B">
      <w:pPr>
        <w:pStyle w:val="NormalWeb"/>
      </w:pPr>
      <w:r>
        <w:t xml:space="preserve">Three papers anchor this literature. Interpretable confidence measures formalized the core properties a confidence indicator should satisfy in DSS use, not just model evaluation (Waa et al., 2020). A major HCI line then tested how confidence and explanations affect trust calibration in AI-assisted decisions (Zhang et al., 2020). A third line showed that format and cognitive accessibility, not only statistical validity, shape whether users can use uncertainty well (Cao et al., 2024; Zhao et al., 2023; </w:t>
      </w:r>
      <w:proofErr w:type="spellStart"/>
      <w:r>
        <w:t>Hartvig</w:t>
      </w:r>
      <w:proofErr w:type="spellEnd"/>
      <w:r>
        <w:t xml:space="preserve"> et al.,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5630"/>
      </w:tblGrid>
      <w:tr w:rsidR="0086101B" w:rsidTr="0086101B">
        <w:trPr>
          <w:tblHeader/>
          <w:tblCellSpacing w:w="15" w:type="dxa"/>
        </w:trPr>
        <w:tc>
          <w:tcPr>
            <w:tcW w:w="0" w:type="auto"/>
            <w:vAlign w:val="center"/>
            <w:hideMark/>
          </w:tcPr>
          <w:p w:rsidR="0086101B" w:rsidRDefault="0086101B">
            <w:pPr>
              <w:jc w:val="center"/>
              <w:rPr>
                <w:b/>
                <w:bCs/>
              </w:rPr>
            </w:pPr>
            <w:r>
              <w:rPr>
                <w:b/>
                <w:bCs/>
              </w:rPr>
              <w:t>Paper</w:t>
            </w:r>
          </w:p>
        </w:tc>
        <w:tc>
          <w:tcPr>
            <w:tcW w:w="0" w:type="auto"/>
            <w:vAlign w:val="center"/>
            <w:hideMark/>
          </w:tcPr>
          <w:p w:rsidR="0086101B" w:rsidRDefault="0086101B">
            <w:pPr>
              <w:jc w:val="center"/>
              <w:rPr>
                <w:b/>
                <w:bCs/>
              </w:rPr>
            </w:pPr>
            <w:r>
              <w:rPr>
                <w:b/>
                <w:bCs/>
              </w:rPr>
              <w:t>Summary</w:t>
            </w:r>
          </w:p>
        </w:tc>
      </w:tr>
      <w:tr w:rsidR="0086101B" w:rsidTr="0086101B">
        <w:trPr>
          <w:tblCellSpacing w:w="15" w:type="dxa"/>
        </w:trPr>
        <w:tc>
          <w:tcPr>
            <w:tcW w:w="0" w:type="auto"/>
            <w:vAlign w:val="center"/>
            <w:hideMark/>
          </w:tcPr>
          <w:p w:rsidR="0086101B" w:rsidRDefault="0086101B">
            <w:r>
              <w:t>(Waa et al., 2020)</w:t>
            </w:r>
          </w:p>
        </w:tc>
        <w:tc>
          <w:tcPr>
            <w:tcW w:w="0" w:type="auto"/>
            <w:vAlign w:val="center"/>
            <w:hideMark/>
          </w:tcPr>
          <w:p w:rsidR="0086101B" w:rsidRDefault="0086101B">
            <w:r>
              <w:t>Defines interpretable confidence properties (Waa et al., 2020)</w:t>
            </w:r>
          </w:p>
        </w:tc>
      </w:tr>
      <w:tr w:rsidR="0086101B" w:rsidTr="0086101B">
        <w:trPr>
          <w:tblCellSpacing w:w="15" w:type="dxa"/>
        </w:trPr>
        <w:tc>
          <w:tcPr>
            <w:tcW w:w="0" w:type="auto"/>
            <w:vAlign w:val="center"/>
            <w:hideMark/>
          </w:tcPr>
          <w:p w:rsidR="0086101B" w:rsidRDefault="0086101B">
            <w:r>
              <w:t>(Zhang et al., 2020)</w:t>
            </w:r>
          </w:p>
        </w:tc>
        <w:tc>
          <w:tcPr>
            <w:tcW w:w="0" w:type="auto"/>
            <w:vAlign w:val="center"/>
            <w:hideMark/>
          </w:tcPr>
          <w:p w:rsidR="0086101B" w:rsidRDefault="0086101B">
            <w:r>
              <w:t>Confidence can calibrate trust (Zhang et al., 2020)</w:t>
            </w:r>
          </w:p>
        </w:tc>
      </w:tr>
      <w:tr w:rsidR="0086101B" w:rsidTr="0086101B">
        <w:trPr>
          <w:tblCellSpacing w:w="15" w:type="dxa"/>
        </w:trPr>
        <w:tc>
          <w:tcPr>
            <w:tcW w:w="0" w:type="auto"/>
            <w:vAlign w:val="center"/>
            <w:hideMark/>
          </w:tcPr>
          <w:p w:rsidR="0086101B" w:rsidRDefault="0086101B">
            <w:r>
              <w:t>(Cao et al., 2024)</w:t>
            </w:r>
          </w:p>
        </w:tc>
        <w:tc>
          <w:tcPr>
            <w:tcW w:w="0" w:type="auto"/>
            <w:vAlign w:val="center"/>
            <w:hideMark/>
          </w:tcPr>
          <w:p w:rsidR="0086101B" w:rsidRDefault="0086101B">
            <w:r>
              <w:t>Frequency framing improves use (Cao et al., 2024)</w:t>
            </w:r>
          </w:p>
        </w:tc>
      </w:tr>
    </w:tbl>
    <w:p w:rsidR="0086101B" w:rsidRDefault="0086101B" w:rsidP="0086101B">
      <w:pPr>
        <w:pStyle w:val="NormalWeb"/>
      </w:pPr>
      <w:r>
        <w:rPr>
          <w:rStyle w:val="Strong"/>
        </w:rPr>
        <w:t>Figure 3:</w:t>
      </w:r>
      <w:r>
        <w:t xml:space="preserve"> Foundational papers in confidence indicator research</w:t>
      </w:r>
    </w:p>
    <w:p w:rsidR="0086101B" w:rsidRDefault="0086101B" w:rsidP="0086101B">
      <w:pPr>
        <w:pStyle w:val="Heading3"/>
      </w:pPr>
      <w:r>
        <w:t>3.2 Confidence Output Formats</w:t>
      </w:r>
    </w:p>
    <w:p w:rsidR="0086101B" w:rsidRDefault="0086101B" w:rsidP="0086101B">
      <w:pPr>
        <w:pStyle w:val="NormalWeb"/>
      </w:pPr>
      <w:r>
        <w:t xml:space="preserve">The simplest pattern is a </w:t>
      </w:r>
      <w:r>
        <w:rPr>
          <w:rStyle w:val="Strong"/>
        </w:rPr>
        <w:t>label plus numeric confidence</w:t>
      </w:r>
      <w:r>
        <w:t xml:space="preserve">, usually the predicted-label probability or a calibrated variant (Benz &amp; Gomez Rodriguez, 2023; Cao et al., 2024; Li et al., 2024; </w:t>
      </w:r>
      <w:proofErr w:type="spellStart"/>
      <w:r>
        <w:t>Kozniewski</w:t>
      </w:r>
      <w:proofErr w:type="spellEnd"/>
      <w:r>
        <w:t xml:space="preserve">, 2019). This format is common, but users often struggle to interpret it, </w:t>
      </w:r>
      <w:r>
        <w:lastRenderedPageBreak/>
        <w:t xml:space="preserve">especially under statistical illiteracy, time pressure, or mismatched mental models (Benz &amp; Gomez Rodriguez, 2023; Cao et al., 2024; </w:t>
      </w:r>
      <w:proofErr w:type="spellStart"/>
      <w:r>
        <w:t>Cabitza</w:t>
      </w:r>
      <w:proofErr w:type="spellEnd"/>
      <w:r>
        <w:t xml:space="preserve"> et al., 2025).</w:t>
      </w:r>
    </w:p>
    <w:p w:rsidR="0086101B" w:rsidRDefault="0086101B" w:rsidP="0086101B">
      <w:pPr>
        <w:pStyle w:val="NormalWeb"/>
      </w:pPr>
      <w:r>
        <w:t xml:space="preserve">A second family converts scores into </w:t>
      </w:r>
      <w:r>
        <w:rPr>
          <w:rStyle w:val="Strong"/>
        </w:rPr>
        <w:t>ordinal or verbal levels</w:t>
      </w:r>
      <w:r>
        <w:t>, such as low/high, somewhat/highly confident, or traffic-light displays (</w:t>
      </w:r>
      <w:proofErr w:type="spellStart"/>
      <w:r>
        <w:t>Tatasciore</w:t>
      </w:r>
      <w:proofErr w:type="spellEnd"/>
      <w:r>
        <w:t xml:space="preserve"> et al., 2024; </w:t>
      </w:r>
      <w:proofErr w:type="spellStart"/>
      <w:r>
        <w:t>Fröhlich</w:t>
      </w:r>
      <w:proofErr w:type="spellEnd"/>
      <w:r>
        <w:t xml:space="preserve"> et al., 2022; Zhao et al., 2023; Villavicencio et al., 2026). Ordinal formats often perform better </w:t>
      </w:r>
      <w:proofErr w:type="spellStart"/>
      <w:r>
        <w:t>behaviorally</w:t>
      </w:r>
      <w:proofErr w:type="spellEnd"/>
      <w:r>
        <w:t xml:space="preserve"> because they are cognitively easier to act on than raw percentages, especially in admissions-like and screening tasks (Zhao et al., 2023; Cao et al., 2024; </w:t>
      </w:r>
      <w:proofErr w:type="spellStart"/>
      <w:r>
        <w:t>Hartvig</w:t>
      </w:r>
      <w:proofErr w:type="spellEnd"/>
      <w:r>
        <w:t xml:space="preserve"> et al., 2026).</w:t>
      </w:r>
    </w:p>
    <w:p w:rsidR="0086101B" w:rsidRDefault="0086101B" w:rsidP="0086101B">
      <w:pPr>
        <w:pStyle w:val="NormalWeb"/>
      </w:pPr>
      <w:r>
        <w:t xml:space="preserve">A third family uses </w:t>
      </w:r>
      <w:r>
        <w:rPr>
          <w:rStyle w:val="Strong"/>
        </w:rPr>
        <w:t>visual likelihood cues</w:t>
      </w:r>
      <w:r>
        <w:t xml:space="preserve"> such as bars, fill-level indicators, icon transparency, circles, pie charts, </w:t>
      </w:r>
      <w:proofErr w:type="spellStart"/>
      <w:r>
        <w:t>color</w:t>
      </w:r>
      <w:proofErr w:type="spellEnd"/>
      <w:r>
        <w:t xml:space="preserve"> density, or integrated glyphs (</w:t>
      </w:r>
      <w:proofErr w:type="spellStart"/>
      <w:r>
        <w:t>Fröhlich</w:t>
      </w:r>
      <w:proofErr w:type="spellEnd"/>
      <w:r>
        <w:t xml:space="preserve"> et al., 2022; </w:t>
      </w:r>
      <w:proofErr w:type="spellStart"/>
      <w:r>
        <w:t>Bisantz</w:t>
      </w:r>
      <w:proofErr w:type="spellEnd"/>
      <w:r>
        <w:t xml:space="preserve"> et al., 2011; Yaakov et al., 2024). Graphical cues often outperform or match purely numeric annotation, and users prefer them when they are integrated with the task display rather than separated from it (</w:t>
      </w:r>
      <w:proofErr w:type="spellStart"/>
      <w:r>
        <w:t>Bisantz</w:t>
      </w:r>
      <w:proofErr w:type="spellEnd"/>
      <w:r>
        <w:t xml:space="preserve"> et al., 2011; Yaakov et al.,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1538"/>
        <w:gridCol w:w="2277"/>
        <w:gridCol w:w="1333"/>
        <w:gridCol w:w="2425"/>
      </w:tblGrid>
      <w:tr w:rsidR="0086101B" w:rsidTr="0086101B">
        <w:trPr>
          <w:tblHeader/>
          <w:tblCellSpacing w:w="15" w:type="dxa"/>
        </w:trPr>
        <w:tc>
          <w:tcPr>
            <w:tcW w:w="0" w:type="auto"/>
            <w:vAlign w:val="center"/>
            <w:hideMark/>
          </w:tcPr>
          <w:p w:rsidR="0086101B" w:rsidRDefault="0086101B">
            <w:pPr>
              <w:jc w:val="center"/>
              <w:rPr>
                <w:b/>
                <w:bCs/>
              </w:rPr>
            </w:pPr>
            <w:r>
              <w:rPr>
                <w:b/>
                <w:bCs/>
              </w:rPr>
              <w:t>Format</w:t>
            </w:r>
          </w:p>
        </w:tc>
        <w:tc>
          <w:tcPr>
            <w:tcW w:w="0" w:type="auto"/>
            <w:vAlign w:val="center"/>
            <w:hideMark/>
          </w:tcPr>
          <w:p w:rsidR="0086101B" w:rsidRDefault="0086101B">
            <w:pPr>
              <w:jc w:val="center"/>
              <w:rPr>
                <w:b/>
                <w:bCs/>
              </w:rPr>
            </w:pPr>
            <w:r>
              <w:rPr>
                <w:b/>
                <w:bCs/>
              </w:rPr>
              <w:t>Typical Output</w:t>
            </w:r>
          </w:p>
        </w:tc>
        <w:tc>
          <w:tcPr>
            <w:tcW w:w="0" w:type="auto"/>
            <w:vAlign w:val="center"/>
            <w:hideMark/>
          </w:tcPr>
          <w:p w:rsidR="0086101B" w:rsidRDefault="0086101B">
            <w:pPr>
              <w:jc w:val="center"/>
              <w:rPr>
                <w:b/>
                <w:bCs/>
              </w:rPr>
            </w:pPr>
            <w:r>
              <w:rPr>
                <w:b/>
                <w:bCs/>
              </w:rPr>
              <w:t>Main Strength</w:t>
            </w:r>
          </w:p>
        </w:tc>
        <w:tc>
          <w:tcPr>
            <w:tcW w:w="0" w:type="auto"/>
            <w:vAlign w:val="center"/>
            <w:hideMark/>
          </w:tcPr>
          <w:p w:rsidR="0086101B" w:rsidRDefault="0086101B">
            <w:pPr>
              <w:jc w:val="center"/>
              <w:rPr>
                <w:b/>
                <w:bCs/>
              </w:rPr>
            </w:pPr>
            <w:r>
              <w:rPr>
                <w:b/>
                <w:bCs/>
              </w:rPr>
              <w:t>Main Risk</w:t>
            </w:r>
          </w:p>
        </w:tc>
        <w:tc>
          <w:tcPr>
            <w:tcW w:w="0" w:type="auto"/>
            <w:vAlign w:val="center"/>
            <w:hideMark/>
          </w:tcPr>
          <w:p w:rsidR="0086101B" w:rsidRDefault="0086101B">
            <w:pPr>
              <w:jc w:val="center"/>
              <w:rPr>
                <w:b/>
                <w:bCs/>
              </w:rPr>
            </w:pPr>
            <w:r>
              <w:rPr>
                <w:b/>
                <w:bCs/>
              </w:rPr>
              <w:t>Citations</w:t>
            </w:r>
          </w:p>
        </w:tc>
      </w:tr>
      <w:tr w:rsidR="0086101B" w:rsidTr="0086101B">
        <w:trPr>
          <w:tblCellSpacing w:w="15" w:type="dxa"/>
        </w:trPr>
        <w:tc>
          <w:tcPr>
            <w:tcW w:w="0" w:type="auto"/>
            <w:vAlign w:val="center"/>
            <w:hideMark/>
          </w:tcPr>
          <w:p w:rsidR="0086101B" w:rsidRDefault="0086101B">
            <w:r>
              <w:t>Numeric probability</w:t>
            </w:r>
          </w:p>
        </w:tc>
        <w:tc>
          <w:tcPr>
            <w:tcW w:w="0" w:type="auto"/>
            <w:vAlign w:val="center"/>
            <w:hideMark/>
          </w:tcPr>
          <w:p w:rsidR="0086101B" w:rsidRDefault="0086101B">
            <w:r>
              <w:t>Approve, 0.82</w:t>
            </w:r>
          </w:p>
        </w:tc>
        <w:tc>
          <w:tcPr>
            <w:tcW w:w="0" w:type="auto"/>
            <w:vAlign w:val="center"/>
            <w:hideMark/>
          </w:tcPr>
          <w:p w:rsidR="0086101B" w:rsidRDefault="0086101B">
            <w:r>
              <w:t xml:space="preserve">Precise and </w:t>
            </w:r>
            <w:proofErr w:type="spellStart"/>
            <w:r>
              <w:t>calibratable</w:t>
            </w:r>
            <w:proofErr w:type="spellEnd"/>
          </w:p>
        </w:tc>
        <w:tc>
          <w:tcPr>
            <w:tcW w:w="0" w:type="auto"/>
            <w:vAlign w:val="center"/>
            <w:hideMark/>
          </w:tcPr>
          <w:p w:rsidR="0086101B" w:rsidRDefault="0086101B">
            <w:r>
              <w:t>Hard to interpret</w:t>
            </w:r>
          </w:p>
        </w:tc>
        <w:tc>
          <w:tcPr>
            <w:tcW w:w="0" w:type="auto"/>
            <w:vAlign w:val="center"/>
            <w:hideMark/>
          </w:tcPr>
          <w:p w:rsidR="0086101B" w:rsidRDefault="0086101B">
            <w:r>
              <w:t>(Cao et al., 2024; Li et al., 2024)</w:t>
            </w:r>
          </w:p>
        </w:tc>
      </w:tr>
      <w:tr w:rsidR="0086101B" w:rsidTr="0086101B">
        <w:trPr>
          <w:tblCellSpacing w:w="15" w:type="dxa"/>
        </w:trPr>
        <w:tc>
          <w:tcPr>
            <w:tcW w:w="0" w:type="auto"/>
            <w:vAlign w:val="center"/>
            <w:hideMark/>
          </w:tcPr>
          <w:p w:rsidR="0086101B" w:rsidRDefault="0086101B">
            <w:r>
              <w:t>Ordinal bin</w:t>
            </w:r>
          </w:p>
        </w:tc>
        <w:tc>
          <w:tcPr>
            <w:tcW w:w="0" w:type="auto"/>
            <w:vAlign w:val="center"/>
            <w:hideMark/>
          </w:tcPr>
          <w:p w:rsidR="0086101B" w:rsidRDefault="0086101B">
            <w:r>
              <w:t>Approve, High</w:t>
            </w:r>
          </w:p>
        </w:tc>
        <w:tc>
          <w:tcPr>
            <w:tcW w:w="0" w:type="auto"/>
            <w:vAlign w:val="center"/>
            <w:hideMark/>
          </w:tcPr>
          <w:p w:rsidR="0086101B" w:rsidRDefault="0086101B">
            <w:r>
              <w:t>Easier to act on</w:t>
            </w:r>
          </w:p>
        </w:tc>
        <w:tc>
          <w:tcPr>
            <w:tcW w:w="0" w:type="auto"/>
            <w:vAlign w:val="center"/>
            <w:hideMark/>
          </w:tcPr>
          <w:p w:rsidR="0086101B" w:rsidRDefault="0086101B">
            <w:r>
              <w:t>Loses detail</w:t>
            </w:r>
          </w:p>
        </w:tc>
        <w:tc>
          <w:tcPr>
            <w:tcW w:w="0" w:type="auto"/>
            <w:vAlign w:val="center"/>
            <w:hideMark/>
          </w:tcPr>
          <w:p w:rsidR="0086101B" w:rsidRDefault="0086101B">
            <w:r>
              <w:t>(</w:t>
            </w:r>
            <w:proofErr w:type="spellStart"/>
            <w:r>
              <w:t>Tatasciore</w:t>
            </w:r>
            <w:proofErr w:type="spellEnd"/>
            <w:r>
              <w:t xml:space="preserve"> et al., 2024; Zhao et al., 2023)</w:t>
            </w:r>
          </w:p>
        </w:tc>
      </w:tr>
      <w:tr w:rsidR="0086101B" w:rsidTr="0086101B">
        <w:trPr>
          <w:tblCellSpacing w:w="15" w:type="dxa"/>
        </w:trPr>
        <w:tc>
          <w:tcPr>
            <w:tcW w:w="0" w:type="auto"/>
            <w:vAlign w:val="center"/>
            <w:hideMark/>
          </w:tcPr>
          <w:p w:rsidR="0086101B" w:rsidRDefault="0086101B">
            <w:r>
              <w:t>Visual cue</w:t>
            </w:r>
          </w:p>
        </w:tc>
        <w:tc>
          <w:tcPr>
            <w:tcW w:w="0" w:type="auto"/>
            <w:vAlign w:val="center"/>
            <w:hideMark/>
          </w:tcPr>
          <w:p w:rsidR="0086101B" w:rsidRDefault="0086101B">
            <w:r>
              <w:t>Reject + bar/icon</w:t>
            </w:r>
          </w:p>
        </w:tc>
        <w:tc>
          <w:tcPr>
            <w:tcW w:w="0" w:type="auto"/>
            <w:vAlign w:val="center"/>
            <w:hideMark/>
          </w:tcPr>
          <w:p w:rsidR="0086101B" w:rsidRDefault="0086101B">
            <w:r>
              <w:t>Fast perceptual read</w:t>
            </w:r>
          </w:p>
        </w:tc>
        <w:tc>
          <w:tcPr>
            <w:tcW w:w="0" w:type="auto"/>
            <w:vAlign w:val="center"/>
            <w:hideMark/>
          </w:tcPr>
          <w:p w:rsidR="0086101B" w:rsidRDefault="0086101B">
            <w:r>
              <w:t>Salience can bias</w:t>
            </w:r>
          </w:p>
        </w:tc>
        <w:tc>
          <w:tcPr>
            <w:tcW w:w="0" w:type="auto"/>
            <w:vAlign w:val="center"/>
            <w:hideMark/>
          </w:tcPr>
          <w:p w:rsidR="0086101B" w:rsidRDefault="0086101B">
            <w:r>
              <w:t>(</w:t>
            </w:r>
            <w:proofErr w:type="spellStart"/>
            <w:r>
              <w:t>Fröhlich</w:t>
            </w:r>
            <w:proofErr w:type="spellEnd"/>
            <w:r>
              <w:t xml:space="preserve"> et al., 2022; </w:t>
            </w:r>
            <w:proofErr w:type="spellStart"/>
            <w:r>
              <w:t>Bisantz</w:t>
            </w:r>
            <w:proofErr w:type="spellEnd"/>
            <w:r>
              <w:t xml:space="preserve"> et al., 2011)</w:t>
            </w:r>
          </w:p>
        </w:tc>
      </w:tr>
      <w:tr w:rsidR="0086101B" w:rsidTr="0086101B">
        <w:trPr>
          <w:tblCellSpacing w:w="15" w:type="dxa"/>
        </w:trPr>
        <w:tc>
          <w:tcPr>
            <w:tcW w:w="0" w:type="auto"/>
            <w:vAlign w:val="center"/>
            <w:hideMark/>
          </w:tcPr>
          <w:p w:rsidR="0086101B" w:rsidRDefault="0086101B">
            <w:r>
              <w:t>Natural frequency</w:t>
            </w:r>
          </w:p>
        </w:tc>
        <w:tc>
          <w:tcPr>
            <w:tcW w:w="0" w:type="auto"/>
            <w:vAlign w:val="center"/>
            <w:hideMark/>
          </w:tcPr>
          <w:p w:rsidR="0086101B" w:rsidRDefault="0086101B">
            <w:r>
              <w:t>7 of 10 similar cases</w:t>
            </w:r>
          </w:p>
        </w:tc>
        <w:tc>
          <w:tcPr>
            <w:tcW w:w="0" w:type="auto"/>
            <w:vAlign w:val="center"/>
            <w:hideMark/>
          </w:tcPr>
          <w:p w:rsidR="0086101B" w:rsidRDefault="0086101B">
            <w:r>
              <w:t>Better comprehension</w:t>
            </w:r>
          </w:p>
        </w:tc>
        <w:tc>
          <w:tcPr>
            <w:tcW w:w="0" w:type="auto"/>
            <w:vAlign w:val="center"/>
            <w:hideMark/>
          </w:tcPr>
          <w:p w:rsidR="0086101B" w:rsidRDefault="0086101B">
            <w:r>
              <w:t>Needs context data</w:t>
            </w:r>
          </w:p>
        </w:tc>
        <w:tc>
          <w:tcPr>
            <w:tcW w:w="0" w:type="auto"/>
            <w:vAlign w:val="center"/>
            <w:hideMark/>
          </w:tcPr>
          <w:p w:rsidR="0086101B" w:rsidRDefault="0086101B">
            <w:r>
              <w:t xml:space="preserve">(Cao et al., 2024; </w:t>
            </w:r>
            <w:proofErr w:type="spellStart"/>
            <w:r>
              <w:t>Gray</w:t>
            </w:r>
            <w:proofErr w:type="spellEnd"/>
            <w:r>
              <w:t xml:space="preserve"> et al., 2024)</w:t>
            </w:r>
          </w:p>
        </w:tc>
      </w:tr>
      <w:tr w:rsidR="0086101B" w:rsidTr="0086101B">
        <w:trPr>
          <w:tblCellSpacing w:w="15" w:type="dxa"/>
        </w:trPr>
        <w:tc>
          <w:tcPr>
            <w:tcW w:w="0" w:type="auto"/>
            <w:vAlign w:val="center"/>
            <w:hideMark/>
          </w:tcPr>
          <w:p w:rsidR="0086101B" w:rsidRDefault="0086101B">
            <w:r>
              <w:t>Hedge language</w:t>
            </w:r>
          </w:p>
        </w:tc>
        <w:tc>
          <w:tcPr>
            <w:tcW w:w="0" w:type="auto"/>
            <w:vAlign w:val="center"/>
            <w:hideMark/>
          </w:tcPr>
          <w:p w:rsidR="0086101B" w:rsidRDefault="0086101B">
            <w:r>
              <w:t>“Likely” / “uncertain”</w:t>
            </w:r>
          </w:p>
        </w:tc>
        <w:tc>
          <w:tcPr>
            <w:tcW w:w="0" w:type="auto"/>
            <w:vAlign w:val="center"/>
            <w:hideMark/>
          </w:tcPr>
          <w:p w:rsidR="0086101B" w:rsidRDefault="0086101B">
            <w:r>
              <w:t>Preserves trust, reduces following</w:t>
            </w:r>
          </w:p>
        </w:tc>
        <w:tc>
          <w:tcPr>
            <w:tcW w:w="0" w:type="auto"/>
            <w:vAlign w:val="center"/>
            <w:hideMark/>
          </w:tcPr>
          <w:p w:rsidR="0086101B" w:rsidRDefault="0086101B">
            <w:r>
              <w:t>Can reduce uptake</w:t>
            </w:r>
          </w:p>
        </w:tc>
        <w:tc>
          <w:tcPr>
            <w:tcW w:w="0" w:type="auto"/>
            <w:vAlign w:val="center"/>
            <w:hideMark/>
          </w:tcPr>
          <w:p w:rsidR="0086101B" w:rsidRDefault="0086101B">
            <w:r>
              <w:t>(</w:t>
            </w:r>
            <w:proofErr w:type="spellStart"/>
            <w:r>
              <w:t>Spillner</w:t>
            </w:r>
            <w:proofErr w:type="spellEnd"/>
            <w:r>
              <w:t xml:space="preserve"> et al., 2026)</w:t>
            </w:r>
          </w:p>
        </w:tc>
      </w:tr>
    </w:tbl>
    <w:p w:rsidR="0086101B" w:rsidRDefault="0086101B" w:rsidP="0086101B">
      <w:pPr>
        <w:pStyle w:val="NormalWeb"/>
      </w:pPr>
      <w:r>
        <w:rPr>
          <w:rStyle w:val="Strong"/>
        </w:rPr>
        <w:t>Figure 4:</w:t>
      </w:r>
      <w:r>
        <w:t xml:space="preserve"> Common confidence output formats and trade-offs</w:t>
      </w:r>
    </w:p>
    <w:p w:rsidR="0086101B" w:rsidRDefault="0086101B" w:rsidP="0086101B">
      <w:pPr>
        <w:pStyle w:val="Heading3"/>
      </w:pPr>
      <w:r>
        <w:t>3.3 Decision Policies and Deferral</w:t>
      </w:r>
    </w:p>
    <w:p w:rsidR="0086101B" w:rsidRDefault="0086101B" w:rsidP="0086101B">
      <w:pPr>
        <w:pStyle w:val="NormalWeb"/>
      </w:pPr>
      <w:r>
        <w:t xml:space="preserve">A major pattern is to use confidence not only as a display, but as a </w:t>
      </w:r>
      <w:r>
        <w:rPr>
          <w:rStyle w:val="Strong"/>
        </w:rPr>
        <w:t>routing policy</w:t>
      </w:r>
      <w:r>
        <w:t xml:space="preserve">. In multi-class classification, confidence can determine whether the system classifies automatically or sends the case to a human expert (Bukowski et al., 2021; </w:t>
      </w:r>
      <w:proofErr w:type="spellStart"/>
      <w:r>
        <w:t>Kozniewski</w:t>
      </w:r>
      <w:proofErr w:type="spellEnd"/>
      <w:r>
        <w:t xml:space="preserve">, 2019). Selective prediction work in legal NLP and human-in-the-loop classification similarly treats confidence as the basis for abstention, review, or coverage-control policies (T.Y.S.S et al., 2024; </w:t>
      </w:r>
      <w:proofErr w:type="spellStart"/>
      <w:r>
        <w:t>Muric</w:t>
      </w:r>
      <w:proofErr w:type="spellEnd"/>
      <w:r>
        <w:t xml:space="preserve"> &amp; Minton, 2026).</w:t>
      </w:r>
    </w:p>
    <w:p w:rsidR="0086101B" w:rsidRDefault="0086101B" w:rsidP="0086101B">
      <w:pPr>
        <w:pStyle w:val="NormalWeb"/>
      </w:pPr>
      <w:r>
        <w:t xml:space="preserve">The cleanest interface form is the </w:t>
      </w:r>
      <w:r>
        <w:rPr>
          <w:rStyle w:val="Strong"/>
        </w:rPr>
        <w:t>double-threshold pattern</w:t>
      </w:r>
      <w:r>
        <w:t>: low-confidence cases go to review, while high-confidence cases are automatically accepted or rejected (</w:t>
      </w:r>
      <w:proofErr w:type="spellStart"/>
      <w:r>
        <w:t>Muric</w:t>
      </w:r>
      <w:proofErr w:type="spellEnd"/>
      <w:r>
        <w:t xml:space="preserve"> &amp; Minton, 2026; Karunanayake, 2025; Ibrahim, 2025). Related work describes “learning to defer,” confidence thresholds, and adaptive delegation as ways to optimize the trade-off among team accuracy, human workload, and asymmetric error costs (Ibrahim, 2025; Chowdhury &amp; </w:t>
      </w:r>
      <w:proofErr w:type="spellStart"/>
      <w:r>
        <w:t>Tanvir</w:t>
      </w:r>
      <w:proofErr w:type="spellEnd"/>
      <w:r>
        <w:t>, 2026).</w:t>
      </w:r>
    </w:p>
    <w:p w:rsidR="0086101B" w:rsidRDefault="0086101B" w:rsidP="0086101B">
      <w:pPr>
        <w:pStyle w:val="NormalWeb"/>
      </w:pPr>
      <w:r>
        <w:lastRenderedPageBreak/>
        <w:t xml:space="preserve">Another recurring design is </w:t>
      </w:r>
      <w:r>
        <w:rPr>
          <w:rStyle w:val="Strong"/>
        </w:rPr>
        <w:t>dynamic or trial-level confidence updates</w:t>
      </w:r>
      <w:r>
        <w:t xml:space="preserve"> rather than a single system-wide reliability label. Updated confidence attached to each piece of advice improved appropriate reliance in the automation-bias literature (Goddard et al., 2011). Clinical work also found that dynamic, multi-factor confidence frameworks tied to transparency can sharply reduce override rates for high-confidence outputs while keeping low-confidence cases under </w:t>
      </w:r>
      <w:proofErr w:type="spellStart"/>
      <w:r>
        <w:t>skepticism</w:t>
      </w:r>
      <w:proofErr w:type="spellEnd"/>
      <w:r>
        <w:t xml:space="preserve"> (Yu et al.,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146"/>
        <w:gridCol w:w="2470"/>
        <w:gridCol w:w="3022"/>
      </w:tblGrid>
      <w:tr w:rsidR="0086101B" w:rsidTr="0086101B">
        <w:trPr>
          <w:tblHeader/>
          <w:tblCellSpacing w:w="15" w:type="dxa"/>
        </w:trPr>
        <w:tc>
          <w:tcPr>
            <w:tcW w:w="0" w:type="auto"/>
            <w:vAlign w:val="center"/>
            <w:hideMark/>
          </w:tcPr>
          <w:p w:rsidR="0086101B" w:rsidRDefault="0086101B">
            <w:pPr>
              <w:jc w:val="center"/>
              <w:rPr>
                <w:b/>
                <w:bCs/>
              </w:rPr>
            </w:pPr>
            <w:r>
              <w:rPr>
                <w:b/>
                <w:bCs/>
              </w:rPr>
              <w:t>Policy Pattern</w:t>
            </w:r>
          </w:p>
        </w:tc>
        <w:tc>
          <w:tcPr>
            <w:tcW w:w="0" w:type="auto"/>
            <w:vAlign w:val="center"/>
            <w:hideMark/>
          </w:tcPr>
          <w:p w:rsidR="0086101B" w:rsidRDefault="0086101B">
            <w:pPr>
              <w:jc w:val="center"/>
              <w:rPr>
                <w:b/>
                <w:bCs/>
              </w:rPr>
            </w:pPr>
            <w:r>
              <w:rPr>
                <w:b/>
                <w:bCs/>
              </w:rPr>
              <w:t>Decision Logic</w:t>
            </w:r>
          </w:p>
        </w:tc>
        <w:tc>
          <w:tcPr>
            <w:tcW w:w="0" w:type="auto"/>
            <w:vAlign w:val="center"/>
            <w:hideMark/>
          </w:tcPr>
          <w:p w:rsidR="0086101B" w:rsidRDefault="0086101B">
            <w:pPr>
              <w:jc w:val="center"/>
              <w:rPr>
                <w:b/>
                <w:bCs/>
              </w:rPr>
            </w:pPr>
            <w:r>
              <w:rPr>
                <w:b/>
                <w:bCs/>
              </w:rPr>
              <w:t>Reported Benefit</w:t>
            </w:r>
          </w:p>
        </w:tc>
        <w:tc>
          <w:tcPr>
            <w:tcW w:w="0" w:type="auto"/>
            <w:vAlign w:val="center"/>
            <w:hideMark/>
          </w:tcPr>
          <w:p w:rsidR="0086101B" w:rsidRDefault="0086101B">
            <w:pPr>
              <w:jc w:val="center"/>
              <w:rPr>
                <w:b/>
                <w:bCs/>
              </w:rPr>
            </w:pPr>
            <w:r>
              <w:rPr>
                <w:b/>
                <w:bCs/>
              </w:rPr>
              <w:t>Citations</w:t>
            </w:r>
          </w:p>
        </w:tc>
      </w:tr>
      <w:tr w:rsidR="0086101B" w:rsidTr="0086101B">
        <w:trPr>
          <w:tblCellSpacing w:w="15" w:type="dxa"/>
        </w:trPr>
        <w:tc>
          <w:tcPr>
            <w:tcW w:w="0" w:type="auto"/>
            <w:vAlign w:val="center"/>
            <w:hideMark/>
          </w:tcPr>
          <w:p w:rsidR="0086101B" w:rsidRDefault="0086101B">
            <w:r>
              <w:t>Single threshold</w:t>
            </w:r>
          </w:p>
        </w:tc>
        <w:tc>
          <w:tcPr>
            <w:tcW w:w="0" w:type="auto"/>
            <w:vAlign w:val="center"/>
            <w:hideMark/>
          </w:tcPr>
          <w:p w:rsidR="0086101B" w:rsidRDefault="0086101B">
            <w:r>
              <w:t>Use AI above τ</w:t>
            </w:r>
          </w:p>
        </w:tc>
        <w:tc>
          <w:tcPr>
            <w:tcW w:w="0" w:type="auto"/>
            <w:vAlign w:val="center"/>
            <w:hideMark/>
          </w:tcPr>
          <w:p w:rsidR="0086101B" w:rsidRDefault="0086101B">
            <w:r>
              <w:t>Better than always-on in simulation</w:t>
            </w:r>
          </w:p>
        </w:tc>
        <w:tc>
          <w:tcPr>
            <w:tcW w:w="0" w:type="auto"/>
            <w:vAlign w:val="center"/>
            <w:hideMark/>
          </w:tcPr>
          <w:p w:rsidR="0086101B" w:rsidRDefault="0086101B">
            <w:r>
              <w:t>(Ibrahim, 2025)</w:t>
            </w:r>
          </w:p>
        </w:tc>
      </w:tr>
      <w:tr w:rsidR="0086101B" w:rsidTr="0086101B">
        <w:trPr>
          <w:tblCellSpacing w:w="15" w:type="dxa"/>
        </w:trPr>
        <w:tc>
          <w:tcPr>
            <w:tcW w:w="0" w:type="auto"/>
            <w:vAlign w:val="center"/>
            <w:hideMark/>
          </w:tcPr>
          <w:p w:rsidR="0086101B" w:rsidRDefault="0086101B">
            <w:r>
              <w:t>Double threshold</w:t>
            </w:r>
          </w:p>
        </w:tc>
        <w:tc>
          <w:tcPr>
            <w:tcW w:w="0" w:type="auto"/>
            <w:vAlign w:val="center"/>
            <w:hideMark/>
          </w:tcPr>
          <w:p w:rsidR="0086101B" w:rsidRDefault="0086101B">
            <w:r>
              <w:t>Auto low/high, review middle</w:t>
            </w:r>
          </w:p>
        </w:tc>
        <w:tc>
          <w:tcPr>
            <w:tcW w:w="0" w:type="auto"/>
            <w:vAlign w:val="center"/>
            <w:hideMark/>
          </w:tcPr>
          <w:p w:rsidR="0086101B" w:rsidRDefault="0086101B">
            <w:r>
              <w:t>Balances review cost and reliability</w:t>
            </w:r>
          </w:p>
        </w:tc>
        <w:tc>
          <w:tcPr>
            <w:tcW w:w="0" w:type="auto"/>
            <w:vAlign w:val="center"/>
            <w:hideMark/>
          </w:tcPr>
          <w:p w:rsidR="0086101B" w:rsidRDefault="0086101B">
            <w:r>
              <w:t>(</w:t>
            </w:r>
            <w:proofErr w:type="spellStart"/>
            <w:r>
              <w:t>Muric</w:t>
            </w:r>
            <w:proofErr w:type="spellEnd"/>
            <w:r>
              <w:t xml:space="preserve"> &amp; Minton, 2026)</w:t>
            </w:r>
          </w:p>
        </w:tc>
      </w:tr>
      <w:tr w:rsidR="0086101B" w:rsidTr="0086101B">
        <w:trPr>
          <w:tblCellSpacing w:w="15" w:type="dxa"/>
        </w:trPr>
        <w:tc>
          <w:tcPr>
            <w:tcW w:w="0" w:type="auto"/>
            <w:vAlign w:val="center"/>
            <w:hideMark/>
          </w:tcPr>
          <w:p w:rsidR="0086101B" w:rsidRDefault="0086101B">
            <w:r>
              <w:t>Dynamic update</w:t>
            </w:r>
          </w:p>
        </w:tc>
        <w:tc>
          <w:tcPr>
            <w:tcW w:w="0" w:type="auto"/>
            <w:vAlign w:val="center"/>
            <w:hideMark/>
          </w:tcPr>
          <w:p w:rsidR="0086101B" w:rsidRDefault="0086101B">
            <w:r>
              <w:t>Per-case confidence refresh</w:t>
            </w:r>
          </w:p>
        </w:tc>
        <w:tc>
          <w:tcPr>
            <w:tcW w:w="0" w:type="auto"/>
            <w:vAlign w:val="center"/>
            <w:hideMark/>
          </w:tcPr>
          <w:p w:rsidR="0086101B" w:rsidRDefault="0086101B">
            <w:r>
              <w:t>Reduces blind following</w:t>
            </w:r>
          </w:p>
        </w:tc>
        <w:tc>
          <w:tcPr>
            <w:tcW w:w="0" w:type="auto"/>
            <w:vAlign w:val="center"/>
            <w:hideMark/>
          </w:tcPr>
          <w:p w:rsidR="0086101B" w:rsidRDefault="0086101B">
            <w:r>
              <w:t xml:space="preserve">(Goddard et al., 2011; </w:t>
            </w:r>
            <w:proofErr w:type="spellStart"/>
            <w:r>
              <w:t>Rezaeian</w:t>
            </w:r>
            <w:proofErr w:type="spellEnd"/>
            <w:r>
              <w:t xml:space="preserve"> et al., 2025)</w:t>
            </w:r>
          </w:p>
        </w:tc>
      </w:tr>
      <w:tr w:rsidR="0086101B" w:rsidTr="0086101B">
        <w:trPr>
          <w:tblCellSpacing w:w="15" w:type="dxa"/>
        </w:trPr>
        <w:tc>
          <w:tcPr>
            <w:tcW w:w="0" w:type="auto"/>
            <w:vAlign w:val="center"/>
            <w:hideMark/>
          </w:tcPr>
          <w:p w:rsidR="0086101B" w:rsidRDefault="0086101B">
            <w:r>
              <w:t>Cost-aligned cue</w:t>
            </w:r>
          </w:p>
        </w:tc>
        <w:tc>
          <w:tcPr>
            <w:tcW w:w="0" w:type="auto"/>
            <w:vAlign w:val="center"/>
            <w:hideMark/>
          </w:tcPr>
          <w:p w:rsidR="0086101B" w:rsidRDefault="0086101B">
            <w:r>
              <w:t>Confidence tied to error cost</w:t>
            </w:r>
          </w:p>
        </w:tc>
        <w:tc>
          <w:tcPr>
            <w:tcW w:w="0" w:type="auto"/>
            <w:vAlign w:val="center"/>
            <w:hideMark/>
          </w:tcPr>
          <w:p w:rsidR="0086101B" w:rsidRDefault="0086101B">
            <w:r>
              <w:t>Lowers costly triage errors</w:t>
            </w:r>
          </w:p>
        </w:tc>
        <w:tc>
          <w:tcPr>
            <w:tcW w:w="0" w:type="auto"/>
            <w:vAlign w:val="center"/>
            <w:hideMark/>
          </w:tcPr>
          <w:p w:rsidR="0086101B" w:rsidRDefault="0086101B">
            <w:r>
              <w:t xml:space="preserve">(Chowdhury &amp; </w:t>
            </w:r>
            <w:proofErr w:type="spellStart"/>
            <w:r>
              <w:t>Tanvir</w:t>
            </w:r>
            <w:proofErr w:type="spellEnd"/>
            <w:r>
              <w:t>, 2026)</w:t>
            </w:r>
          </w:p>
        </w:tc>
      </w:tr>
    </w:tbl>
    <w:p w:rsidR="0086101B" w:rsidRDefault="0086101B" w:rsidP="0086101B">
      <w:pPr>
        <w:pStyle w:val="NormalWeb"/>
      </w:pPr>
      <w:r>
        <w:rPr>
          <w:rStyle w:val="Strong"/>
        </w:rPr>
        <w:t>Figure 5:</w:t>
      </w:r>
      <w:r>
        <w:t xml:space="preserve"> Decision policies built around confidence signals</w:t>
      </w:r>
    </w:p>
    <w:p w:rsidR="0086101B" w:rsidRDefault="0086101B" w:rsidP="0086101B">
      <w:pPr>
        <w:pStyle w:val="Heading3"/>
      </w:pPr>
      <w:r>
        <w:t>3.4 Human Factors and Failure Modes</w:t>
      </w:r>
    </w:p>
    <w:p w:rsidR="0086101B" w:rsidRDefault="0086101B" w:rsidP="0086101B">
      <w:pPr>
        <w:pStyle w:val="NormalWeb"/>
      </w:pPr>
      <w:r>
        <w:t xml:space="preserve">The evidence is mixed on whether confidence indicators alone improve decisions. Well-calibrated confidence can improve accuracy and utility, but </w:t>
      </w:r>
      <w:proofErr w:type="spellStart"/>
      <w:r>
        <w:t>miscalibrated</w:t>
      </w:r>
      <w:proofErr w:type="spellEnd"/>
      <w:r>
        <w:t xml:space="preserve"> confidence can increase automation bias and conservatism bias (</w:t>
      </w:r>
      <w:proofErr w:type="spellStart"/>
      <w:r>
        <w:t>Fregosi</w:t>
      </w:r>
      <w:proofErr w:type="spellEnd"/>
      <w:r>
        <w:t xml:space="preserve"> et al., 2026; Li et al., 2024). In some tasks, transparency improved automation use while confidence labels had no overall benefit, even though users still reacted to low versus high confidence on a trial basis (</w:t>
      </w:r>
      <w:proofErr w:type="spellStart"/>
      <w:r>
        <w:t>Tatasciore</w:t>
      </w:r>
      <w:proofErr w:type="spellEnd"/>
      <w:r>
        <w:t xml:space="preserve"> et al., 2024).</w:t>
      </w:r>
    </w:p>
    <w:p w:rsidR="0086101B" w:rsidRDefault="0086101B" w:rsidP="0086101B">
      <w:pPr>
        <w:pStyle w:val="NormalWeb"/>
      </w:pPr>
      <w:r>
        <w:t xml:space="preserve">Users also do not process confidence independently of their own self-confidence. Self-confidence strongly shapes whether people accept or reject AI advice, and AI confidence can itself shift users’ self-confidence over time (Chong et al., 2022; Li et al., 2025; </w:t>
      </w:r>
      <w:proofErr w:type="spellStart"/>
      <w:r>
        <w:t>Doğru</w:t>
      </w:r>
      <w:proofErr w:type="spellEnd"/>
      <w:r>
        <w:t xml:space="preserve"> &amp; </w:t>
      </w:r>
      <w:proofErr w:type="spellStart"/>
      <w:r>
        <w:t>Krämer</w:t>
      </w:r>
      <w:proofErr w:type="spellEnd"/>
      <w:r>
        <w:t xml:space="preserve">, 2025; </w:t>
      </w:r>
      <w:proofErr w:type="spellStart"/>
      <w:r>
        <w:t>Küper</w:t>
      </w:r>
      <w:proofErr w:type="spellEnd"/>
      <w:r>
        <w:t xml:space="preserve"> et al., 2024). That is why several papers recommend pairing AI confidence with user calibration feedback, training, or personalized thresholds rather than assuming one universal display will work for everyone (</w:t>
      </w:r>
      <w:proofErr w:type="spellStart"/>
      <w:r>
        <w:t>Shuai</w:t>
      </w:r>
      <w:proofErr w:type="spellEnd"/>
      <w:r>
        <w:t xml:space="preserve"> et al., 2024; Ibrahim, 2025; </w:t>
      </w:r>
      <w:proofErr w:type="spellStart"/>
      <w:r>
        <w:t>Küper</w:t>
      </w:r>
      <w:proofErr w:type="spellEnd"/>
      <w:r>
        <w:t xml:space="preserve"> &amp; </w:t>
      </w:r>
      <w:proofErr w:type="spellStart"/>
      <w:r>
        <w:t>Krämer</w:t>
      </w:r>
      <w:proofErr w:type="spellEnd"/>
      <w:r>
        <w:t>, 2024).</w:t>
      </w:r>
    </w:p>
    <w:p w:rsidR="0086101B" w:rsidRDefault="0086101B" w:rsidP="0086101B">
      <w:pPr>
        <w:pStyle w:val="NormalWeb"/>
      </w:pPr>
      <w:r>
        <w:t xml:space="preserve">Presentation details matter more than they first appear. Percentages can produce different trust </w:t>
      </w:r>
      <w:proofErr w:type="spellStart"/>
      <w:r>
        <w:t>behavior</w:t>
      </w:r>
      <w:proofErr w:type="spellEnd"/>
      <w:r>
        <w:t xml:space="preserve"> than raw scores carrying the same information, integrated-likelihood displays outperform separated ones, and explanation length can inflate confidence even when accuracy does not improve (</w:t>
      </w:r>
      <w:proofErr w:type="spellStart"/>
      <w:r>
        <w:t>Hartvig</w:t>
      </w:r>
      <w:proofErr w:type="spellEnd"/>
      <w:r>
        <w:t xml:space="preserve"> et al., 2026; Yaakov et al., 2024; </w:t>
      </w:r>
      <w:proofErr w:type="spellStart"/>
      <w:r>
        <w:t>Steyvers</w:t>
      </w:r>
      <w:proofErr w:type="spellEnd"/>
      <w:r>
        <w:t xml:space="preserve"> et al., 2024). The broader visualization literature therefore emphasizes trade-offs among precision, clutter, cognitive load, and </w:t>
      </w:r>
      <w:proofErr w:type="spellStart"/>
      <w:r>
        <w:t>actionability</w:t>
      </w:r>
      <w:proofErr w:type="spellEnd"/>
      <w:r>
        <w:t xml:space="preserve"> rather than a single universally optimal display (</w:t>
      </w:r>
      <w:proofErr w:type="spellStart"/>
      <w:r>
        <w:t>Newendorp</w:t>
      </w:r>
      <w:proofErr w:type="spellEnd"/>
      <w:r>
        <w:t xml:space="preserve">, 2024; </w:t>
      </w:r>
      <w:proofErr w:type="spellStart"/>
      <w:r>
        <w:t>Hullman</w:t>
      </w:r>
      <w:proofErr w:type="spellEnd"/>
      <w:r>
        <w:t xml:space="preserve"> et al., 2019; Tennant &amp; Randall, 2025).</w:t>
      </w:r>
    </w:p>
    <w:p w:rsidR="0086101B" w:rsidRDefault="0086101B" w:rsidP="0086101B">
      <w:pPr>
        <w:pStyle w:val="Heading3"/>
      </w:pPr>
      <w:r>
        <w:lastRenderedPageBreak/>
        <w:t>Results Timeline</w:t>
      </w:r>
    </w:p>
    <w:p w:rsidR="0086101B" w:rsidRDefault="0086101B" w:rsidP="0086101B">
      <w:pPr>
        <w:pStyle w:val="NormalWeb"/>
      </w:pPr>
      <w:r>
        <w:t>Confidence-indicator research has moved from theory to interface design and selective delegation.</w:t>
      </w:r>
    </w:p>
    <w:p w:rsidR="0086101B" w:rsidRDefault="0086101B" w:rsidP="0086101B">
      <w:pPr>
        <w:numPr>
          <w:ilvl w:val="0"/>
          <w:numId w:val="4"/>
        </w:numPr>
        <w:spacing w:before="100" w:beforeAutospacing="1" w:after="100" w:afterAutospacing="1" w:line="240" w:lineRule="auto"/>
      </w:pPr>
      <w:r>
        <w:rPr>
          <w:rStyle w:val="Strong"/>
        </w:rPr>
        <w:t>1996</w:t>
      </w:r>
      <w:r>
        <w:t xml:space="preserve"> </w:t>
      </w:r>
    </w:p>
    <w:p w:rsidR="0086101B" w:rsidRDefault="0086101B" w:rsidP="0086101B">
      <w:pPr>
        <w:numPr>
          <w:ilvl w:val="1"/>
          <w:numId w:val="4"/>
        </w:numPr>
        <w:spacing w:before="100" w:beforeAutospacing="1" w:after="100" w:afterAutospacing="1" w:line="240" w:lineRule="auto"/>
      </w:pPr>
      <w:r>
        <w:t xml:space="preserve">1 paper: (Kasper, 1996)- </w:t>
      </w:r>
      <w:r>
        <w:rPr>
          <w:rStyle w:val="Strong"/>
        </w:rPr>
        <w:t>2011</w:t>
      </w:r>
    </w:p>
    <w:p w:rsidR="0086101B" w:rsidRDefault="0086101B" w:rsidP="0086101B">
      <w:pPr>
        <w:numPr>
          <w:ilvl w:val="1"/>
          <w:numId w:val="4"/>
        </w:numPr>
        <w:spacing w:before="100" w:beforeAutospacing="1" w:after="100" w:afterAutospacing="1" w:line="240" w:lineRule="auto"/>
      </w:pPr>
      <w:r>
        <w:t xml:space="preserve">1 paper: (Goddard et al., 2011)- </w:t>
      </w:r>
      <w:r>
        <w:rPr>
          <w:rStyle w:val="Strong"/>
        </w:rPr>
        <w:t>2019</w:t>
      </w:r>
    </w:p>
    <w:p w:rsidR="0086101B" w:rsidRDefault="0086101B" w:rsidP="0086101B">
      <w:pPr>
        <w:numPr>
          <w:ilvl w:val="1"/>
          <w:numId w:val="4"/>
        </w:numPr>
        <w:spacing w:before="100" w:beforeAutospacing="1" w:after="100" w:afterAutospacing="1" w:line="240" w:lineRule="auto"/>
      </w:pPr>
      <w:r>
        <w:t>1 paper: (</w:t>
      </w:r>
      <w:proofErr w:type="spellStart"/>
      <w:r>
        <w:t>Kozniewski</w:t>
      </w:r>
      <w:proofErr w:type="spellEnd"/>
      <w:r>
        <w:t xml:space="preserve">, 2019)- </w:t>
      </w:r>
      <w:r>
        <w:rPr>
          <w:rStyle w:val="Strong"/>
        </w:rPr>
        <w:t>2020</w:t>
      </w:r>
    </w:p>
    <w:p w:rsidR="0086101B" w:rsidRDefault="0086101B" w:rsidP="0086101B">
      <w:pPr>
        <w:numPr>
          <w:ilvl w:val="1"/>
          <w:numId w:val="4"/>
        </w:numPr>
        <w:spacing w:before="100" w:beforeAutospacing="1" w:after="100" w:afterAutospacing="1" w:line="240" w:lineRule="auto"/>
      </w:pPr>
      <w:r>
        <w:t xml:space="preserve">3 papers: (Waa et al., 2020; Zhang et al., 2020; </w:t>
      </w:r>
      <w:proofErr w:type="spellStart"/>
      <w:r>
        <w:t>Tomsett</w:t>
      </w:r>
      <w:proofErr w:type="spellEnd"/>
      <w:r>
        <w:t xml:space="preserve"> et al., 2020)- </w:t>
      </w:r>
      <w:r>
        <w:rPr>
          <w:rStyle w:val="Strong"/>
        </w:rPr>
        <w:t>2022</w:t>
      </w:r>
    </w:p>
    <w:p w:rsidR="0086101B" w:rsidRDefault="0086101B" w:rsidP="0086101B">
      <w:pPr>
        <w:numPr>
          <w:ilvl w:val="1"/>
          <w:numId w:val="4"/>
        </w:numPr>
        <w:spacing w:before="100" w:beforeAutospacing="1" w:after="100" w:afterAutospacing="1" w:line="240" w:lineRule="auto"/>
      </w:pPr>
      <w:r>
        <w:t xml:space="preserve">2 papers: (Liao &amp; </w:t>
      </w:r>
      <w:proofErr w:type="spellStart"/>
      <w:r>
        <w:t>Sundar</w:t>
      </w:r>
      <w:proofErr w:type="spellEnd"/>
      <w:r>
        <w:t xml:space="preserve">, 2022; </w:t>
      </w:r>
      <w:proofErr w:type="spellStart"/>
      <w:r>
        <w:t>Fröhlich</w:t>
      </w:r>
      <w:proofErr w:type="spellEnd"/>
      <w:r>
        <w:t xml:space="preserve"> et al., 2022)- </w:t>
      </w:r>
      <w:r>
        <w:rPr>
          <w:rStyle w:val="Strong"/>
        </w:rPr>
        <w:t>2023</w:t>
      </w:r>
    </w:p>
    <w:p w:rsidR="0086101B" w:rsidRDefault="0086101B" w:rsidP="0086101B">
      <w:pPr>
        <w:numPr>
          <w:ilvl w:val="1"/>
          <w:numId w:val="4"/>
        </w:numPr>
        <w:spacing w:before="100" w:beforeAutospacing="1" w:after="100" w:afterAutospacing="1" w:line="240" w:lineRule="auto"/>
      </w:pPr>
      <w:r>
        <w:t xml:space="preserve">2 papers: (Zhao et al., 2023; Benz &amp; Gomez Rodriguez, 2023)- </w:t>
      </w:r>
      <w:r>
        <w:rPr>
          <w:rStyle w:val="Strong"/>
        </w:rPr>
        <w:t>2024</w:t>
      </w:r>
    </w:p>
    <w:p w:rsidR="0086101B" w:rsidRDefault="0086101B" w:rsidP="0086101B">
      <w:pPr>
        <w:numPr>
          <w:ilvl w:val="1"/>
          <w:numId w:val="4"/>
        </w:numPr>
        <w:spacing w:before="100" w:beforeAutospacing="1" w:after="100" w:afterAutospacing="1" w:line="240" w:lineRule="auto"/>
      </w:pPr>
      <w:r>
        <w:t xml:space="preserve">3 papers: (Cao et al., 2024; Li et al., 2024; </w:t>
      </w:r>
      <w:proofErr w:type="spellStart"/>
      <w:r>
        <w:t>Tatasciore</w:t>
      </w:r>
      <w:proofErr w:type="spellEnd"/>
      <w:r>
        <w:t xml:space="preserve"> et al., 2024)- </w:t>
      </w:r>
      <w:r>
        <w:rPr>
          <w:rStyle w:val="Strong"/>
        </w:rPr>
        <w:t>2025</w:t>
      </w:r>
    </w:p>
    <w:p w:rsidR="0086101B" w:rsidRDefault="0086101B" w:rsidP="0086101B">
      <w:pPr>
        <w:numPr>
          <w:ilvl w:val="1"/>
          <w:numId w:val="4"/>
        </w:numPr>
        <w:spacing w:before="100" w:beforeAutospacing="1" w:after="100" w:afterAutospacing="1" w:line="240" w:lineRule="auto"/>
      </w:pPr>
      <w:r>
        <w:t xml:space="preserve">3 papers: (Karunanayake, 2025; </w:t>
      </w:r>
      <w:proofErr w:type="spellStart"/>
      <w:r>
        <w:t>Hullman</w:t>
      </w:r>
      <w:proofErr w:type="spellEnd"/>
      <w:r>
        <w:t xml:space="preserve"> et al., 2025; </w:t>
      </w:r>
      <w:proofErr w:type="spellStart"/>
      <w:r>
        <w:t>Cabitza</w:t>
      </w:r>
      <w:proofErr w:type="spellEnd"/>
      <w:r>
        <w:t xml:space="preserve"> et al., 2025)- </w:t>
      </w:r>
      <w:r>
        <w:rPr>
          <w:rStyle w:val="Strong"/>
        </w:rPr>
        <w:t>2026</w:t>
      </w:r>
    </w:p>
    <w:p w:rsidR="0086101B" w:rsidRDefault="0086101B" w:rsidP="0086101B">
      <w:pPr>
        <w:numPr>
          <w:ilvl w:val="1"/>
          <w:numId w:val="4"/>
        </w:numPr>
        <w:spacing w:before="100" w:beforeAutospacing="1" w:after="100" w:afterAutospacing="1" w:line="240" w:lineRule="auto"/>
      </w:pPr>
      <w:r>
        <w:t xml:space="preserve">4 papers: (Chowdhury &amp; </w:t>
      </w:r>
      <w:proofErr w:type="spellStart"/>
      <w:r>
        <w:t>Tanvir</w:t>
      </w:r>
      <w:proofErr w:type="spellEnd"/>
      <w:r>
        <w:t xml:space="preserve">, 2026; </w:t>
      </w:r>
      <w:proofErr w:type="spellStart"/>
      <w:r>
        <w:t>Muric</w:t>
      </w:r>
      <w:proofErr w:type="spellEnd"/>
      <w:r>
        <w:t xml:space="preserve"> &amp; Minton, 2026; Mei et al., 2026; </w:t>
      </w:r>
      <w:proofErr w:type="spellStart"/>
      <w:r>
        <w:t>Hartvig</w:t>
      </w:r>
      <w:proofErr w:type="spellEnd"/>
      <w:r>
        <w:t xml:space="preserve"> et al., </w:t>
      </w:r>
      <w:proofErr w:type="gramStart"/>
      <w:r>
        <w:t>2026)</w:t>
      </w:r>
      <w:r>
        <w:rPr>
          <w:rStyle w:val="Strong"/>
        </w:rPr>
        <w:t>Figure</w:t>
      </w:r>
      <w:proofErr w:type="gramEnd"/>
      <w:r>
        <w:rPr>
          <w:rStyle w:val="Strong"/>
        </w:rPr>
        <w:t xml:space="preserve"> 6:</w:t>
      </w:r>
      <w:r>
        <w:t xml:space="preserve"> Timeline of confidence indicator research, larger markers indicate more citations</w:t>
      </w:r>
    </w:p>
    <w:p w:rsidR="0086101B" w:rsidRDefault="0086101B" w:rsidP="0086101B">
      <w:pPr>
        <w:pStyle w:val="Heading3"/>
      </w:pPr>
      <w:r>
        <w:t>Top Contributors</w:t>
      </w:r>
    </w:p>
    <w:p w:rsidR="0086101B" w:rsidRDefault="0086101B" w:rsidP="0086101B">
      <w:pPr>
        <w:pStyle w:val="NormalWeb"/>
      </w:pPr>
      <w:r>
        <w:t>A small cluster of HCI, visualization, and decision-support researchers dominates this corpus, especially work around trust calibration, uncertainty presentation, and confidence theory.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559"/>
        <w:gridCol w:w="8032"/>
      </w:tblGrid>
      <w:tr w:rsidR="0086101B" w:rsidTr="0086101B">
        <w:trPr>
          <w:tblHeader/>
          <w:tblCellSpacing w:w="15" w:type="dxa"/>
        </w:trPr>
        <w:tc>
          <w:tcPr>
            <w:tcW w:w="0" w:type="auto"/>
            <w:vAlign w:val="center"/>
            <w:hideMark/>
          </w:tcPr>
          <w:p w:rsidR="0086101B" w:rsidRDefault="0086101B">
            <w:pPr>
              <w:jc w:val="center"/>
              <w:rPr>
                <w:b/>
                <w:bCs/>
              </w:rPr>
            </w:pPr>
            <w:r>
              <w:rPr>
                <w:b/>
                <w:bCs/>
              </w:rPr>
              <w:t>Type</w:t>
            </w:r>
          </w:p>
        </w:tc>
        <w:tc>
          <w:tcPr>
            <w:tcW w:w="0" w:type="auto"/>
            <w:vAlign w:val="center"/>
            <w:hideMark/>
          </w:tcPr>
          <w:p w:rsidR="0086101B" w:rsidRDefault="0086101B">
            <w:pPr>
              <w:jc w:val="center"/>
              <w:rPr>
                <w:b/>
                <w:bCs/>
              </w:rPr>
            </w:pPr>
            <w:r>
              <w:rPr>
                <w:b/>
                <w:bCs/>
              </w:rPr>
              <w:t>Name</w:t>
            </w:r>
          </w:p>
        </w:tc>
        <w:tc>
          <w:tcPr>
            <w:tcW w:w="0" w:type="auto"/>
            <w:vAlign w:val="center"/>
            <w:hideMark/>
          </w:tcPr>
          <w:p w:rsidR="0086101B" w:rsidRDefault="0086101B">
            <w:pPr>
              <w:jc w:val="center"/>
              <w:rPr>
                <w:b/>
                <w:bCs/>
              </w:rPr>
            </w:pPr>
            <w:r>
              <w:rPr>
                <w:b/>
                <w:bCs/>
              </w:rPr>
              <w:t>Papers</w:t>
            </w:r>
          </w:p>
        </w:tc>
      </w:tr>
      <w:tr w:rsidR="0086101B" w:rsidTr="0086101B">
        <w:trPr>
          <w:tblCellSpacing w:w="15" w:type="dxa"/>
        </w:trPr>
        <w:tc>
          <w:tcPr>
            <w:tcW w:w="0" w:type="auto"/>
            <w:vAlign w:val="center"/>
            <w:hideMark/>
          </w:tcPr>
          <w:p w:rsidR="0086101B" w:rsidRDefault="0086101B">
            <w:r>
              <w:t>Author</w:t>
            </w:r>
          </w:p>
        </w:tc>
        <w:tc>
          <w:tcPr>
            <w:tcW w:w="0" w:type="auto"/>
            <w:vAlign w:val="center"/>
            <w:hideMark/>
          </w:tcPr>
          <w:p w:rsidR="0086101B" w:rsidRDefault="0086101B">
            <w:r>
              <w:t>Q. Liao</w:t>
            </w:r>
          </w:p>
        </w:tc>
        <w:tc>
          <w:tcPr>
            <w:tcW w:w="0" w:type="auto"/>
            <w:vAlign w:val="center"/>
            <w:hideMark/>
          </w:tcPr>
          <w:p w:rsidR="0086101B" w:rsidRDefault="0086101B">
            <w:r>
              <w:t>[6cecec0f8fb15c7b99f5ce7ea218c9eb][956113773e275d1c8cb8e69344d258f4][bf569f21a41e567186d69160a9c35091][3acc1dd5988a5abdb9b0546a962af559]</w:t>
            </w:r>
          </w:p>
        </w:tc>
      </w:tr>
      <w:tr w:rsidR="0086101B" w:rsidTr="0086101B">
        <w:trPr>
          <w:tblCellSpacing w:w="15" w:type="dxa"/>
        </w:trPr>
        <w:tc>
          <w:tcPr>
            <w:tcW w:w="0" w:type="auto"/>
            <w:vAlign w:val="center"/>
            <w:hideMark/>
          </w:tcPr>
          <w:p w:rsidR="0086101B" w:rsidRDefault="0086101B">
            <w:r>
              <w:t>Author</w:t>
            </w:r>
          </w:p>
        </w:tc>
        <w:tc>
          <w:tcPr>
            <w:tcW w:w="0" w:type="auto"/>
            <w:vAlign w:val="center"/>
            <w:hideMark/>
          </w:tcPr>
          <w:p w:rsidR="0086101B" w:rsidRDefault="0086101B">
            <w:r>
              <w:t>Ming Yin</w:t>
            </w:r>
          </w:p>
        </w:tc>
        <w:tc>
          <w:tcPr>
            <w:tcW w:w="0" w:type="auto"/>
            <w:vAlign w:val="center"/>
            <w:hideMark/>
          </w:tcPr>
          <w:p w:rsidR="0086101B" w:rsidRDefault="0086101B">
            <w:r>
              <w:t>[475b94b38f4250f4bd0b710474ed42cd][f65bfc9aa95a506b87d0270089f227ac]</w:t>
            </w:r>
          </w:p>
        </w:tc>
      </w:tr>
      <w:tr w:rsidR="0086101B" w:rsidTr="0086101B">
        <w:trPr>
          <w:tblCellSpacing w:w="15" w:type="dxa"/>
        </w:trPr>
        <w:tc>
          <w:tcPr>
            <w:tcW w:w="0" w:type="auto"/>
            <w:vAlign w:val="center"/>
            <w:hideMark/>
          </w:tcPr>
          <w:p w:rsidR="0086101B" w:rsidRDefault="0086101B">
            <w:r>
              <w:t>Author</w:t>
            </w:r>
          </w:p>
        </w:tc>
        <w:tc>
          <w:tcPr>
            <w:tcW w:w="0" w:type="auto"/>
            <w:vAlign w:val="center"/>
            <w:hideMark/>
          </w:tcPr>
          <w:p w:rsidR="0086101B" w:rsidRDefault="0086101B">
            <w:r>
              <w:t xml:space="preserve">D. </w:t>
            </w:r>
            <w:proofErr w:type="spellStart"/>
            <w:r>
              <w:t>Rahnev</w:t>
            </w:r>
            <w:proofErr w:type="spellEnd"/>
          </w:p>
        </w:tc>
        <w:tc>
          <w:tcPr>
            <w:tcW w:w="0" w:type="auto"/>
            <w:vAlign w:val="center"/>
            <w:hideMark/>
          </w:tcPr>
          <w:p w:rsidR="0086101B" w:rsidRDefault="0086101B">
            <w:r>
              <w:t>[99fc45c4fd435426ad2e6ae14f263368][159bf84f93a15c679299b4d3f7af1465][676fd25d3cfa51f097e73e478ce4d47a]</w:t>
            </w:r>
          </w:p>
        </w:tc>
      </w:tr>
      <w:tr w:rsidR="0086101B" w:rsidTr="0086101B">
        <w:trPr>
          <w:tblCellSpacing w:w="15" w:type="dxa"/>
        </w:trPr>
        <w:tc>
          <w:tcPr>
            <w:tcW w:w="0" w:type="auto"/>
            <w:vAlign w:val="center"/>
            <w:hideMark/>
          </w:tcPr>
          <w:p w:rsidR="0086101B" w:rsidRDefault="0086101B">
            <w:r>
              <w:t>Journal</w:t>
            </w:r>
          </w:p>
        </w:tc>
        <w:tc>
          <w:tcPr>
            <w:tcW w:w="0" w:type="auto"/>
            <w:vAlign w:val="center"/>
            <w:hideMark/>
          </w:tcPr>
          <w:p w:rsidR="0086101B" w:rsidRDefault="0086101B">
            <w:r>
              <w:rPr>
                <w:rStyle w:val="Emphasis"/>
              </w:rPr>
              <w:t>CHI</w:t>
            </w:r>
          </w:p>
        </w:tc>
        <w:tc>
          <w:tcPr>
            <w:tcW w:w="0" w:type="auto"/>
            <w:vAlign w:val="center"/>
            <w:hideMark/>
          </w:tcPr>
          <w:p w:rsidR="0086101B" w:rsidRDefault="0086101B">
            <w:r>
              <w:t>[475b94b38f4250f4bd0b710474ed42cd][f65bfc9aa95a506b87d0270089f227ac][bf569f21a41e567186d69160a9c35091][b3e47ec090625b89aad78915f01a1767]</w:t>
            </w:r>
          </w:p>
        </w:tc>
      </w:tr>
      <w:tr w:rsidR="0086101B" w:rsidTr="0086101B">
        <w:trPr>
          <w:tblCellSpacing w:w="15" w:type="dxa"/>
        </w:trPr>
        <w:tc>
          <w:tcPr>
            <w:tcW w:w="0" w:type="auto"/>
            <w:vAlign w:val="center"/>
            <w:hideMark/>
          </w:tcPr>
          <w:p w:rsidR="0086101B" w:rsidRDefault="0086101B">
            <w:r>
              <w:t>Journal</w:t>
            </w:r>
          </w:p>
        </w:tc>
        <w:tc>
          <w:tcPr>
            <w:tcW w:w="0" w:type="auto"/>
            <w:vAlign w:val="center"/>
            <w:hideMark/>
          </w:tcPr>
          <w:p w:rsidR="0086101B" w:rsidRDefault="0086101B">
            <w:r>
              <w:rPr>
                <w:rStyle w:val="Emphasis"/>
              </w:rPr>
              <w:t>Nature Human Behaviour</w:t>
            </w:r>
          </w:p>
        </w:tc>
        <w:tc>
          <w:tcPr>
            <w:tcW w:w="0" w:type="auto"/>
            <w:vAlign w:val="center"/>
            <w:hideMark/>
          </w:tcPr>
          <w:p w:rsidR="0086101B" w:rsidRDefault="0086101B">
            <w:r>
              <w:t>[6b1daf9411c057758b4867d833504d07][5e46a8637d035982a22d92fbfb2b2627][ab59c6f870705a44b1929cbe8cadb2e9]</w:t>
            </w:r>
          </w:p>
        </w:tc>
      </w:tr>
      <w:tr w:rsidR="0086101B" w:rsidTr="0086101B">
        <w:trPr>
          <w:tblCellSpacing w:w="15" w:type="dxa"/>
        </w:trPr>
        <w:tc>
          <w:tcPr>
            <w:tcW w:w="0" w:type="auto"/>
            <w:vAlign w:val="center"/>
            <w:hideMark/>
          </w:tcPr>
          <w:p w:rsidR="0086101B" w:rsidRDefault="0086101B">
            <w:r>
              <w:t>Journal</w:t>
            </w:r>
          </w:p>
        </w:tc>
        <w:tc>
          <w:tcPr>
            <w:tcW w:w="0" w:type="auto"/>
            <w:vAlign w:val="center"/>
            <w:hideMark/>
          </w:tcPr>
          <w:p w:rsidR="0086101B" w:rsidRDefault="0086101B">
            <w:r>
              <w:rPr>
                <w:rStyle w:val="Emphasis"/>
              </w:rPr>
              <w:t>IEEE TVCG</w:t>
            </w:r>
          </w:p>
        </w:tc>
        <w:tc>
          <w:tcPr>
            <w:tcW w:w="0" w:type="auto"/>
            <w:vAlign w:val="center"/>
            <w:hideMark/>
          </w:tcPr>
          <w:p w:rsidR="0086101B" w:rsidRDefault="0086101B">
            <w:r>
              <w:t>[4bdb2827c094535799b6d0385f18ecf7][e00bb2dcdc115f8c818f890f301f69c8][1dc15f28cda45876b57e3c09d0c4bcb2]</w:t>
            </w:r>
          </w:p>
        </w:tc>
      </w:tr>
    </w:tbl>
    <w:p w:rsidR="0086101B" w:rsidRDefault="0086101B" w:rsidP="0086101B">
      <w:pPr>
        <w:pStyle w:val="NormalWeb"/>
      </w:pPr>
      <w:r>
        <w:rPr>
          <w:rStyle w:val="Strong"/>
        </w:rPr>
        <w:lastRenderedPageBreak/>
        <w:t>Figure 7:</w:t>
      </w:r>
      <w:r>
        <w:t xml:space="preserve"> Authors and journals appearing most often</w:t>
      </w:r>
    </w:p>
    <w:p w:rsidR="0086101B" w:rsidRDefault="0086101B" w:rsidP="0086101B">
      <w:pPr>
        <w:pStyle w:val="Heading2"/>
      </w:pPr>
      <w:r>
        <w:t>4. Discussion</w:t>
      </w:r>
    </w:p>
    <w:p w:rsidR="0086101B" w:rsidRDefault="0086101B" w:rsidP="0086101B">
      <w:pPr>
        <w:pStyle w:val="NormalWeb"/>
      </w:pPr>
      <w:r>
        <w:t xml:space="preserve">The strongest pattern in this corpus is that a confidence indicator is valuable only when it is treated as a </w:t>
      </w:r>
      <w:r>
        <w:rPr>
          <w:rStyle w:val="Strong"/>
        </w:rPr>
        <w:t>decision aid</w:t>
      </w:r>
      <w:r>
        <w:t xml:space="preserve">, not a decorative probability. Framework papers argue that a usable confidence measure must satisfy soundness, transparency, </w:t>
      </w:r>
      <w:proofErr w:type="spellStart"/>
      <w:r>
        <w:t>explainability</w:t>
      </w:r>
      <w:proofErr w:type="spellEnd"/>
      <w:r>
        <w:t xml:space="preserve">, and predictability (Waa et al., 2020). Later applied studies converge on the same practical point: a score helps only if users can map it monotonically to action, or if the interface translates it into a clearer review or verification policy (Benz &amp; Gomez Rodriguez, 2023; Karunanayake, 2025; Chowdhury &amp; </w:t>
      </w:r>
      <w:proofErr w:type="spellStart"/>
      <w:r>
        <w:t>Tanvir</w:t>
      </w:r>
      <w:proofErr w:type="spellEnd"/>
      <w:r>
        <w:t>, 2026).</w:t>
      </w:r>
    </w:p>
    <w:p w:rsidR="0086101B" w:rsidRDefault="0086101B" w:rsidP="0086101B">
      <w:pPr>
        <w:pStyle w:val="NormalWeb"/>
      </w:pPr>
      <w:r>
        <w:t xml:space="preserve">A second strong pattern is that </w:t>
      </w:r>
      <w:r>
        <w:rPr>
          <w:rStyle w:val="Strong"/>
        </w:rPr>
        <w:t>display format is part of the model</w:t>
      </w:r>
      <w:r>
        <w:t>, because users do not interpret mathematically equivalent signals equivalently. Frequency framing improves appropriate reliance more than calibrated probability alone, ordinal uncertainty can calibrate reliance better than continuous probability in some tasks, and integrated graphics outperform separated likelihood displays (Cao et al., 2024; Zhao et al., 2023; Yaakov et al., 2024). Even minor wording or scale choices can change user trust, as shown by percentage versus raw-score differences and by LLM explanation length inflating perceived certainty (</w:t>
      </w:r>
      <w:proofErr w:type="spellStart"/>
      <w:r>
        <w:t>Hartvig</w:t>
      </w:r>
      <w:proofErr w:type="spellEnd"/>
      <w:r>
        <w:t xml:space="preserve"> et al., 2026; </w:t>
      </w:r>
      <w:proofErr w:type="spellStart"/>
      <w:r>
        <w:t>Steyvers</w:t>
      </w:r>
      <w:proofErr w:type="spellEnd"/>
      <w:r>
        <w:t xml:space="preserve"> et al., 2024; Dai, 2026).</w:t>
      </w:r>
    </w:p>
    <w:p w:rsidR="0086101B" w:rsidRDefault="0086101B" w:rsidP="0086101B">
      <w:pPr>
        <w:pStyle w:val="NormalWeb"/>
      </w:pPr>
      <w:r>
        <w:t xml:space="preserve">The evidence is weaker on any universal best format because effects vary by expertise, domain, task difficulty, and the user’s own confidence or attitudes toward AI (Cao et al., 2024; </w:t>
      </w:r>
      <w:proofErr w:type="spellStart"/>
      <w:r>
        <w:t>Noa-Yarasca</w:t>
      </w:r>
      <w:proofErr w:type="spellEnd"/>
      <w:r>
        <w:t xml:space="preserve"> et al., 2025; Tennant &amp; Randall, 2025; Reyes et al., 2025). Clinical, legal, and security papers especially emphasize that confidence should be tied to </w:t>
      </w:r>
      <w:r>
        <w:rPr>
          <w:rStyle w:val="Strong"/>
        </w:rPr>
        <w:t>deferral</w:t>
      </w:r>
      <w:r>
        <w:t xml:space="preserve">, </w:t>
      </w:r>
      <w:r>
        <w:rPr>
          <w:rStyle w:val="Strong"/>
        </w:rPr>
        <w:t>local validation</w:t>
      </w:r>
      <w:r>
        <w:t xml:space="preserve">, and </w:t>
      </w:r>
      <w:r>
        <w:rPr>
          <w:rStyle w:val="Strong"/>
        </w:rPr>
        <w:t>error costs</w:t>
      </w:r>
      <w:r>
        <w:t xml:space="preserve">, not only to prediction probability (Karunanayake, 2025; T.Y.S.S et al., 2024; Chowdhury &amp; </w:t>
      </w:r>
      <w:proofErr w:type="spellStart"/>
      <w:r>
        <w:t>Tanvir</w:t>
      </w:r>
      <w:proofErr w:type="spellEnd"/>
      <w:r>
        <w:t>,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1358"/>
        <w:gridCol w:w="2743"/>
        <w:gridCol w:w="2575"/>
      </w:tblGrid>
      <w:tr w:rsidR="0086101B" w:rsidTr="0086101B">
        <w:trPr>
          <w:tblHeader/>
          <w:tblCellSpacing w:w="15" w:type="dxa"/>
        </w:trPr>
        <w:tc>
          <w:tcPr>
            <w:tcW w:w="0" w:type="auto"/>
            <w:vAlign w:val="center"/>
            <w:hideMark/>
          </w:tcPr>
          <w:p w:rsidR="0086101B" w:rsidRDefault="0086101B">
            <w:pPr>
              <w:jc w:val="center"/>
              <w:rPr>
                <w:b/>
                <w:bCs/>
              </w:rPr>
            </w:pPr>
            <w:r>
              <w:rPr>
                <w:b/>
                <w:bCs/>
              </w:rPr>
              <w:t>Claim</w:t>
            </w:r>
          </w:p>
        </w:tc>
        <w:tc>
          <w:tcPr>
            <w:tcW w:w="0" w:type="auto"/>
            <w:vAlign w:val="center"/>
            <w:hideMark/>
          </w:tcPr>
          <w:p w:rsidR="0086101B" w:rsidRDefault="0086101B">
            <w:pPr>
              <w:jc w:val="center"/>
              <w:rPr>
                <w:b/>
                <w:bCs/>
              </w:rPr>
            </w:pPr>
            <w:r>
              <w:rPr>
                <w:b/>
                <w:bCs/>
              </w:rPr>
              <w:t>Evidence Strength</w:t>
            </w:r>
          </w:p>
        </w:tc>
        <w:tc>
          <w:tcPr>
            <w:tcW w:w="0" w:type="auto"/>
            <w:vAlign w:val="center"/>
            <w:hideMark/>
          </w:tcPr>
          <w:p w:rsidR="0086101B" w:rsidRDefault="0086101B">
            <w:pPr>
              <w:jc w:val="center"/>
              <w:rPr>
                <w:b/>
                <w:bCs/>
              </w:rPr>
            </w:pPr>
            <w:r>
              <w:rPr>
                <w:b/>
                <w:bCs/>
              </w:rPr>
              <w:t>Reasoning</w:t>
            </w:r>
          </w:p>
        </w:tc>
        <w:tc>
          <w:tcPr>
            <w:tcW w:w="0" w:type="auto"/>
            <w:vAlign w:val="center"/>
            <w:hideMark/>
          </w:tcPr>
          <w:p w:rsidR="0086101B" w:rsidRDefault="0086101B">
            <w:pPr>
              <w:jc w:val="center"/>
              <w:rPr>
                <w:b/>
                <w:bCs/>
              </w:rPr>
            </w:pPr>
            <w:r>
              <w:rPr>
                <w:b/>
                <w:bCs/>
              </w:rPr>
              <w:t>Papers</w:t>
            </w:r>
          </w:p>
        </w:tc>
      </w:tr>
      <w:tr w:rsidR="0086101B" w:rsidTr="0086101B">
        <w:trPr>
          <w:tblCellSpacing w:w="15" w:type="dxa"/>
        </w:trPr>
        <w:tc>
          <w:tcPr>
            <w:tcW w:w="0" w:type="auto"/>
            <w:vAlign w:val="center"/>
            <w:hideMark/>
          </w:tcPr>
          <w:p w:rsidR="0086101B" w:rsidRDefault="0086101B">
            <w:r>
              <w:t>Confidence indicators need calibration to be useful.</w:t>
            </w:r>
          </w:p>
        </w:tc>
        <w:tc>
          <w:tcPr>
            <w:tcW w:w="0" w:type="auto"/>
            <w:vAlign w:val="center"/>
            <w:hideMark/>
          </w:tcPr>
          <w:p w:rsidR="0086101B" w:rsidRDefault="0086101B">
            <w:r>
              <w:t>Evidence strength: Strong (9/10)</w:t>
            </w:r>
          </w:p>
        </w:tc>
        <w:tc>
          <w:tcPr>
            <w:tcW w:w="0" w:type="auto"/>
            <w:vAlign w:val="center"/>
            <w:hideMark/>
          </w:tcPr>
          <w:p w:rsidR="0086101B" w:rsidRDefault="0086101B">
            <w:r>
              <w:t>Repeated across theory, experiments, and applied domains.</w:t>
            </w:r>
          </w:p>
        </w:tc>
        <w:tc>
          <w:tcPr>
            <w:tcW w:w="0" w:type="auto"/>
            <w:vAlign w:val="center"/>
            <w:hideMark/>
          </w:tcPr>
          <w:p w:rsidR="0086101B" w:rsidRDefault="0086101B">
            <w:r>
              <w:t xml:space="preserve">(Benz &amp; Gomez Rodriguez, 2023; </w:t>
            </w:r>
            <w:proofErr w:type="spellStart"/>
            <w:r>
              <w:t>Fregosi</w:t>
            </w:r>
            <w:proofErr w:type="spellEnd"/>
            <w:r>
              <w:t xml:space="preserve"> et al., 2026; Li et al., 2024; Berkowitz et al., 2026)</w:t>
            </w:r>
          </w:p>
        </w:tc>
      </w:tr>
      <w:tr w:rsidR="0086101B" w:rsidTr="0086101B">
        <w:trPr>
          <w:tblCellSpacing w:w="15" w:type="dxa"/>
        </w:trPr>
        <w:tc>
          <w:tcPr>
            <w:tcW w:w="0" w:type="auto"/>
            <w:vAlign w:val="center"/>
            <w:hideMark/>
          </w:tcPr>
          <w:p w:rsidR="0086101B" w:rsidRDefault="0086101B">
            <w:r>
              <w:t xml:space="preserve">Simple ordinal or frequency formats often outperform raw probabilities </w:t>
            </w:r>
            <w:proofErr w:type="spellStart"/>
            <w:r>
              <w:t>behaviorally</w:t>
            </w:r>
            <w:proofErr w:type="spellEnd"/>
            <w:r>
              <w:t>.</w:t>
            </w:r>
          </w:p>
        </w:tc>
        <w:tc>
          <w:tcPr>
            <w:tcW w:w="0" w:type="auto"/>
            <w:vAlign w:val="center"/>
            <w:hideMark/>
          </w:tcPr>
          <w:p w:rsidR="0086101B" w:rsidRDefault="0086101B">
            <w:r>
              <w:t>Evidence strength: Moderate (7/10)</w:t>
            </w:r>
          </w:p>
        </w:tc>
        <w:tc>
          <w:tcPr>
            <w:tcW w:w="0" w:type="auto"/>
            <w:vAlign w:val="center"/>
            <w:hideMark/>
          </w:tcPr>
          <w:p w:rsidR="0086101B" w:rsidRDefault="0086101B">
            <w:r>
              <w:t>Several user studies show better reliance or comprehension with cognitively accessible framing.</w:t>
            </w:r>
          </w:p>
        </w:tc>
        <w:tc>
          <w:tcPr>
            <w:tcW w:w="0" w:type="auto"/>
            <w:vAlign w:val="center"/>
            <w:hideMark/>
          </w:tcPr>
          <w:p w:rsidR="0086101B" w:rsidRDefault="0086101B">
            <w:r>
              <w:t xml:space="preserve">(Cao et al., 2024; Zhao et al., 2023; </w:t>
            </w:r>
            <w:proofErr w:type="spellStart"/>
            <w:r>
              <w:t>Fröhlich</w:t>
            </w:r>
            <w:proofErr w:type="spellEnd"/>
            <w:r>
              <w:t xml:space="preserve"> et al., 2022)</w:t>
            </w:r>
          </w:p>
        </w:tc>
      </w:tr>
      <w:tr w:rsidR="0086101B" w:rsidTr="0086101B">
        <w:trPr>
          <w:tblCellSpacing w:w="15" w:type="dxa"/>
        </w:trPr>
        <w:tc>
          <w:tcPr>
            <w:tcW w:w="0" w:type="auto"/>
            <w:vAlign w:val="center"/>
            <w:hideMark/>
          </w:tcPr>
          <w:p w:rsidR="0086101B" w:rsidRDefault="0086101B">
            <w:r>
              <w:t>Confidence should trigger abstention or human review, not just be displayed.</w:t>
            </w:r>
          </w:p>
        </w:tc>
        <w:tc>
          <w:tcPr>
            <w:tcW w:w="0" w:type="auto"/>
            <w:vAlign w:val="center"/>
            <w:hideMark/>
          </w:tcPr>
          <w:p w:rsidR="0086101B" w:rsidRDefault="0086101B">
            <w:r>
              <w:t>Evidence strength: Strong (8/10)</w:t>
            </w:r>
          </w:p>
        </w:tc>
        <w:tc>
          <w:tcPr>
            <w:tcW w:w="0" w:type="auto"/>
            <w:vAlign w:val="center"/>
            <w:hideMark/>
          </w:tcPr>
          <w:p w:rsidR="0086101B" w:rsidRDefault="0086101B">
            <w:r>
              <w:t>Consistent support from selective prediction and decision-routing work.</w:t>
            </w:r>
          </w:p>
        </w:tc>
        <w:tc>
          <w:tcPr>
            <w:tcW w:w="0" w:type="auto"/>
            <w:vAlign w:val="center"/>
            <w:hideMark/>
          </w:tcPr>
          <w:p w:rsidR="0086101B" w:rsidRDefault="0086101B">
            <w:r>
              <w:t xml:space="preserve">(Bukowski et al., 2021; </w:t>
            </w:r>
            <w:proofErr w:type="spellStart"/>
            <w:r>
              <w:t>Muric</w:t>
            </w:r>
            <w:proofErr w:type="spellEnd"/>
            <w:r>
              <w:t xml:space="preserve"> &amp; Minton, 2026; Karunanayake, 2025)</w:t>
            </w:r>
          </w:p>
        </w:tc>
      </w:tr>
      <w:tr w:rsidR="0086101B" w:rsidTr="0086101B">
        <w:trPr>
          <w:tblCellSpacing w:w="15" w:type="dxa"/>
        </w:trPr>
        <w:tc>
          <w:tcPr>
            <w:tcW w:w="0" w:type="auto"/>
            <w:vAlign w:val="center"/>
            <w:hideMark/>
          </w:tcPr>
          <w:p w:rsidR="0086101B" w:rsidRDefault="0086101B">
            <w:r>
              <w:lastRenderedPageBreak/>
              <w:t>Confidence scores alone do not reliably improve decisions.</w:t>
            </w:r>
          </w:p>
        </w:tc>
        <w:tc>
          <w:tcPr>
            <w:tcW w:w="0" w:type="auto"/>
            <w:vAlign w:val="center"/>
            <w:hideMark/>
          </w:tcPr>
          <w:p w:rsidR="0086101B" w:rsidRDefault="0086101B">
            <w:r>
              <w:t>Evidence strength: Moderate (7/10)</w:t>
            </w:r>
          </w:p>
        </w:tc>
        <w:tc>
          <w:tcPr>
            <w:tcW w:w="0" w:type="auto"/>
            <w:vAlign w:val="center"/>
            <w:hideMark/>
          </w:tcPr>
          <w:p w:rsidR="0086101B" w:rsidRDefault="0086101B">
            <w:r>
              <w:t>Multiple studies find null, mixed, or adverse effects without supportive design.</w:t>
            </w:r>
          </w:p>
        </w:tc>
        <w:tc>
          <w:tcPr>
            <w:tcW w:w="0" w:type="auto"/>
            <w:vAlign w:val="center"/>
            <w:hideMark/>
          </w:tcPr>
          <w:p w:rsidR="0086101B" w:rsidRDefault="0086101B">
            <w:r>
              <w:t>(</w:t>
            </w:r>
            <w:proofErr w:type="spellStart"/>
            <w:r>
              <w:t>Tatasciore</w:t>
            </w:r>
            <w:proofErr w:type="spellEnd"/>
            <w:r>
              <w:t xml:space="preserve"> et al., 2024; Bussone et al., 2015; </w:t>
            </w:r>
            <w:proofErr w:type="spellStart"/>
            <w:r>
              <w:t>Cabitza</w:t>
            </w:r>
            <w:proofErr w:type="spellEnd"/>
            <w:r>
              <w:t xml:space="preserve"> et al., 2025; </w:t>
            </w:r>
            <w:proofErr w:type="spellStart"/>
            <w:r>
              <w:t>Shuai</w:t>
            </w:r>
            <w:proofErr w:type="spellEnd"/>
            <w:r>
              <w:t xml:space="preserve"> et al., 2024)</w:t>
            </w:r>
          </w:p>
        </w:tc>
      </w:tr>
      <w:tr w:rsidR="0086101B" w:rsidTr="0086101B">
        <w:trPr>
          <w:tblCellSpacing w:w="15" w:type="dxa"/>
        </w:trPr>
        <w:tc>
          <w:tcPr>
            <w:tcW w:w="0" w:type="auto"/>
            <w:vAlign w:val="center"/>
            <w:hideMark/>
          </w:tcPr>
          <w:p w:rsidR="0086101B" w:rsidRDefault="0086101B">
            <w:r>
              <w:t>Verbalized confidence from LLMs is a mature reliability signal.</w:t>
            </w:r>
          </w:p>
        </w:tc>
        <w:tc>
          <w:tcPr>
            <w:tcW w:w="0" w:type="auto"/>
            <w:vAlign w:val="center"/>
            <w:hideMark/>
          </w:tcPr>
          <w:p w:rsidR="0086101B" w:rsidRDefault="0086101B">
            <w:r>
              <w:t>Evidence strength: Weak (2/10)</w:t>
            </w:r>
          </w:p>
        </w:tc>
        <w:tc>
          <w:tcPr>
            <w:tcW w:w="0" w:type="auto"/>
            <w:vAlign w:val="center"/>
            <w:hideMark/>
          </w:tcPr>
          <w:p w:rsidR="0086101B" w:rsidRDefault="0086101B">
            <w:r>
              <w:t>Recent work finds overconfidence, scale effects, and psychometric failure in some settings.</w:t>
            </w:r>
          </w:p>
        </w:tc>
        <w:tc>
          <w:tcPr>
            <w:tcW w:w="0" w:type="auto"/>
            <w:vAlign w:val="center"/>
            <w:hideMark/>
          </w:tcPr>
          <w:p w:rsidR="0086101B" w:rsidRDefault="0086101B">
            <w:r>
              <w:t>(</w:t>
            </w:r>
            <w:proofErr w:type="spellStart"/>
            <w:r>
              <w:t>Xiong</w:t>
            </w:r>
            <w:proofErr w:type="spellEnd"/>
            <w:r>
              <w:t xml:space="preserve"> et al., 2023; </w:t>
            </w:r>
            <w:proofErr w:type="spellStart"/>
            <w:r>
              <w:t>Kumaran</w:t>
            </w:r>
            <w:proofErr w:type="spellEnd"/>
            <w:r>
              <w:t xml:space="preserve">, 2026; </w:t>
            </w:r>
            <w:proofErr w:type="spellStart"/>
            <w:r>
              <w:t>Cacioli</w:t>
            </w:r>
            <w:proofErr w:type="spellEnd"/>
            <w:r>
              <w:t>, 2026)</w:t>
            </w:r>
          </w:p>
        </w:tc>
      </w:tr>
    </w:tbl>
    <w:p w:rsidR="0086101B" w:rsidRDefault="0086101B" w:rsidP="0086101B">
      <w:pPr>
        <w:pStyle w:val="NormalWeb"/>
      </w:pPr>
      <w:r>
        <w:rPr>
          <w:rStyle w:val="Strong"/>
        </w:rPr>
        <w:t>Figure 8:</w:t>
      </w:r>
      <w:r>
        <w:t xml:space="preserve"> Key claims and supporting evidence strengths</w:t>
      </w:r>
    </w:p>
    <w:p w:rsidR="0086101B" w:rsidRDefault="0086101B" w:rsidP="0086101B">
      <w:pPr>
        <w:pStyle w:val="Heading2"/>
      </w:pPr>
      <w:r>
        <w:t>5. Conclusion</w:t>
      </w:r>
    </w:p>
    <w:p w:rsidR="0086101B" w:rsidRDefault="0086101B" w:rsidP="0086101B">
      <w:pPr>
        <w:pStyle w:val="NormalWeb"/>
      </w:pPr>
      <w:r>
        <w:t xml:space="preserve">The literature supports a compact taxonomy of confidence-indicator outputs: </w:t>
      </w:r>
      <w:r>
        <w:rPr>
          <w:rStyle w:val="Strong"/>
        </w:rPr>
        <w:t>numeric probabilities</w:t>
      </w:r>
      <w:r>
        <w:t xml:space="preserve">, </w:t>
      </w:r>
      <w:r>
        <w:rPr>
          <w:rStyle w:val="Strong"/>
        </w:rPr>
        <w:t>ordinal bins</w:t>
      </w:r>
      <w:r>
        <w:t xml:space="preserve">, </w:t>
      </w:r>
      <w:r>
        <w:rPr>
          <w:rStyle w:val="Strong"/>
        </w:rPr>
        <w:t>visual likelihood glyphs</w:t>
      </w:r>
      <w:r>
        <w:t xml:space="preserve">, </w:t>
      </w:r>
      <w:r>
        <w:rPr>
          <w:rStyle w:val="Strong"/>
        </w:rPr>
        <w:t>natural-frequency translations</w:t>
      </w:r>
      <w:r>
        <w:t xml:space="preserve">, </w:t>
      </w:r>
      <w:r>
        <w:rPr>
          <w:rStyle w:val="Strong"/>
        </w:rPr>
        <w:t>linguistic hedges</w:t>
      </w:r>
      <w:r>
        <w:t xml:space="preserve">, </w:t>
      </w:r>
      <w:r>
        <w:rPr>
          <w:rStyle w:val="Strong"/>
        </w:rPr>
        <w:t>dynamic confidence updates</w:t>
      </w:r>
      <w:r>
        <w:t xml:space="preserve">, and </w:t>
      </w:r>
      <w:r>
        <w:rPr>
          <w:rStyle w:val="Strong"/>
        </w:rPr>
        <w:t>threshold-based deferral or review states</w:t>
      </w:r>
      <w:r>
        <w:t xml:space="preserve"> (</w:t>
      </w:r>
      <w:proofErr w:type="spellStart"/>
      <w:r>
        <w:t>Fröhlich</w:t>
      </w:r>
      <w:proofErr w:type="spellEnd"/>
      <w:r>
        <w:t xml:space="preserve"> et al., 2022; Cao et al., 2024; </w:t>
      </w:r>
      <w:proofErr w:type="spellStart"/>
      <w:r>
        <w:t>Spillner</w:t>
      </w:r>
      <w:proofErr w:type="spellEnd"/>
      <w:r>
        <w:t xml:space="preserve"> et al., 2026; </w:t>
      </w:r>
      <w:proofErr w:type="spellStart"/>
      <w:r>
        <w:t>Muric</w:t>
      </w:r>
      <w:proofErr w:type="spellEnd"/>
      <w:r>
        <w:t xml:space="preserve"> &amp; Minton, 2026). The most robust design lesson is that the best confidence indicator is not the most precise-looking one, but the one that makes the next action clear while avoiding false certainty (Karunanayake, 2025; Ibrahim, 2025; Miller, 2023).</w:t>
      </w:r>
    </w:p>
    <w:p w:rsidR="0086101B" w:rsidRDefault="0086101B" w:rsidP="0086101B">
      <w:pPr>
        <w:pStyle w:val="Heading3"/>
      </w:pPr>
      <w:r>
        <w:t>Research Gaps</w:t>
      </w:r>
    </w:p>
    <w:p w:rsidR="0086101B" w:rsidRDefault="0086101B" w:rsidP="0086101B">
      <w:pPr>
        <w:pStyle w:val="NormalWeb"/>
      </w:pPr>
      <w:r>
        <w:t>This literature covers many output formats, but unevenly. It is rich in laboratory studies of trust calibration and sparse in deployed, high-stakes systems that compare concrete output designs against workflow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4"/>
        <w:gridCol w:w="701"/>
        <w:gridCol w:w="553"/>
        <w:gridCol w:w="639"/>
        <w:gridCol w:w="494"/>
        <w:gridCol w:w="795"/>
      </w:tblGrid>
      <w:tr w:rsidR="0086101B" w:rsidTr="0086101B">
        <w:trPr>
          <w:tblHeader/>
          <w:tblCellSpacing w:w="15" w:type="dxa"/>
        </w:trPr>
        <w:tc>
          <w:tcPr>
            <w:tcW w:w="0" w:type="auto"/>
            <w:vAlign w:val="center"/>
            <w:hideMark/>
          </w:tcPr>
          <w:p w:rsidR="0086101B" w:rsidRDefault="0086101B"/>
        </w:tc>
        <w:tc>
          <w:tcPr>
            <w:tcW w:w="0" w:type="auto"/>
            <w:vAlign w:val="center"/>
            <w:hideMark/>
          </w:tcPr>
          <w:p w:rsidR="0086101B" w:rsidRDefault="0086101B">
            <w:pPr>
              <w:jc w:val="center"/>
              <w:rPr>
                <w:b/>
                <w:bCs/>
                <w:sz w:val="24"/>
                <w:szCs w:val="24"/>
              </w:rPr>
            </w:pPr>
            <w:r>
              <w:rPr>
                <w:b/>
                <w:bCs/>
              </w:rPr>
              <w:t>Calibration</w:t>
            </w:r>
          </w:p>
        </w:tc>
        <w:tc>
          <w:tcPr>
            <w:tcW w:w="0" w:type="auto"/>
            <w:vAlign w:val="center"/>
            <w:hideMark/>
          </w:tcPr>
          <w:p w:rsidR="0086101B" w:rsidRDefault="0086101B">
            <w:pPr>
              <w:jc w:val="center"/>
              <w:rPr>
                <w:b/>
                <w:bCs/>
              </w:rPr>
            </w:pPr>
            <w:r>
              <w:rPr>
                <w:b/>
                <w:bCs/>
              </w:rPr>
              <w:t>Reliance</w:t>
            </w:r>
          </w:p>
        </w:tc>
        <w:tc>
          <w:tcPr>
            <w:tcW w:w="0" w:type="auto"/>
            <w:vAlign w:val="center"/>
            <w:hideMark/>
          </w:tcPr>
          <w:p w:rsidR="0086101B" w:rsidRDefault="0086101B">
            <w:pPr>
              <w:jc w:val="center"/>
              <w:rPr>
                <w:b/>
                <w:bCs/>
              </w:rPr>
            </w:pPr>
            <w:r>
              <w:rPr>
                <w:b/>
                <w:bCs/>
              </w:rPr>
              <w:t>Workflow</w:t>
            </w:r>
          </w:p>
        </w:tc>
        <w:tc>
          <w:tcPr>
            <w:tcW w:w="0" w:type="auto"/>
            <w:vAlign w:val="center"/>
            <w:hideMark/>
          </w:tcPr>
          <w:p w:rsidR="0086101B" w:rsidRDefault="0086101B">
            <w:pPr>
              <w:jc w:val="center"/>
              <w:rPr>
                <w:b/>
                <w:bCs/>
              </w:rPr>
            </w:pPr>
            <w:r>
              <w:rPr>
                <w:b/>
                <w:bCs/>
              </w:rPr>
              <w:t>Experts</w:t>
            </w:r>
          </w:p>
        </w:tc>
        <w:tc>
          <w:tcPr>
            <w:tcW w:w="0" w:type="auto"/>
            <w:vAlign w:val="center"/>
            <w:hideMark/>
          </w:tcPr>
          <w:p w:rsidR="0086101B" w:rsidRDefault="0086101B">
            <w:pPr>
              <w:jc w:val="center"/>
              <w:rPr>
                <w:b/>
                <w:bCs/>
              </w:rPr>
            </w:pPr>
            <w:r>
              <w:rPr>
                <w:b/>
                <w:bCs/>
              </w:rPr>
              <w:t>Deployment</w:t>
            </w:r>
          </w:p>
        </w:tc>
      </w:tr>
      <w:tr w:rsidR="0086101B" w:rsidTr="0086101B">
        <w:trPr>
          <w:tblCellSpacing w:w="15" w:type="dxa"/>
        </w:trPr>
        <w:tc>
          <w:tcPr>
            <w:tcW w:w="0" w:type="auto"/>
            <w:vAlign w:val="center"/>
          </w:tcPr>
          <w:p w:rsidR="0086101B" w:rsidRDefault="0086101B"/>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061"/>
              <w:gridCol w:w="930"/>
              <w:gridCol w:w="963"/>
              <w:gridCol w:w="857"/>
              <w:gridCol w:w="1143"/>
              <w:gridCol w:w="809"/>
            </w:tblGrid>
            <w:tr w:rsidR="0086101B" w:rsidRPr="0086101B" w:rsidTr="0086101B">
              <w:trPr>
                <w:gridAfter w:val="1"/>
                <w:tblHeader/>
              </w:trPr>
              <w:tc>
                <w:tcPr>
                  <w:tcW w:w="0" w:type="auto"/>
                  <w:tcBorders>
                    <w:top w:val="single" w:sz="2" w:space="0" w:color="E4E4E7"/>
                    <w:left w:val="single" w:sz="2" w:space="0" w:color="E4E4E7"/>
                    <w:bottom w:val="single" w:sz="6" w:space="0" w:color="E4E4E7"/>
                    <w:right w:val="single" w:sz="2" w:space="0" w:color="E4E4E7"/>
                  </w:tcBorders>
                  <w:shd w:val="clear" w:color="auto" w:fill="FFFFFF"/>
                  <w:noWrap/>
                  <w:tcMar>
                    <w:top w:w="120" w:type="dxa"/>
                    <w:left w:w="0" w:type="dxa"/>
                    <w:bottom w:w="240" w:type="dxa"/>
                    <w:right w:w="360" w:type="dxa"/>
                  </w:tcMar>
                  <w:vAlign w:val="bottom"/>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br/>
                    <w:t>Calibration</w:t>
                  </w:r>
                </w:p>
              </w:tc>
              <w:tc>
                <w:tcPr>
                  <w:tcW w:w="0" w:type="auto"/>
                  <w:tcBorders>
                    <w:top w:val="single" w:sz="2" w:space="0" w:color="E4E4E7"/>
                    <w:left w:val="single" w:sz="2" w:space="0" w:color="E4E4E7"/>
                    <w:bottom w:val="single" w:sz="6" w:space="0" w:color="E4E4E7"/>
                    <w:right w:val="single" w:sz="2" w:space="0" w:color="E4E4E7"/>
                  </w:tcBorders>
                  <w:shd w:val="clear" w:color="auto" w:fill="FFFFFF"/>
                  <w:noWrap/>
                  <w:tcMar>
                    <w:top w:w="120" w:type="dxa"/>
                    <w:left w:w="0" w:type="dxa"/>
                    <w:bottom w:w="240" w:type="dxa"/>
                    <w:right w:w="360" w:type="dxa"/>
                  </w:tcMar>
                  <w:vAlign w:val="bottom"/>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Reliance</w:t>
                  </w:r>
                </w:p>
              </w:tc>
              <w:tc>
                <w:tcPr>
                  <w:tcW w:w="0" w:type="auto"/>
                  <w:tcBorders>
                    <w:top w:val="single" w:sz="2" w:space="0" w:color="E4E4E7"/>
                    <w:left w:val="single" w:sz="2" w:space="0" w:color="E4E4E7"/>
                    <w:bottom w:val="single" w:sz="6" w:space="0" w:color="E4E4E7"/>
                    <w:right w:val="single" w:sz="2" w:space="0" w:color="E4E4E7"/>
                  </w:tcBorders>
                  <w:shd w:val="clear" w:color="auto" w:fill="FFFFFF"/>
                  <w:noWrap/>
                  <w:tcMar>
                    <w:top w:w="120" w:type="dxa"/>
                    <w:left w:w="0" w:type="dxa"/>
                    <w:bottom w:w="240" w:type="dxa"/>
                    <w:right w:w="360" w:type="dxa"/>
                  </w:tcMar>
                  <w:vAlign w:val="bottom"/>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Workflow</w:t>
                  </w:r>
                </w:p>
              </w:tc>
              <w:tc>
                <w:tcPr>
                  <w:tcW w:w="0" w:type="auto"/>
                  <w:tcBorders>
                    <w:top w:val="single" w:sz="2" w:space="0" w:color="E4E4E7"/>
                    <w:left w:val="single" w:sz="2" w:space="0" w:color="E4E4E7"/>
                    <w:bottom w:val="single" w:sz="6" w:space="0" w:color="E4E4E7"/>
                    <w:right w:val="single" w:sz="2" w:space="0" w:color="E4E4E7"/>
                  </w:tcBorders>
                  <w:shd w:val="clear" w:color="auto" w:fill="FFFFFF"/>
                  <w:noWrap/>
                  <w:tcMar>
                    <w:top w:w="120" w:type="dxa"/>
                    <w:left w:w="0" w:type="dxa"/>
                    <w:bottom w:w="240" w:type="dxa"/>
                    <w:right w:w="360" w:type="dxa"/>
                  </w:tcMar>
                  <w:vAlign w:val="bottom"/>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Experts</w:t>
                  </w:r>
                </w:p>
              </w:tc>
              <w:tc>
                <w:tcPr>
                  <w:tcW w:w="0" w:type="auto"/>
                  <w:tcBorders>
                    <w:top w:val="single" w:sz="2" w:space="0" w:color="E4E4E7"/>
                    <w:left w:val="single" w:sz="2" w:space="0" w:color="E4E4E7"/>
                    <w:bottom w:val="single" w:sz="6" w:space="0" w:color="E4E4E7"/>
                    <w:right w:val="single" w:sz="2" w:space="0" w:color="E4E4E7"/>
                  </w:tcBorders>
                  <w:shd w:val="clear" w:color="auto" w:fill="FFFFFF"/>
                  <w:noWrap/>
                  <w:tcMar>
                    <w:top w:w="120" w:type="dxa"/>
                    <w:left w:w="0" w:type="dxa"/>
                    <w:bottom w:w="240" w:type="dxa"/>
                    <w:right w:w="360" w:type="dxa"/>
                  </w:tcMar>
                  <w:vAlign w:val="bottom"/>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Deployment</w:t>
                  </w:r>
                </w:p>
              </w:tc>
            </w:tr>
            <w:tr w:rsidR="0086101B" w:rsidRPr="0086101B" w:rsidTr="0086101B">
              <w:trPr>
                <w:trHeight w:val="600"/>
              </w:trPr>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before="300" w:after="300" w:line="338" w:lineRule="atLeast"/>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 xml:space="preserve">Numeric </w:t>
                  </w:r>
                  <w:r w:rsidRPr="0086101B">
                    <w:rPr>
                      <w:rFonts w:ascii="Arial" w:eastAsia="Times New Roman" w:hAnsi="Arial" w:cs="Arial"/>
                      <w:color w:val="18181B"/>
                      <w:sz w:val="23"/>
                      <w:szCs w:val="23"/>
                      <w:lang w:eastAsia="en-IN"/>
                    </w:rPr>
                    <w:lastRenderedPageBreak/>
                    <w:t>Scores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hd w:val="clear" w:color="auto" w:fill="068EF1"/>
                    <w:spacing w:after="0" w:line="338" w:lineRule="atLeast"/>
                    <w:jc w:val="center"/>
                    <w:rPr>
                      <w:rFonts w:ascii="Arial" w:eastAsia="Times New Roman" w:hAnsi="Arial" w:cs="Arial"/>
                      <w:color w:val="FFFFFF"/>
                      <w:sz w:val="23"/>
                      <w:szCs w:val="23"/>
                      <w:lang w:eastAsia="en-IN"/>
                    </w:rPr>
                  </w:pPr>
                  <w:r w:rsidRPr="0086101B">
                    <w:rPr>
                      <w:rFonts w:ascii="Arial" w:eastAsia="Times New Roman" w:hAnsi="Arial" w:cs="Arial"/>
                      <w:color w:val="FFFFFF"/>
                      <w:sz w:val="23"/>
                      <w:szCs w:val="23"/>
                      <w:lang w:eastAsia="en-IN"/>
                    </w:rPr>
                    <w:lastRenderedPageBreak/>
                    <w:t>46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FFFFFF"/>
                      <w:sz w:val="23"/>
                      <w:szCs w:val="23"/>
                      <w:lang w:eastAsia="en-IN"/>
                    </w:rPr>
                  </w:pPr>
                  <w:r w:rsidRPr="0086101B">
                    <w:rPr>
                      <w:rFonts w:ascii="Arial" w:eastAsia="Times New Roman" w:hAnsi="Arial" w:cs="Arial"/>
                      <w:color w:val="FFFFFF"/>
                      <w:sz w:val="23"/>
                      <w:szCs w:val="23"/>
                      <w:lang w:eastAsia="en-IN"/>
                    </w:rPr>
                    <w:t>25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9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8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4 papers</w:t>
                  </w:r>
                </w:p>
              </w:tc>
            </w:tr>
            <w:tr w:rsidR="0086101B" w:rsidRPr="0086101B" w:rsidTr="0086101B">
              <w:trPr>
                <w:trHeight w:val="600"/>
              </w:trPr>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before="300" w:after="300" w:line="338" w:lineRule="atLeast"/>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lastRenderedPageBreak/>
                    <w:t>Ordinal Levels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2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5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1 paper</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2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1 paper</w:t>
                  </w:r>
                </w:p>
              </w:tc>
            </w:tr>
            <w:tr w:rsidR="0086101B" w:rsidRPr="0086101B" w:rsidTr="0086101B">
              <w:trPr>
                <w:trHeight w:val="600"/>
              </w:trPr>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before="300" w:after="300" w:line="338" w:lineRule="atLeast"/>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Visual Cues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8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10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5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2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2 papers</w:t>
                  </w:r>
                </w:p>
              </w:tc>
            </w:tr>
            <w:tr w:rsidR="0086101B" w:rsidRPr="0086101B" w:rsidTr="0086101B">
              <w:trPr>
                <w:trHeight w:val="600"/>
              </w:trPr>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before="300" w:after="300" w:line="338" w:lineRule="atLeast"/>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Deferral Policies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2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2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4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2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2 papers</w:t>
                  </w:r>
                </w:p>
              </w:tc>
            </w:tr>
            <w:tr w:rsidR="0086101B" w:rsidRPr="0086101B" w:rsidTr="0086101B">
              <w:trPr>
                <w:trHeight w:val="600"/>
              </w:trPr>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before="300" w:after="300" w:line="338" w:lineRule="atLeast"/>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Verbal Hedges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6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5 papers</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1 paper</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hd w:val="clear" w:color="auto" w:fill="FAFAFA"/>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No papers</w:t>
                  </w:r>
                </w:p>
                <w:p w:rsidR="0086101B" w:rsidRPr="0086101B" w:rsidRDefault="0086101B" w:rsidP="0086101B">
                  <w:pPr>
                    <w:pBdr>
                      <w:top w:val="single" w:sz="2" w:space="0" w:color="E4E4E7"/>
                      <w:left w:val="single" w:sz="2" w:space="0" w:color="E4E4E7"/>
                      <w:bottom w:val="single" w:sz="2" w:space="0" w:color="E4E4E7"/>
                      <w:right w:val="single" w:sz="2" w:space="0" w:color="E4E4E7"/>
                    </w:pBdr>
                    <w:shd w:val="clear" w:color="auto" w:fill="FAFAFA"/>
                    <w:spacing w:after="0" w:line="293" w:lineRule="atLeast"/>
                    <w:jc w:val="center"/>
                    <w:rPr>
                      <w:rFonts w:ascii="Arial" w:eastAsia="Times New Roman" w:hAnsi="Arial" w:cs="Arial"/>
                      <w:color w:val="71717B"/>
                      <w:sz w:val="19"/>
                      <w:szCs w:val="19"/>
                      <w:lang w:eastAsia="en-IN"/>
                    </w:rPr>
                  </w:pPr>
                  <w:r w:rsidRPr="0086101B">
                    <w:rPr>
                      <w:rFonts w:ascii="Arial" w:eastAsia="Times New Roman" w:hAnsi="Arial" w:cs="Arial"/>
                      <w:color w:val="71717B"/>
                      <w:sz w:val="19"/>
                      <w:szCs w:val="19"/>
                      <w:lang w:eastAsia="en-IN"/>
                    </w:rPr>
                    <w:t>Potential gap</w:t>
                  </w:r>
                </w:p>
              </w:tc>
              <w:tc>
                <w:tcPr>
                  <w:tcW w:w="0" w:type="auto"/>
                  <w:tcBorders>
                    <w:top w:val="single" w:sz="2" w:space="0" w:color="E4E4E7"/>
                    <w:left w:val="single" w:sz="2" w:space="0" w:color="E4E4E7"/>
                    <w:bottom w:val="single" w:sz="6" w:space="0" w:color="E4E4E7"/>
                    <w:right w:val="single" w:sz="2" w:space="0" w:color="E4E4E7"/>
                  </w:tcBorders>
                  <w:shd w:val="clear" w:color="auto" w:fill="FFFFFF"/>
                  <w:tcMar>
                    <w:top w:w="137" w:type="dxa"/>
                    <w:left w:w="0" w:type="dxa"/>
                    <w:bottom w:w="137" w:type="dxa"/>
                    <w:right w:w="360" w:type="dxa"/>
                  </w:tcMar>
                  <w:vAlign w:val="center"/>
                  <w:hideMark/>
                </w:tcPr>
                <w:p w:rsidR="0086101B" w:rsidRPr="0086101B" w:rsidRDefault="0086101B" w:rsidP="0086101B">
                  <w:pPr>
                    <w:pBdr>
                      <w:top w:val="single" w:sz="2" w:space="0" w:color="E4E4E7"/>
                      <w:left w:val="single" w:sz="2" w:space="0" w:color="E4E4E7"/>
                      <w:bottom w:val="single" w:sz="2" w:space="0" w:color="E4E4E7"/>
                      <w:right w:val="single" w:sz="2" w:space="0" w:color="E4E4E7"/>
                    </w:pBdr>
                    <w:spacing w:after="0" w:line="338" w:lineRule="atLeast"/>
                    <w:jc w:val="center"/>
                    <w:rPr>
                      <w:rFonts w:ascii="Arial" w:eastAsia="Times New Roman" w:hAnsi="Arial" w:cs="Arial"/>
                      <w:color w:val="18181B"/>
                      <w:sz w:val="23"/>
                      <w:szCs w:val="23"/>
                      <w:lang w:eastAsia="en-IN"/>
                    </w:rPr>
                  </w:pPr>
                  <w:r w:rsidRPr="0086101B">
                    <w:rPr>
                      <w:rFonts w:ascii="Arial" w:eastAsia="Times New Roman" w:hAnsi="Arial" w:cs="Arial"/>
                      <w:color w:val="18181B"/>
                      <w:sz w:val="23"/>
                      <w:szCs w:val="23"/>
                      <w:lang w:eastAsia="en-IN"/>
                    </w:rPr>
                    <w:t>1 paper</w:t>
                  </w:r>
                </w:p>
              </w:tc>
            </w:tr>
          </w:tbl>
          <w:p w:rsidR="0086101B" w:rsidRDefault="0086101B"/>
        </w:tc>
        <w:tc>
          <w:tcPr>
            <w:tcW w:w="0" w:type="auto"/>
            <w:vAlign w:val="center"/>
          </w:tcPr>
          <w:p w:rsidR="0086101B" w:rsidRDefault="0086101B"/>
        </w:tc>
        <w:tc>
          <w:tcPr>
            <w:tcW w:w="0" w:type="auto"/>
            <w:vAlign w:val="center"/>
          </w:tcPr>
          <w:p w:rsidR="0086101B" w:rsidRDefault="0086101B"/>
        </w:tc>
        <w:tc>
          <w:tcPr>
            <w:tcW w:w="0" w:type="auto"/>
            <w:vAlign w:val="center"/>
          </w:tcPr>
          <w:p w:rsidR="0086101B" w:rsidRDefault="0086101B"/>
        </w:tc>
        <w:tc>
          <w:tcPr>
            <w:tcW w:w="0" w:type="auto"/>
            <w:vAlign w:val="center"/>
          </w:tcPr>
          <w:p w:rsidR="0086101B" w:rsidRDefault="0086101B"/>
        </w:tc>
        <w:tc>
          <w:tcPr>
            <w:tcW w:w="0" w:type="auto"/>
            <w:vAlign w:val="center"/>
          </w:tcPr>
          <w:p w:rsidR="0086101B" w:rsidRDefault="0086101B"/>
        </w:tc>
      </w:tr>
      <w:tr w:rsidR="0086101B" w:rsidTr="0086101B">
        <w:trPr>
          <w:tblCellSpacing w:w="15" w:type="dxa"/>
        </w:trPr>
        <w:tc>
          <w:tcPr>
            <w:tcW w:w="0" w:type="auto"/>
            <w:vAlign w:val="center"/>
            <w:hideMark/>
          </w:tcPr>
          <w:p w:rsidR="0086101B" w:rsidRDefault="0086101B">
            <w:r>
              <w:rPr>
                <w:rStyle w:val="Strong"/>
              </w:rPr>
              <w:lastRenderedPageBreak/>
              <w:t>Figure 9:</w:t>
            </w:r>
            <w:r>
              <w:t xml:space="preserve"> Coverage gaps across confidence indicator designs</w:t>
            </w:r>
          </w:p>
        </w:tc>
        <w:tc>
          <w:tcPr>
            <w:tcW w:w="0" w:type="auto"/>
            <w:vAlign w:val="center"/>
            <w:hideMark/>
          </w:tcPr>
          <w:p w:rsidR="0086101B" w:rsidRDefault="0086101B"/>
        </w:tc>
        <w:tc>
          <w:tcPr>
            <w:tcW w:w="0" w:type="auto"/>
            <w:vAlign w:val="center"/>
            <w:hideMark/>
          </w:tcPr>
          <w:p w:rsidR="0086101B" w:rsidRDefault="0086101B">
            <w:pPr>
              <w:rPr>
                <w:sz w:val="20"/>
                <w:szCs w:val="20"/>
              </w:rPr>
            </w:pPr>
          </w:p>
        </w:tc>
        <w:tc>
          <w:tcPr>
            <w:tcW w:w="0" w:type="auto"/>
            <w:vAlign w:val="center"/>
            <w:hideMark/>
          </w:tcPr>
          <w:p w:rsidR="0086101B" w:rsidRDefault="0086101B">
            <w:pPr>
              <w:rPr>
                <w:sz w:val="20"/>
                <w:szCs w:val="20"/>
              </w:rPr>
            </w:pPr>
          </w:p>
        </w:tc>
        <w:tc>
          <w:tcPr>
            <w:tcW w:w="0" w:type="auto"/>
            <w:vAlign w:val="center"/>
            <w:hideMark/>
          </w:tcPr>
          <w:p w:rsidR="0086101B" w:rsidRDefault="0086101B">
            <w:pPr>
              <w:rPr>
                <w:sz w:val="20"/>
                <w:szCs w:val="20"/>
              </w:rPr>
            </w:pPr>
          </w:p>
        </w:tc>
        <w:tc>
          <w:tcPr>
            <w:tcW w:w="0" w:type="auto"/>
            <w:vAlign w:val="center"/>
            <w:hideMark/>
          </w:tcPr>
          <w:p w:rsidR="0086101B" w:rsidRDefault="0086101B">
            <w:pPr>
              <w:rPr>
                <w:sz w:val="20"/>
                <w:szCs w:val="20"/>
              </w:rPr>
            </w:pPr>
          </w:p>
        </w:tc>
      </w:tr>
    </w:tbl>
    <w:p w:rsidR="0086101B" w:rsidRDefault="0086101B" w:rsidP="0086101B">
      <w:pPr>
        <w:pStyle w:val="NormalWeb"/>
      </w:pPr>
      <w:r>
        <w:t xml:space="preserve">The clearest gap is in </w:t>
      </w:r>
      <w:r>
        <w:rPr>
          <w:rStyle w:val="Strong"/>
        </w:rPr>
        <w:t>real-world deployment evidence</w:t>
      </w:r>
      <w:r>
        <w:t xml:space="preserve">. Clinical and security papers call for local validation, monitoring, and cost-aligned operation, but most confidence-display studies still use controlled proxy tasks rather than production settings (Karunanayake, 2025; Chowdhury &amp; </w:t>
      </w:r>
      <w:proofErr w:type="spellStart"/>
      <w:r>
        <w:t>Tanvir</w:t>
      </w:r>
      <w:proofErr w:type="spellEnd"/>
      <w:r>
        <w:t xml:space="preserve">, 2026; Xu et al., 2025). Another gap is that </w:t>
      </w:r>
      <w:r>
        <w:rPr>
          <w:rStyle w:val="Strong"/>
        </w:rPr>
        <w:t>user-facing verbal uncertainty</w:t>
      </w:r>
      <w:r>
        <w:t xml:space="preserve">, especially for LLMs, remains under-validated: recent work finds overconfidence, scale </w:t>
      </w:r>
      <w:proofErr w:type="spellStart"/>
      <w:r>
        <w:t>artifacts</w:t>
      </w:r>
      <w:proofErr w:type="spellEnd"/>
      <w:r>
        <w:t xml:space="preserve">, and dependence on prompting strategy, suggesting that output wording itself needs psychometric screening (Yang et al., 2024; Dai, 2026; </w:t>
      </w:r>
      <w:proofErr w:type="spellStart"/>
      <w:r>
        <w:t>Cacioli</w:t>
      </w:r>
      <w:proofErr w:type="spellEnd"/>
      <w:r>
        <w:t xml:space="preserve">, 2026). A third gap is that </w:t>
      </w:r>
      <w:r>
        <w:rPr>
          <w:rStyle w:val="Strong"/>
        </w:rPr>
        <w:t>personalization</w:t>
      </w:r>
      <w:r>
        <w:t xml:space="preserve"> is more often proposed than tested, even though expertise, statistical literacy, and self-confidence clearly affect how users use the same signal (Cao et al., 2024; </w:t>
      </w:r>
      <w:proofErr w:type="spellStart"/>
      <w:r>
        <w:t>Noa-Yarasca</w:t>
      </w:r>
      <w:proofErr w:type="spellEnd"/>
      <w:r>
        <w:t xml:space="preserve"> et al., 2025; </w:t>
      </w:r>
      <w:proofErr w:type="spellStart"/>
      <w:r>
        <w:t>Doğru</w:t>
      </w:r>
      <w:proofErr w:type="spellEnd"/>
      <w:r>
        <w:t xml:space="preserve"> &amp; </w:t>
      </w:r>
      <w:proofErr w:type="spellStart"/>
      <w:r>
        <w:t>Krämer</w:t>
      </w:r>
      <w:proofErr w:type="spellEnd"/>
      <w:r>
        <w:t>, 2025).</w:t>
      </w:r>
    </w:p>
    <w:p w:rsidR="0086101B" w:rsidRDefault="0086101B" w:rsidP="0086101B">
      <w:pPr>
        <w:pStyle w:val="Heading3"/>
      </w:pPr>
      <w:r>
        <w:lastRenderedPageBreak/>
        <w:t>Open Research Questions</w:t>
      </w:r>
    </w:p>
    <w:p w:rsidR="0086101B" w:rsidRDefault="0086101B" w:rsidP="0086101B">
      <w:pPr>
        <w:pStyle w:val="NormalWeb"/>
      </w:pPr>
      <w:r>
        <w:t>The next phase of this field is shifting from “how to show confidence” to “how to make confidence operational.”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3"/>
        <w:gridCol w:w="4693"/>
      </w:tblGrid>
      <w:tr w:rsidR="0086101B" w:rsidTr="0086101B">
        <w:trPr>
          <w:tblHeader/>
          <w:tblCellSpacing w:w="15" w:type="dxa"/>
        </w:trPr>
        <w:tc>
          <w:tcPr>
            <w:tcW w:w="0" w:type="auto"/>
            <w:vAlign w:val="center"/>
            <w:hideMark/>
          </w:tcPr>
          <w:p w:rsidR="0086101B" w:rsidRDefault="0086101B">
            <w:pPr>
              <w:jc w:val="center"/>
              <w:rPr>
                <w:b/>
                <w:bCs/>
              </w:rPr>
            </w:pPr>
            <w:r>
              <w:rPr>
                <w:b/>
                <w:bCs/>
              </w:rPr>
              <w:t>Question</w:t>
            </w:r>
          </w:p>
        </w:tc>
        <w:tc>
          <w:tcPr>
            <w:tcW w:w="0" w:type="auto"/>
            <w:vAlign w:val="center"/>
            <w:hideMark/>
          </w:tcPr>
          <w:p w:rsidR="0086101B" w:rsidRDefault="0086101B">
            <w:pPr>
              <w:jc w:val="center"/>
              <w:rPr>
                <w:b/>
                <w:bCs/>
              </w:rPr>
            </w:pPr>
            <w:r>
              <w:rPr>
                <w:b/>
                <w:bCs/>
              </w:rPr>
              <w:t>Why</w:t>
            </w:r>
          </w:p>
        </w:tc>
      </w:tr>
      <w:tr w:rsidR="0086101B" w:rsidTr="0086101B">
        <w:trPr>
          <w:tblCellSpacing w:w="15" w:type="dxa"/>
        </w:trPr>
        <w:tc>
          <w:tcPr>
            <w:tcW w:w="0" w:type="auto"/>
            <w:vAlign w:val="center"/>
            <w:hideMark/>
          </w:tcPr>
          <w:p w:rsidR="0086101B" w:rsidRDefault="0086101B">
            <w:r>
              <w:rPr>
                <w:rStyle w:val="Strong"/>
              </w:rPr>
              <w:t>Which confidence display best supports expert decisions in real deployed high-stakes workflows?</w:t>
            </w:r>
          </w:p>
        </w:tc>
        <w:tc>
          <w:tcPr>
            <w:tcW w:w="0" w:type="auto"/>
            <w:vAlign w:val="center"/>
            <w:hideMark/>
          </w:tcPr>
          <w:p w:rsidR="0086101B" w:rsidRDefault="0086101B">
            <w:r>
              <w:t>Most evidence comes from lab tasks, yet deployment constraints and expert routines likely change what works.</w:t>
            </w:r>
          </w:p>
        </w:tc>
      </w:tr>
      <w:tr w:rsidR="0086101B" w:rsidTr="0086101B">
        <w:trPr>
          <w:tblCellSpacing w:w="15" w:type="dxa"/>
        </w:trPr>
        <w:tc>
          <w:tcPr>
            <w:tcW w:w="0" w:type="auto"/>
            <w:vAlign w:val="center"/>
            <w:hideMark/>
          </w:tcPr>
          <w:p w:rsidR="0086101B" w:rsidRDefault="0086101B">
            <w:r>
              <w:rPr>
                <w:rStyle w:val="Strong"/>
              </w:rPr>
              <w:t>When should systems stay silent, show confidence, or defer automatically?</w:t>
            </w:r>
          </w:p>
        </w:tc>
        <w:tc>
          <w:tcPr>
            <w:tcW w:w="0" w:type="auto"/>
            <w:vAlign w:val="center"/>
            <w:hideMark/>
          </w:tcPr>
          <w:p w:rsidR="0086101B" w:rsidRDefault="0086101B">
            <w:r>
              <w:t>Mid-confidence cases may be better routed to review than displayed as noisy scores.</w:t>
            </w:r>
          </w:p>
        </w:tc>
      </w:tr>
      <w:tr w:rsidR="0086101B" w:rsidTr="0086101B">
        <w:trPr>
          <w:tblCellSpacing w:w="15" w:type="dxa"/>
        </w:trPr>
        <w:tc>
          <w:tcPr>
            <w:tcW w:w="0" w:type="auto"/>
            <w:vAlign w:val="center"/>
            <w:hideMark/>
          </w:tcPr>
          <w:p w:rsidR="0086101B" w:rsidRDefault="0086101B">
            <w:r>
              <w:rPr>
                <w:rStyle w:val="Strong"/>
              </w:rPr>
              <w:t>How should confidence displays adapt to user expertise and self-confidence?</w:t>
            </w:r>
          </w:p>
        </w:tc>
        <w:tc>
          <w:tcPr>
            <w:tcW w:w="0" w:type="auto"/>
            <w:vAlign w:val="center"/>
            <w:hideMark/>
          </w:tcPr>
          <w:p w:rsidR="0086101B" w:rsidRDefault="0086101B">
            <w:r>
              <w:t>The same cue affects novices, experts, and overconfident users differently, limiting one-size-fits-all interfaces.</w:t>
            </w:r>
          </w:p>
        </w:tc>
      </w:tr>
    </w:tbl>
    <w:p w:rsidR="0086101B" w:rsidRDefault="0086101B" w:rsidP="0086101B">
      <w:pPr>
        <w:pStyle w:val="NormalWeb"/>
      </w:pPr>
      <w:r>
        <w:t xml:space="preserve">The most important shift is from treating confidence as a model output to treating it as a </w:t>
      </w:r>
      <w:r>
        <w:rPr>
          <w:rStyle w:val="Strong"/>
        </w:rPr>
        <w:t>workflow control signal</w:t>
      </w:r>
      <w:r>
        <w:t>; the biggest open question is how to tailor that signal to real users, not idealized ones.</w:t>
      </w:r>
    </w:p>
    <w:p w:rsidR="0086101B" w:rsidRDefault="0086101B" w:rsidP="0086101B">
      <w:pPr>
        <w:pStyle w:val="NormalWeb"/>
      </w:pPr>
      <w:r>
        <w:rPr>
          <w:rStyle w:val="Emphasis"/>
          <w:rFonts w:eastAsiaTheme="majorEastAsia"/>
        </w:rPr>
        <w:t xml:space="preserve">These search results were found and </w:t>
      </w:r>
      <w:proofErr w:type="spellStart"/>
      <w:r>
        <w:rPr>
          <w:rStyle w:val="Emphasis"/>
          <w:rFonts w:eastAsiaTheme="majorEastAsia"/>
        </w:rPr>
        <w:t>analyzed</w:t>
      </w:r>
      <w:proofErr w:type="spellEnd"/>
      <w:r>
        <w:rPr>
          <w:rStyle w:val="Emphasis"/>
          <w:rFonts w:eastAsiaTheme="majorEastAsia"/>
        </w:rPr>
        <w:t xml:space="preserve"> using Consensus, an AI-powered search engine for research. Try it at </w:t>
      </w:r>
      <w:hyperlink r:id="rId43" w:history="1">
        <w:r>
          <w:rPr>
            <w:rStyle w:val="Hyperlink"/>
            <w:i/>
            <w:iCs/>
          </w:rPr>
          <w:t>https://consensus.app</w:t>
        </w:r>
      </w:hyperlink>
      <w:r>
        <w:rPr>
          <w:rStyle w:val="Emphasis"/>
          <w:rFonts w:eastAsiaTheme="majorEastAsia"/>
        </w:rPr>
        <w:t>. © 2026 Consensus NLP, Inc. Personal, non-commercial use only; redistribution requires copyright holders’ consent.</w:t>
      </w:r>
    </w:p>
    <w:p w:rsidR="0086101B" w:rsidRDefault="0086101B" w:rsidP="0086101B">
      <w:pPr>
        <w:pStyle w:val="Heading2"/>
      </w:pPr>
      <w:r>
        <w:t>References</w:t>
      </w:r>
    </w:p>
    <w:p w:rsidR="0086101B" w:rsidRDefault="0086101B" w:rsidP="0086101B">
      <w:pPr>
        <w:pStyle w:val="NormalWeb"/>
      </w:pPr>
      <w:r>
        <w:t xml:space="preserve">S., Wang, X., Lei, Y., Shi, C., Yin, M., &amp; X. (2024). “Are You Really Sure?” Understanding the Effects of Human Self-Confidence Calibration in AI-Assisted Decision Making. </w:t>
      </w:r>
      <w:r>
        <w:rPr>
          <w:rStyle w:val="Emphasis"/>
          <w:rFonts w:eastAsiaTheme="majorEastAsia"/>
        </w:rPr>
        <w:t>Proceedings of the 2024 CHI Conference on Human Factors in Computing Systems</w:t>
      </w:r>
      <w:r>
        <w:t xml:space="preserve">. </w:t>
      </w:r>
      <w:hyperlink r:id="rId44" w:history="1">
        <w:r>
          <w:rPr>
            <w:rStyle w:val="Hyperlink"/>
          </w:rPr>
          <w:t>https://doi.org/10.1145/3613904.3642671</w:t>
        </w:r>
      </w:hyperlink>
    </w:p>
    <w:p w:rsidR="0086101B" w:rsidRDefault="0086101B" w:rsidP="0086101B">
      <w:pPr>
        <w:pStyle w:val="NormalWeb"/>
      </w:pPr>
      <w:r>
        <w:t xml:space="preserve">Benz, N. C. L., &amp; Gomez Rodriguez, M. (2023). Human-Aligned Calibration for AI-Assisted Decision Making. </w:t>
      </w:r>
      <w:proofErr w:type="spellStart"/>
      <w:r>
        <w:rPr>
          <w:rStyle w:val="Emphasis"/>
          <w:rFonts w:eastAsiaTheme="majorEastAsia"/>
        </w:rPr>
        <w:t>ArXiv</w:t>
      </w:r>
      <w:proofErr w:type="spellEnd"/>
      <w:r>
        <w:rPr>
          <w:rStyle w:val="Emphasis"/>
          <w:rFonts w:eastAsiaTheme="majorEastAsia"/>
        </w:rPr>
        <w:t>, abs/2306.00074</w:t>
      </w:r>
      <w:r>
        <w:t xml:space="preserve">. </w:t>
      </w:r>
      <w:hyperlink r:id="rId45" w:history="1">
        <w:r>
          <w:rPr>
            <w:rStyle w:val="Hyperlink"/>
          </w:rPr>
          <w:t>https://doi.org/10.48550/arxiv.2306.00074</w:t>
        </w:r>
      </w:hyperlink>
    </w:p>
    <w:p w:rsidR="0086101B" w:rsidRDefault="0086101B" w:rsidP="0086101B">
      <w:pPr>
        <w:pStyle w:val="NormalWeb"/>
      </w:pPr>
      <w:r>
        <w:t xml:space="preserve">Berkowitz, J. S., </w:t>
      </w:r>
      <w:proofErr w:type="spellStart"/>
      <w:r>
        <w:t>Patock</w:t>
      </w:r>
      <w:proofErr w:type="spellEnd"/>
      <w:r>
        <w:t xml:space="preserve">, J., Nawaz, A., Gonzalez-Hernandez, G., &amp; </w:t>
      </w:r>
      <w:proofErr w:type="spellStart"/>
      <w:r>
        <w:t>Tatonetti</w:t>
      </w:r>
      <w:proofErr w:type="spellEnd"/>
      <w:r>
        <w:t xml:space="preserve">, N. P. (2026). A crisis of overconfidence: Why confidence, not accuracy, is the real risk in clinical AI. </w:t>
      </w:r>
      <w:proofErr w:type="spellStart"/>
      <w:r>
        <w:rPr>
          <w:rStyle w:val="Emphasis"/>
          <w:rFonts w:eastAsiaTheme="majorEastAsia"/>
        </w:rPr>
        <w:t>BioData</w:t>
      </w:r>
      <w:proofErr w:type="spellEnd"/>
      <w:r>
        <w:rPr>
          <w:rStyle w:val="Emphasis"/>
          <w:rFonts w:eastAsiaTheme="majorEastAsia"/>
        </w:rPr>
        <w:t xml:space="preserve"> Mining, 19</w:t>
      </w:r>
      <w:r>
        <w:t xml:space="preserve">. </w:t>
      </w:r>
      <w:hyperlink r:id="rId46" w:history="1">
        <w:r>
          <w:rPr>
            <w:rStyle w:val="Hyperlink"/>
          </w:rPr>
          <w:t>https://doi.org/10.1186/s13040-026-00518-4</w:t>
        </w:r>
      </w:hyperlink>
    </w:p>
    <w:p w:rsidR="0086101B" w:rsidRDefault="0086101B" w:rsidP="0086101B">
      <w:pPr>
        <w:pStyle w:val="NormalWeb"/>
      </w:pPr>
      <w:proofErr w:type="spellStart"/>
      <w:r>
        <w:t>Bisantz</w:t>
      </w:r>
      <w:proofErr w:type="spellEnd"/>
      <w:r>
        <w:t xml:space="preserve">, A., Cao, D., Jenkins, M. P., </w:t>
      </w:r>
      <w:proofErr w:type="spellStart"/>
      <w:r>
        <w:t>Pennathur</w:t>
      </w:r>
      <w:proofErr w:type="spellEnd"/>
      <w:r>
        <w:t xml:space="preserve">, P., </w:t>
      </w:r>
      <w:proofErr w:type="spellStart"/>
      <w:r>
        <w:t>Farry</w:t>
      </w:r>
      <w:proofErr w:type="spellEnd"/>
      <w:r>
        <w:t xml:space="preserve">, M., Roth, E., Potter, S., &amp; </w:t>
      </w:r>
      <w:proofErr w:type="spellStart"/>
      <w:r>
        <w:t>Pfautz</w:t>
      </w:r>
      <w:proofErr w:type="spellEnd"/>
      <w:r>
        <w:t xml:space="preserve">, J. D. (2011). Comparing Uncertainty Visualizations for a Dynamic Decision-Making Task. </w:t>
      </w:r>
      <w:r>
        <w:rPr>
          <w:rStyle w:val="Emphasis"/>
          <w:rFonts w:eastAsiaTheme="majorEastAsia"/>
        </w:rPr>
        <w:t>Journal of Cognitive Engineering and Decision Making, 5</w:t>
      </w:r>
      <w:r>
        <w:t xml:space="preserve">, 277 - 293. </w:t>
      </w:r>
      <w:hyperlink r:id="rId47" w:history="1">
        <w:r>
          <w:rPr>
            <w:rStyle w:val="Hyperlink"/>
          </w:rPr>
          <w:t>https://doi.org/10.1177/1555343411415793</w:t>
        </w:r>
      </w:hyperlink>
    </w:p>
    <w:p w:rsidR="0086101B" w:rsidRDefault="0086101B" w:rsidP="0086101B">
      <w:pPr>
        <w:pStyle w:val="NormalWeb"/>
      </w:pPr>
      <w:r>
        <w:t xml:space="preserve">Bukowski, M., </w:t>
      </w:r>
      <w:proofErr w:type="spellStart"/>
      <w:r>
        <w:t>Kurek</w:t>
      </w:r>
      <w:proofErr w:type="spellEnd"/>
      <w:r>
        <w:t xml:space="preserve">, J., </w:t>
      </w:r>
      <w:proofErr w:type="spellStart"/>
      <w:r>
        <w:t>Antoniuk</w:t>
      </w:r>
      <w:proofErr w:type="spellEnd"/>
      <w:r>
        <w:t xml:space="preserve">, I., &amp; </w:t>
      </w:r>
      <w:proofErr w:type="spellStart"/>
      <w:r>
        <w:t>Jegorowa</w:t>
      </w:r>
      <w:proofErr w:type="spellEnd"/>
      <w:r>
        <w:t xml:space="preserve">, A. (2021). Decision Confidence Assessment in Multi-Class Classification. </w:t>
      </w:r>
      <w:r>
        <w:rPr>
          <w:rStyle w:val="Emphasis"/>
          <w:rFonts w:eastAsiaTheme="majorEastAsia"/>
        </w:rPr>
        <w:t>Sensors (Basel, Switzerland), 21</w:t>
      </w:r>
      <w:r>
        <w:t xml:space="preserve">. </w:t>
      </w:r>
      <w:hyperlink r:id="rId48" w:history="1">
        <w:r>
          <w:rPr>
            <w:rStyle w:val="Hyperlink"/>
          </w:rPr>
          <w:t>https://doi.org/10.3390/s21113834</w:t>
        </w:r>
      </w:hyperlink>
    </w:p>
    <w:p w:rsidR="0086101B" w:rsidRDefault="0086101B" w:rsidP="0086101B">
      <w:pPr>
        <w:pStyle w:val="NormalWeb"/>
      </w:pPr>
      <w:r>
        <w:lastRenderedPageBreak/>
        <w:t xml:space="preserve">Bussone, A., </w:t>
      </w:r>
      <w:proofErr w:type="spellStart"/>
      <w:r>
        <w:t>Stumpf</w:t>
      </w:r>
      <w:proofErr w:type="spellEnd"/>
      <w:r>
        <w:t xml:space="preserve">, S., &amp; O’Sullivan, D. (2015). The Role of Explanations on Trust and Reliance in Clinical Decision Support Systems. </w:t>
      </w:r>
      <w:r>
        <w:rPr>
          <w:rStyle w:val="Emphasis"/>
          <w:rFonts w:eastAsiaTheme="majorEastAsia"/>
        </w:rPr>
        <w:t>2015 International Conference on Healthcare Informatics</w:t>
      </w:r>
      <w:r>
        <w:t xml:space="preserve">, 160-169. </w:t>
      </w:r>
      <w:hyperlink r:id="rId49" w:history="1">
        <w:r>
          <w:rPr>
            <w:rStyle w:val="Hyperlink"/>
          </w:rPr>
          <w:t>https://doi.org/10.1109/ichi.2015.26</w:t>
        </w:r>
      </w:hyperlink>
    </w:p>
    <w:p w:rsidR="0086101B" w:rsidRDefault="0086101B" w:rsidP="0086101B">
      <w:pPr>
        <w:pStyle w:val="NormalWeb"/>
      </w:pPr>
      <w:proofErr w:type="spellStart"/>
      <w:r>
        <w:t>Cabitza</w:t>
      </w:r>
      <w:proofErr w:type="spellEnd"/>
      <w:r>
        <w:t xml:space="preserve">, F., </w:t>
      </w:r>
      <w:proofErr w:type="spellStart"/>
      <w:r>
        <w:t>Fregosi</w:t>
      </w:r>
      <w:proofErr w:type="spellEnd"/>
      <w:r>
        <w:t xml:space="preserve">, C., &amp; Vicente, L. (2025). Too Sure for Trust. The Paradoxical Effect of Calibrated Confidence in Case of </w:t>
      </w:r>
      <w:proofErr w:type="spellStart"/>
      <w:r>
        <w:t>Uncalibrated</w:t>
      </w:r>
      <w:proofErr w:type="spellEnd"/>
      <w:r>
        <w:t xml:space="preserve"> Trust in Hybrid Decision Making. 233-254. </w:t>
      </w:r>
      <w:hyperlink r:id="rId50" w:history="1">
        <w:r>
          <w:rPr>
            <w:rStyle w:val="Hyperlink"/>
          </w:rPr>
          <w:t>https://doi.org/10.1007/978-3-032-08317-3_11</w:t>
        </w:r>
      </w:hyperlink>
    </w:p>
    <w:p w:rsidR="0086101B" w:rsidRDefault="0086101B" w:rsidP="0086101B">
      <w:pPr>
        <w:pStyle w:val="NormalWeb"/>
      </w:pPr>
      <w:proofErr w:type="spellStart"/>
      <w:r>
        <w:t>Cacioli</w:t>
      </w:r>
      <w:proofErr w:type="spellEnd"/>
      <w:r>
        <w:t xml:space="preserve">, J.-P. (2026). Verbal Confidence Saturation in 3-9B Open-Weight Instruction-Tuned LLMs: A Pre-Registered Psychometric Validity Screen. </w:t>
      </w:r>
      <w:proofErr w:type="spellStart"/>
      <w:r>
        <w:rPr>
          <w:rStyle w:val="Emphasis"/>
          <w:rFonts w:eastAsiaTheme="majorEastAsia"/>
        </w:rPr>
        <w:t>ArXiv</w:t>
      </w:r>
      <w:proofErr w:type="spellEnd"/>
      <w:r>
        <w:rPr>
          <w:rStyle w:val="Emphasis"/>
          <w:rFonts w:eastAsiaTheme="majorEastAsia"/>
        </w:rPr>
        <w:t>, abs/2604.22215</w:t>
      </w:r>
      <w:r>
        <w:t xml:space="preserve">. </w:t>
      </w:r>
      <w:hyperlink r:id="rId51" w:history="1">
        <w:r>
          <w:rPr>
            <w:rStyle w:val="Hyperlink"/>
          </w:rPr>
          <w:t>https://doi.org/10.48550/arxiv.2604.22215</w:t>
        </w:r>
      </w:hyperlink>
    </w:p>
    <w:p w:rsidR="0086101B" w:rsidRDefault="0086101B" w:rsidP="0086101B">
      <w:pPr>
        <w:pStyle w:val="NormalWeb"/>
      </w:pPr>
      <w:r>
        <w:t xml:space="preserve">Cao, S., Liu, A., &amp; Huang, C.-M. (2024). Designing for Appropriate Reliance: The Roles of AI Uncertainty Presentation, Initial User Decision, and User Demographics in AI-Assisted Decision-Making. </w:t>
      </w:r>
      <w:r>
        <w:rPr>
          <w:rStyle w:val="Emphasis"/>
          <w:rFonts w:eastAsiaTheme="majorEastAsia"/>
        </w:rPr>
        <w:t>Proceedings of the ACM on Human-Computer Interaction, 8</w:t>
      </w:r>
      <w:r>
        <w:t xml:space="preserve">, 1 - 32. </w:t>
      </w:r>
      <w:hyperlink r:id="rId52" w:history="1">
        <w:r>
          <w:rPr>
            <w:rStyle w:val="Hyperlink"/>
          </w:rPr>
          <w:t>https://doi.org/10.1145/3637318</w:t>
        </w:r>
      </w:hyperlink>
    </w:p>
    <w:p w:rsidR="0086101B" w:rsidRDefault="0086101B" w:rsidP="0086101B">
      <w:pPr>
        <w:pStyle w:val="NormalWeb"/>
      </w:pPr>
      <w:r>
        <w:t xml:space="preserve">Chong, L., Zhang, G., </w:t>
      </w:r>
      <w:proofErr w:type="spellStart"/>
      <w:r>
        <w:t>Goucher</w:t>
      </w:r>
      <w:proofErr w:type="spellEnd"/>
      <w:r>
        <w:t xml:space="preserve">-Lambert, K., </w:t>
      </w:r>
      <w:proofErr w:type="spellStart"/>
      <w:r>
        <w:t>Kotovsky</w:t>
      </w:r>
      <w:proofErr w:type="spellEnd"/>
      <w:r>
        <w:t xml:space="preserve">, K., &amp; </w:t>
      </w:r>
      <w:proofErr w:type="spellStart"/>
      <w:r>
        <w:t>Cagan</w:t>
      </w:r>
      <w:proofErr w:type="spellEnd"/>
      <w:r>
        <w:t xml:space="preserve">, J. (2022). Human confidence in artificial intelligence and in themselves: The evolution and impact of confidence on adoption of AI advice. </w:t>
      </w:r>
      <w:proofErr w:type="spellStart"/>
      <w:r>
        <w:rPr>
          <w:rStyle w:val="Emphasis"/>
          <w:rFonts w:eastAsiaTheme="majorEastAsia"/>
        </w:rPr>
        <w:t>Comput</w:t>
      </w:r>
      <w:proofErr w:type="spellEnd"/>
      <w:r>
        <w:rPr>
          <w:rStyle w:val="Emphasis"/>
          <w:rFonts w:eastAsiaTheme="majorEastAsia"/>
        </w:rPr>
        <w:t xml:space="preserve">. Hum. </w:t>
      </w:r>
      <w:proofErr w:type="spellStart"/>
      <w:r>
        <w:rPr>
          <w:rStyle w:val="Emphasis"/>
          <w:rFonts w:eastAsiaTheme="majorEastAsia"/>
        </w:rPr>
        <w:t>Behav</w:t>
      </w:r>
      <w:proofErr w:type="spellEnd"/>
      <w:r>
        <w:rPr>
          <w:rStyle w:val="Emphasis"/>
          <w:rFonts w:eastAsiaTheme="majorEastAsia"/>
        </w:rPr>
        <w:t>., 127</w:t>
      </w:r>
      <w:r>
        <w:t xml:space="preserve">, 107018. </w:t>
      </w:r>
      <w:hyperlink r:id="rId53" w:history="1">
        <w:r>
          <w:rPr>
            <w:rStyle w:val="Hyperlink"/>
          </w:rPr>
          <w:t>https://doi.org/10.1016/j.chb.2021.107018</w:t>
        </w:r>
      </w:hyperlink>
    </w:p>
    <w:p w:rsidR="0086101B" w:rsidRDefault="0086101B" w:rsidP="0086101B">
      <w:pPr>
        <w:pStyle w:val="NormalWeb"/>
      </w:pPr>
      <w:r>
        <w:t xml:space="preserve">Chowdhury, I., &amp; </w:t>
      </w:r>
      <w:proofErr w:type="spellStart"/>
      <w:r>
        <w:t>Tanvir</w:t>
      </w:r>
      <w:proofErr w:type="spellEnd"/>
      <w:r>
        <w:t xml:space="preserve">, M. (2026). Decision-Aware Trust Signal Alignment for SOC Alert Triage. </w:t>
      </w:r>
      <w:proofErr w:type="spellStart"/>
      <w:r>
        <w:rPr>
          <w:rStyle w:val="Emphasis"/>
          <w:rFonts w:eastAsiaTheme="majorEastAsia"/>
        </w:rPr>
        <w:t>ArXiv</w:t>
      </w:r>
      <w:proofErr w:type="spellEnd"/>
      <w:r>
        <w:rPr>
          <w:rStyle w:val="Emphasis"/>
          <w:rFonts w:eastAsiaTheme="majorEastAsia"/>
        </w:rPr>
        <w:t>, abs/2601.04486</w:t>
      </w:r>
      <w:r>
        <w:t xml:space="preserve">. </w:t>
      </w:r>
      <w:hyperlink r:id="rId54" w:history="1">
        <w:r>
          <w:rPr>
            <w:rStyle w:val="Hyperlink"/>
          </w:rPr>
          <w:t>https://doi.org/10.48550/arxiv.2601.04486</w:t>
        </w:r>
      </w:hyperlink>
    </w:p>
    <w:p w:rsidR="0086101B" w:rsidRDefault="0086101B" w:rsidP="0086101B">
      <w:pPr>
        <w:pStyle w:val="NormalWeb"/>
      </w:pPr>
      <w:r>
        <w:t xml:space="preserve">Dai, Y. (2026). Rescaling Confidence: What Scale Design Reveals About LLM Metacognition. </w:t>
      </w:r>
      <w:proofErr w:type="spellStart"/>
      <w:r>
        <w:rPr>
          <w:rStyle w:val="Emphasis"/>
          <w:rFonts w:eastAsiaTheme="majorEastAsia"/>
        </w:rPr>
        <w:t>ArXiv</w:t>
      </w:r>
      <w:proofErr w:type="spellEnd"/>
      <w:r>
        <w:rPr>
          <w:rStyle w:val="Emphasis"/>
          <w:rFonts w:eastAsiaTheme="majorEastAsia"/>
        </w:rPr>
        <w:t>, abs/2603.09309</w:t>
      </w:r>
      <w:r>
        <w:t xml:space="preserve">. </w:t>
      </w:r>
      <w:hyperlink r:id="rId55" w:history="1">
        <w:r>
          <w:rPr>
            <w:rStyle w:val="Hyperlink"/>
          </w:rPr>
          <w:t>https://doi.org/10.48550/arxiv.2603.09309</w:t>
        </w:r>
      </w:hyperlink>
    </w:p>
    <w:p w:rsidR="0086101B" w:rsidRDefault="0086101B" w:rsidP="0086101B">
      <w:pPr>
        <w:pStyle w:val="NormalWeb"/>
      </w:pPr>
      <w:proofErr w:type="spellStart"/>
      <w:r>
        <w:t>Doğru</w:t>
      </w:r>
      <w:proofErr w:type="spellEnd"/>
      <w:r>
        <w:t xml:space="preserve">, E., &amp; </w:t>
      </w:r>
      <w:proofErr w:type="spellStart"/>
      <w:r>
        <w:t>Krämer</w:t>
      </w:r>
      <w:proofErr w:type="spellEnd"/>
      <w:r>
        <w:t xml:space="preserve">, N. C. (2025). Investigating appropriate reliance on AI-Based decision support systems: the role of expertise, trust, and self-confidence. </w:t>
      </w:r>
      <w:r>
        <w:rPr>
          <w:rStyle w:val="Emphasis"/>
          <w:rFonts w:eastAsiaTheme="majorEastAsia"/>
        </w:rPr>
        <w:t>Journal of Decision Systems, 34</w:t>
      </w:r>
      <w:r>
        <w:t xml:space="preserve">. </w:t>
      </w:r>
      <w:hyperlink r:id="rId56" w:history="1">
        <w:r>
          <w:rPr>
            <w:rStyle w:val="Hyperlink"/>
          </w:rPr>
          <w:t>https://doi.org/10.1080/12460125.2025.2593251</w:t>
        </w:r>
      </w:hyperlink>
    </w:p>
    <w:p w:rsidR="0086101B" w:rsidRDefault="0086101B" w:rsidP="0086101B">
      <w:pPr>
        <w:pStyle w:val="NormalWeb"/>
      </w:pPr>
      <w:proofErr w:type="spellStart"/>
      <w:r>
        <w:t>Fregosi</w:t>
      </w:r>
      <w:proofErr w:type="spellEnd"/>
      <w:r>
        <w:t xml:space="preserve">, C., Vicente, L., </w:t>
      </w:r>
      <w:proofErr w:type="spellStart"/>
      <w:r>
        <w:t>Campagner</w:t>
      </w:r>
      <w:proofErr w:type="spellEnd"/>
      <w:r>
        <w:t xml:space="preserve">, A., &amp; </w:t>
      </w:r>
      <w:proofErr w:type="spellStart"/>
      <w:r>
        <w:t>Cabitza</w:t>
      </w:r>
      <w:proofErr w:type="spellEnd"/>
      <w:r>
        <w:t xml:space="preserve">, F. (2026). Too Sure for Our Own Good: A User Study on AI Confidence and Human Reliance. 17445-17453. </w:t>
      </w:r>
      <w:hyperlink r:id="rId57" w:history="1">
        <w:r>
          <w:rPr>
            <w:rStyle w:val="Hyperlink"/>
          </w:rPr>
          <w:t>https://doi.org/10.1609/aaai.v40i21.38798</w:t>
        </w:r>
      </w:hyperlink>
    </w:p>
    <w:p w:rsidR="0086101B" w:rsidRDefault="0086101B" w:rsidP="0086101B">
      <w:pPr>
        <w:pStyle w:val="NormalWeb"/>
      </w:pPr>
      <w:proofErr w:type="spellStart"/>
      <w:r>
        <w:t>Fröhlich</w:t>
      </w:r>
      <w:proofErr w:type="spellEnd"/>
      <w:r>
        <w:t xml:space="preserve">, P., </w:t>
      </w:r>
      <w:proofErr w:type="spellStart"/>
      <w:r>
        <w:t>Mirnig</w:t>
      </w:r>
      <w:proofErr w:type="spellEnd"/>
      <w:r>
        <w:t xml:space="preserve">, A. G., </w:t>
      </w:r>
      <w:proofErr w:type="spellStart"/>
      <w:r>
        <w:t>Falcioni</w:t>
      </w:r>
      <w:proofErr w:type="spellEnd"/>
      <w:r>
        <w:t xml:space="preserve">, D., </w:t>
      </w:r>
      <w:proofErr w:type="spellStart"/>
      <w:r>
        <w:t>Schrammel</w:t>
      </w:r>
      <w:proofErr w:type="spellEnd"/>
      <w:r>
        <w:t xml:space="preserve">, J., Diamond, L., Fischer, I., &amp; </w:t>
      </w:r>
      <w:proofErr w:type="spellStart"/>
      <w:r>
        <w:t>Tscheligi</w:t>
      </w:r>
      <w:proofErr w:type="spellEnd"/>
      <w:r>
        <w:t xml:space="preserve">, M. (2022). Effects of reliability indicators on usage, acceptance and preference of predictive process management decision support systems. </w:t>
      </w:r>
      <w:r>
        <w:rPr>
          <w:rStyle w:val="Emphasis"/>
          <w:rFonts w:eastAsiaTheme="majorEastAsia"/>
        </w:rPr>
        <w:t>Quality and User Experience, 7</w:t>
      </w:r>
      <w:r>
        <w:t xml:space="preserve">. </w:t>
      </w:r>
      <w:hyperlink r:id="rId58" w:history="1">
        <w:r>
          <w:rPr>
            <w:rStyle w:val="Hyperlink"/>
          </w:rPr>
          <w:t>https://doi.org/10.1007/s41233-022-00053-0</w:t>
        </w:r>
      </w:hyperlink>
    </w:p>
    <w:p w:rsidR="0086101B" w:rsidRDefault="0086101B" w:rsidP="0086101B">
      <w:pPr>
        <w:pStyle w:val="NormalWeb"/>
      </w:pPr>
      <w:r>
        <w:t xml:space="preserve">Goddard, K., </w:t>
      </w:r>
      <w:proofErr w:type="spellStart"/>
      <w:r>
        <w:t>Roudsari</w:t>
      </w:r>
      <w:proofErr w:type="spellEnd"/>
      <w:r>
        <w:t xml:space="preserve">, A., &amp; Wyatt, J. (2011). Automation bias: a systematic review of frequency, effect mediators, and </w:t>
      </w:r>
      <w:proofErr w:type="spellStart"/>
      <w:r>
        <w:t>mitigators</w:t>
      </w:r>
      <w:proofErr w:type="spellEnd"/>
      <w:r>
        <w:t xml:space="preserve">. </w:t>
      </w:r>
      <w:r>
        <w:rPr>
          <w:rStyle w:val="Emphasis"/>
          <w:rFonts w:eastAsiaTheme="majorEastAsia"/>
        </w:rPr>
        <w:t xml:space="preserve">Journal of the American Medical Informatics </w:t>
      </w:r>
      <w:proofErr w:type="gramStart"/>
      <w:r>
        <w:rPr>
          <w:rStyle w:val="Emphasis"/>
          <w:rFonts w:eastAsiaTheme="majorEastAsia"/>
        </w:rPr>
        <w:t>Association :</w:t>
      </w:r>
      <w:proofErr w:type="gramEnd"/>
      <w:r>
        <w:rPr>
          <w:rStyle w:val="Emphasis"/>
          <w:rFonts w:eastAsiaTheme="majorEastAsia"/>
        </w:rPr>
        <w:t xml:space="preserve"> JAMIA, 19 1</w:t>
      </w:r>
      <w:r>
        <w:t xml:space="preserve">, 121-7. </w:t>
      </w:r>
      <w:hyperlink r:id="rId59" w:history="1">
        <w:r>
          <w:rPr>
            <w:rStyle w:val="Hyperlink"/>
          </w:rPr>
          <w:t>https://doi.org/10.1136/amiajnl-2011-000089</w:t>
        </w:r>
      </w:hyperlink>
    </w:p>
    <w:p w:rsidR="0086101B" w:rsidRDefault="0086101B" w:rsidP="0086101B">
      <w:pPr>
        <w:pStyle w:val="NormalWeb"/>
      </w:pPr>
      <w:proofErr w:type="spellStart"/>
      <w:r>
        <w:t>Gray</w:t>
      </w:r>
      <w:proofErr w:type="spellEnd"/>
      <w:r>
        <w:t xml:space="preserve">, N., Page, H., Buchan, I., &amp; Joyce, D. W. (2024). Risk and Uncertainty Communication in Deployed AI-based Clinical Decision Support Systems: A scoping review. </w:t>
      </w:r>
      <w:r>
        <w:rPr>
          <w:rStyle w:val="Emphasis"/>
          <w:rFonts w:eastAsiaTheme="majorEastAsia"/>
        </w:rPr>
        <w:t>ACM Transactions on Computing for Healthcare</w:t>
      </w:r>
      <w:r>
        <w:t xml:space="preserve">. </w:t>
      </w:r>
      <w:hyperlink r:id="rId60" w:history="1">
        <w:r>
          <w:rPr>
            <w:rStyle w:val="Hyperlink"/>
          </w:rPr>
          <w:t>https://doi.org/10.1145/3830235</w:t>
        </w:r>
      </w:hyperlink>
    </w:p>
    <w:p w:rsidR="0086101B" w:rsidRDefault="0086101B" w:rsidP="0086101B">
      <w:pPr>
        <w:pStyle w:val="NormalWeb"/>
      </w:pPr>
      <w:proofErr w:type="spellStart"/>
      <w:r>
        <w:lastRenderedPageBreak/>
        <w:t>Hartvig</w:t>
      </w:r>
      <w:proofErr w:type="spellEnd"/>
      <w:r>
        <w:t xml:space="preserve">, F. D., </w:t>
      </w:r>
      <w:proofErr w:type="spellStart"/>
      <w:r>
        <w:t>Egelund</w:t>
      </w:r>
      <w:proofErr w:type="spellEnd"/>
      <w:r>
        <w:t xml:space="preserve">, A. L., &amp; </w:t>
      </w:r>
      <w:proofErr w:type="spellStart"/>
      <w:r>
        <w:t>Elmqvist</w:t>
      </w:r>
      <w:proofErr w:type="spellEnd"/>
      <w:r>
        <w:t xml:space="preserve">, N. (2026). Trust Me, I'm Probably Right: Investigating AI Explanations for Establishing Appropriate Trust. </w:t>
      </w:r>
      <w:r>
        <w:rPr>
          <w:rStyle w:val="Emphasis"/>
          <w:rFonts w:eastAsiaTheme="majorEastAsia"/>
        </w:rPr>
        <w:t>Proceedings of the 2026 International Conference on Advanced Visual Interfaces</w:t>
      </w:r>
      <w:r>
        <w:t xml:space="preserve">. </w:t>
      </w:r>
      <w:hyperlink r:id="rId61" w:history="1">
        <w:r>
          <w:rPr>
            <w:rStyle w:val="Hyperlink"/>
          </w:rPr>
          <w:t>https://doi.org/10.1145/3811427.3811445</w:t>
        </w:r>
      </w:hyperlink>
    </w:p>
    <w:p w:rsidR="0086101B" w:rsidRDefault="0086101B" w:rsidP="0086101B">
      <w:pPr>
        <w:pStyle w:val="NormalWeb"/>
      </w:pPr>
      <w:proofErr w:type="spellStart"/>
      <w:r>
        <w:t>Hullman</w:t>
      </w:r>
      <w:proofErr w:type="spellEnd"/>
      <w:r>
        <w:t xml:space="preserve">, J., Wu, Y., </w:t>
      </w:r>
      <w:proofErr w:type="spellStart"/>
      <w:r>
        <w:t>Xie</w:t>
      </w:r>
      <w:proofErr w:type="spellEnd"/>
      <w:r>
        <w:t xml:space="preserve">, D., </w:t>
      </w:r>
      <w:proofErr w:type="spellStart"/>
      <w:r>
        <w:t>Guo</w:t>
      </w:r>
      <w:proofErr w:type="spellEnd"/>
      <w:r>
        <w:t xml:space="preserve">, Z., &amp; </w:t>
      </w:r>
      <w:proofErr w:type="spellStart"/>
      <w:r>
        <w:t>Gelman</w:t>
      </w:r>
      <w:proofErr w:type="spellEnd"/>
      <w:r>
        <w:t xml:space="preserve">, A. (2025). Conformal Prediction and Human Decision Making. </w:t>
      </w:r>
      <w:proofErr w:type="spellStart"/>
      <w:r>
        <w:rPr>
          <w:rStyle w:val="Emphasis"/>
          <w:rFonts w:eastAsiaTheme="majorEastAsia"/>
        </w:rPr>
        <w:t>ArXiv</w:t>
      </w:r>
      <w:proofErr w:type="spellEnd"/>
      <w:r>
        <w:rPr>
          <w:rStyle w:val="Emphasis"/>
          <w:rFonts w:eastAsiaTheme="majorEastAsia"/>
        </w:rPr>
        <w:t>, abs/2503.11709</w:t>
      </w:r>
      <w:r>
        <w:t xml:space="preserve">. </w:t>
      </w:r>
      <w:hyperlink r:id="rId62" w:history="1">
        <w:r>
          <w:rPr>
            <w:rStyle w:val="Hyperlink"/>
          </w:rPr>
          <w:t>https://doi.org/10.48550/arxiv.2503.11709</w:t>
        </w:r>
      </w:hyperlink>
    </w:p>
    <w:p w:rsidR="0086101B" w:rsidRDefault="0086101B" w:rsidP="0086101B">
      <w:pPr>
        <w:pStyle w:val="NormalWeb"/>
      </w:pPr>
      <w:proofErr w:type="spellStart"/>
      <w:r>
        <w:t>Hullman</w:t>
      </w:r>
      <w:proofErr w:type="spellEnd"/>
      <w:r>
        <w:t xml:space="preserve">, J., </w:t>
      </w:r>
      <w:proofErr w:type="spellStart"/>
      <w:r>
        <w:t>Qiao</w:t>
      </w:r>
      <w:proofErr w:type="spellEnd"/>
      <w:r>
        <w:t xml:space="preserve">, X., </w:t>
      </w:r>
      <w:proofErr w:type="spellStart"/>
      <w:r>
        <w:t>Correll</w:t>
      </w:r>
      <w:proofErr w:type="spellEnd"/>
      <w:r>
        <w:t xml:space="preserve">, M., Kale, A., &amp; Kay, M. (2019). In Pursuit of Error: A Survey of Uncertainty Visualization Evaluation. </w:t>
      </w:r>
      <w:r>
        <w:rPr>
          <w:rStyle w:val="Emphasis"/>
          <w:rFonts w:eastAsiaTheme="majorEastAsia"/>
        </w:rPr>
        <w:t>IEEE Transactions on Visualization and Computer Graphics, 25</w:t>
      </w:r>
      <w:r>
        <w:t xml:space="preserve">, 903-913. </w:t>
      </w:r>
      <w:hyperlink r:id="rId63" w:history="1">
        <w:r>
          <w:rPr>
            <w:rStyle w:val="Hyperlink"/>
          </w:rPr>
          <w:t>https://doi.org/10.1109/tvcg.2018.2864889</w:t>
        </w:r>
      </w:hyperlink>
    </w:p>
    <w:p w:rsidR="0086101B" w:rsidRDefault="0086101B" w:rsidP="0086101B">
      <w:pPr>
        <w:pStyle w:val="NormalWeb"/>
      </w:pPr>
      <w:r>
        <w:t xml:space="preserve">Ibrahim, M. (2025). Confidence-Based Trust Calibration in Human-AI Teams. </w:t>
      </w:r>
      <w:r>
        <w:rPr>
          <w:rStyle w:val="Emphasis"/>
          <w:rFonts w:eastAsiaTheme="majorEastAsia"/>
        </w:rPr>
        <w:t>International Journal of Advanced Computer Science and Applications</w:t>
      </w:r>
      <w:r>
        <w:t xml:space="preserve">. </w:t>
      </w:r>
      <w:hyperlink r:id="rId64" w:history="1">
        <w:r>
          <w:rPr>
            <w:rStyle w:val="Hyperlink"/>
          </w:rPr>
          <w:t>https://doi.org/10.14569/ijacsa.2025.01612122</w:t>
        </w:r>
      </w:hyperlink>
    </w:p>
    <w:p w:rsidR="0086101B" w:rsidRDefault="0086101B" w:rsidP="0086101B">
      <w:pPr>
        <w:pStyle w:val="NormalWeb"/>
      </w:pPr>
      <w:r>
        <w:t xml:space="preserve">Karunanayake, N. (2025). Confidence in Radiology AI: From Black-Box Scores to Trusted Decisions. </w:t>
      </w:r>
      <w:r>
        <w:rPr>
          <w:rStyle w:val="Emphasis"/>
          <w:rFonts w:eastAsiaTheme="majorEastAsia"/>
        </w:rPr>
        <w:t>European Journal of Radiology Artificial Intelligence</w:t>
      </w:r>
      <w:r>
        <w:t xml:space="preserve">. </w:t>
      </w:r>
      <w:hyperlink r:id="rId65" w:history="1">
        <w:r>
          <w:rPr>
            <w:rStyle w:val="Hyperlink"/>
          </w:rPr>
          <w:t>https://doi.org/10.1016/j.ejrai.2025.100046</w:t>
        </w:r>
      </w:hyperlink>
    </w:p>
    <w:p w:rsidR="0086101B" w:rsidRDefault="0086101B" w:rsidP="0086101B">
      <w:pPr>
        <w:pStyle w:val="NormalWeb"/>
      </w:pPr>
      <w:r>
        <w:t xml:space="preserve">Kasper, G. M. (1996). A Theory of Decision Support System Design for User Calibration. </w:t>
      </w:r>
      <w:r>
        <w:rPr>
          <w:rStyle w:val="Emphasis"/>
          <w:rFonts w:eastAsiaTheme="majorEastAsia"/>
        </w:rPr>
        <w:t>Inf. Syst. Res., 7</w:t>
      </w:r>
      <w:r>
        <w:t xml:space="preserve">, 215-232. </w:t>
      </w:r>
      <w:hyperlink r:id="rId66" w:history="1">
        <w:r>
          <w:rPr>
            <w:rStyle w:val="Hyperlink"/>
          </w:rPr>
          <w:t>https://doi.org/10.1287/isre.7.2.215</w:t>
        </w:r>
      </w:hyperlink>
    </w:p>
    <w:p w:rsidR="0086101B" w:rsidRDefault="0086101B" w:rsidP="0086101B">
      <w:pPr>
        <w:pStyle w:val="NormalWeb"/>
      </w:pPr>
      <w:proofErr w:type="spellStart"/>
      <w:r>
        <w:t>Kozniewski</w:t>
      </w:r>
      <w:proofErr w:type="spellEnd"/>
      <w:r>
        <w:t>, M. (2019). Self-Confidence Measures of a Decision Support System Based on Bayesian Networks.</w:t>
      </w:r>
    </w:p>
    <w:p w:rsidR="0086101B" w:rsidRDefault="0086101B" w:rsidP="0086101B">
      <w:pPr>
        <w:pStyle w:val="NormalWeb"/>
      </w:pPr>
      <w:proofErr w:type="spellStart"/>
      <w:r>
        <w:t>Kumaran</w:t>
      </w:r>
      <w:proofErr w:type="spellEnd"/>
      <w:r>
        <w:t xml:space="preserve">, D. (2026). Reported Confidence in LLMs Tracks Commitment More Than Correctness. </w:t>
      </w:r>
      <w:proofErr w:type="spellStart"/>
      <w:r>
        <w:rPr>
          <w:rStyle w:val="Emphasis"/>
          <w:rFonts w:eastAsiaTheme="majorEastAsia"/>
        </w:rPr>
        <w:t>ArXiv</w:t>
      </w:r>
      <w:proofErr w:type="spellEnd"/>
      <w:r>
        <w:rPr>
          <w:rStyle w:val="Emphasis"/>
          <w:rFonts w:eastAsiaTheme="majorEastAsia"/>
        </w:rPr>
        <w:t>, abs/2606.29490</w:t>
      </w:r>
      <w:r>
        <w:t xml:space="preserve">. </w:t>
      </w:r>
      <w:hyperlink r:id="rId67" w:history="1">
        <w:r>
          <w:rPr>
            <w:rStyle w:val="Hyperlink"/>
          </w:rPr>
          <w:t>https://doi.org/10.48550/arxiv.2606.29490</w:t>
        </w:r>
      </w:hyperlink>
    </w:p>
    <w:p w:rsidR="0086101B" w:rsidRDefault="0086101B" w:rsidP="0086101B">
      <w:pPr>
        <w:pStyle w:val="NormalWeb"/>
      </w:pPr>
      <w:proofErr w:type="spellStart"/>
      <w:r>
        <w:t>Küper</w:t>
      </w:r>
      <w:proofErr w:type="spellEnd"/>
      <w:r>
        <w:t xml:space="preserve">, A., </w:t>
      </w:r>
      <w:proofErr w:type="spellStart"/>
      <w:r>
        <w:t>Lodde</w:t>
      </w:r>
      <w:proofErr w:type="spellEnd"/>
      <w:r>
        <w:t xml:space="preserve">, G., Livingstone, E., </w:t>
      </w:r>
      <w:proofErr w:type="spellStart"/>
      <w:r>
        <w:t>Schadendorf</w:t>
      </w:r>
      <w:proofErr w:type="spellEnd"/>
      <w:r>
        <w:t xml:space="preserve">, D., &amp; </w:t>
      </w:r>
      <w:proofErr w:type="spellStart"/>
      <w:r>
        <w:t>Krämer</w:t>
      </w:r>
      <w:proofErr w:type="spellEnd"/>
      <w:r>
        <w:t xml:space="preserve">, N. C. (2024). Psychological Factors Influencing Appropriate Reliance on AI-enabled Clinical Decision Support Systems: Experimental Web-Based Study Among Dermatologists. </w:t>
      </w:r>
      <w:r>
        <w:rPr>
          <w:rStyle w:val="Emphasis"/>
          <w:rFonts w:eastAsiaTheme="majorEastAsia"/>
        </w:rPr>
        <w:t>Journal of Medical Internet Research, 27</w:t>
      </w:r>
      <w:r>
        <w:t xml:space="preserve">. </w:t>
      </w:r>
      <w:hyperlink r:id="rId68" w:history="1">
        <w:r>
          <w:rPr>
            <w:rStyle w:val="Hyperlink"/>
          </w:rPr>
          <w:t>https://doi.org/10.2196/58660</w:t>
        </w:r>
      </w:hyperlink>
    </w:p>
    <w:p w:rsidR="0086101B" w:rsidRDefault="0086101B" w:rsidP="0086101B">
      <w:pPr>
        <w:pStyle w:val="NormalWeb"/>
      </w:pPr>
      <w:proofErr w:type="spellStart"/>
      <w:r>
        <w:t>Küper</w:t>
      </w:r>
      <w:proofErr w:type="spellEnd"/>
      <w:r>
        <w:t xml:space="preserve">, A., &amp; </w:t>
      </w:r>
      <w:proofErr w:type="spellStart"/>
      <w:r>
        <w:t>Krämer</w:t>
      </w:r>
      <w:proofErr w:type="spellEnd"/>
      <w:r>
        <w:t xml:space="preserve">, N. C. (2024). Psychological Traits and Appropriate Reliance: Factors Shaping Trust in AI. </w:t>
      </w:r>
      <w:r>
        <w:rPr>
          <w:rStyle w:val="Emphasis"/>
          <w:rFonts w:eastAsiaTheme="majorEastAsia"/>
        </w:rPr>
        <w:t>International Journal of Human–Computer Interaction, 41</w:t>
      </w:r>
      <w:r>
        <w:t xml:space="preserve">, 4115 - 4131. </w:t>
      </w:r>
      <w:hyperlink r:id="rId69" w:history="1">
        <w:r>
          <w:rPr>
            <w:rStyle w:val="Hyperlink"/>
          </w:rPr>
          <w:t>https://doi.org/10.1080/10447318.2024.2348216</w:t>
        </w:r>
      </w:hyperlink>
    </w:p>
    <w:p w:rsidR="0086101B" w:rsidRDefault="0086101B" w:rsidP="0086101B">
      <w:pPr>
        <w:pStyle w:val="NormalWeb"/>
      </w:pPr>
      <w:r>
        <w:t xml:space="preserve">Li, J., Yang, Y., Zhang, R., Liao, Q., Song, T., Xu, Z., &amp; Lee, Y.-C. (2024). Understanding the Effects of </w:t>
      </w:r>
      <w:proofErr w:type="spellStart"/>
      <w:r>
        <w:t>Miscalibrated</w:t>
      </w:r>
      <w:proofErr w:type="spellEnd"/>
      <w:r>
        <w:t xml:space="preserve"> AI Confidence on User Trust, Reliance, and Decision Efficacy. </w:t>
      </w:r>
      <w:hyperlink r:id="rId70" w:history="1">
        <w:r>
          <w:rPr>
            <w:rStyle w:val="Hyperlink"/>
          </w:rPr>
          <w:t>https://doi.org/10.48550/arxiv.2402.07632</w:t>
        </w:r>
      </w:hyperlink>
    </w:p>
    <w:p w:rsidR="0086101B" w:rsidRDefault="0086101B" w:rsidP="0086101B">
      <w:pPr>
        <w:pStyle w:val="NormalWeb"/>
      </w:pPr>
      <w:r>
        <w:t xml:space="preserve">Li, J., Yang, Y., Liao, Q., Zhang, J., &amp; Lee, Y.-C. (2025). As Confidence Aligns: Understanding the Effect of AI Confidence on Human Self-confidence in Human-AI Decision Making. </w:t>
      </w:r>
      <w:r>
        <w:rPr>
          <w:rStyle w:val="Emphasis"/>
          <w:rFonts w:eastAsiaTheme="majorEastAsia"/>
        </w:rPr>
        <w:t>Proceedings of the 2025 CHI Conference on Human Factors in Computing Systems</w:t>
      </w:r>
      <w:r>
        <w:t xml:space="preserve">. </w:t>
      </w:r>
      <w:hyperlink r:id="rId71" w:history="1">
        <w:r>
          <w:rPr>
            <w:rStyle w:val="Hyperlink"/>
          </w:rPr>
          <w:t>https://doi.org/10.1145/3706598.3713336</w:t>
        </w:r>
      </w:hyperlink>
    </w:p>
    <w:p w:rsidR="0086101B" w:rsidRDefault="0086101B" w:rsidP="0086101B">
      <w:pPr>
        <w:pStyle w:val="NormalWeb"/>
      </w:pPr>
      <w:r>
        <w:t xml:space="preserve">Liao, Q., &amp; </w:t>
      </w:r>
      <w:proofErr w:type="spellStart"/>
      <w:r>
        <w:t>Sundar</w:t>
      </w:r>
      <w:proofErr w:type="spellEnd"/>
      <w:r>
        <w:t xml:space="preserve">, S. (2022). Designing for Responsible Trust in AI Systems: A Communication Perspective. </w:t>
      </w:r>
      <w:r>
        <w:rPr>
          <w:rStyle w:val="Emphasis"/>
          <w:rFonts w:eastAsiaTheme="majorEastAsia"/>
        </w:rPr>
        <w:t>Proceedings of the 2022 ACM Conference on Fairness, Accountability, and Transparency</w:t>
      </w:r>
      <w:r>
        <w:t xml:space="preserve">. </w:t>
      </w:r>
      <w:hyperlink r:id="rId72" w:history="1">
        <w:r>
          <w:rPr>
            <w:rStyle w:val="Hyperlink"/>
          </w:rPr>
          <w:t>https://doi.org/10.1145/3531146.3533182</w:t>
        </w:r>
      </w:hyperlink>
    </w:p>
    <w:p w:rsidR="0086101B" w:rsidRDefault="0086101B" w:rsidP="0086101B">
      <w:pPr>
        <w:pStyle w:val="NormalWeb"/>
      </w:pPr>
      <w:r>
        <w:lastRenderedPageBreak/>
        <w:t xml:space="preserve">Mei, Y., Zhuang, Q., </w:t>
      </w:r>
      <w:proofErr w:type="spellStart"/>
      <w:r>
        <w:t>Cai</w:t>
      </w:r>
      <w:proofErr w:type="spellEnd"/>
      <w:r>
        <w:t xml:space="preserve">, J., Liu, C., Zheng, Z., Ye, Z., Yu, C., &amp; Shi, Y. (2026). U-Lens: Supporting User Uncertainty Management in Long-Form LLM Responses. </w:t>
      </w:r>
      <w:hyperlink r:id="rId73" w:history="1">
        <w:r>
          <w:rPr>
            <w:rStyle w:val="Hyperlink"/>
          </w:rPr>
          <w:t>https://doi.org/10.48550/arxiv.2607.10604</w:t>
        </w:r>
      </w:hyperlink>
    </w:p>
    <w:p w:rsidR="0086101B" w:rsidRDefault="0086101B" w:rsidP="0086101B">
      <w:pPr>
        <w:pStyle w:val="NormalWeb"/>
      </w:pPr>
      <w:r>
        <w:t xml:space="preserve">Miller, T. (2023). Explainable AI is Dead, Long Live Explainable </w:t>
      </w:r>
      <w:proofErr w:type="gramStart"/>
      <w:r>
        <w:t>AI!:</w:t>
      </w:r>
      <w:proofErr w:type="gramEnd"/>
      <w:r>
        <w:t xml:space="preserve"> Hypothesis-driven Decision Support using Evaluative AI. </w:t>
      </w:r>
      <w:r>
        <w:rPr>
          <w:rStyle w:val="Emphasis"/>
          <w:rFonts w:eastAsiaTheme="majorEastAsia"/>
        </w:rPr>
        <w:t>Proceedings of the 2023 ACM Conference on Fairness, Accountability, and Transparency</w:t>
      </w:r>
      <w:r>
        <w:t xml:space="preserve">. </w:t>
      </w:r>
      <w:hyperlink r:id="rId74" w:history="1">
        <w:r>
          <w:rPr>
            <w:rStyle w:val="Hyperlink"/>
          </w:rPr>
          <w:t>https://doi.org/10.1145/3593013.3594001</w:t>
        </w:r>
      </w:hyperlink>
    </w:p>
    <w:p w:rsidR="0086101B" w:rsidRDefault="0086101B" w:rsidP="0086101B">
      <w:pPr>
        <w:pStyle w:val="NormalWeb"/>
      </w:pPr>
      <w:proofErr w:type="spellStart"/>
      <w:r>
        <w:t>Muric</w:t>
      </w:r>
      <w:proofErr w:type="spellEnd"/>
      <w:r>
        <w:t xml:space="preserve">, G., &amp; Minton, S. N. (2026). A Framework for Optimizing Human-Machine Interaction in Classification Systems. </w:t>
      </w:r>
      <w:r>
        <w:rPr>
          <w:rStyle w:val="Emphasis"/>
          <w:rFonts w:eastAsiaTheme="majorEastAsia"/>
        </w:rPr>
        <w:t>2026 2nd International Conference on Human-AI Interaction and Experience Design (HAXD)</w:t>
      </w:r>
      <w:r>
        <w:t xml:space="preserve">, 251-258. </w:t>
      </w:r>
      <w:hyperlink r:id="rId75" w:history="1">
        <w:r>
          <w:rPr>
            <w:rStyle w:val="Hyperlink"/>
          </w:rPr>
          <w:t>https://doi.org/10.1109/haxd70072.2026.11620907</w:t>
        </w:r>
      </w:hyperlink>
    </w:p>
    <w:p w:rsidR="0086101B" w:rsidRDefault="0086101B" w:rsidP="0086101B">
      <w:pPr>
        <w:pStyle w:val="NormalWeb"/>
      </w:pPr>
      <w:proofErr w:type="spellStart"/>
      <w:r>
        <w:t>Newendorp</w:t>
      </w:r>
      <w:proofErr w:type="spellEnd"/>
      <w:r>
        <w:t xml:space="preserve">, A. K. (2024). Impact of Uncertainty Visualizations on Multi-Criteria Decision-Making. </w:t>
      </w:r>
      <w:hyperlink r:id="rId76" w:history="1">
        <w:r>
          <w:rPr>
            <w:rStyle w:val="Hyperlink"/>
          </w:rPr>
          <w:t>https://doi.org/10.31274/td-20240617-199</w:t>
        </w:r>
      </w:hyperlink>
    </w:p>
    <w:p w:rsidR="0086101B" w:rsidRDefault="0086101B" w:rsidP="0086101B">
      <w:pPr>
        <w:pStyle w:val="NormalWeb"/>
      </w:pPr>
      <w:proofErr w:type="spellStart"/>
      <w:r>
        <w:t>Noa-Yarasca</w:t>
      </w:r>
      <w:proofErr w:type="spellEnd"/>
      <w:r>
        <w:t xml:space="preserve">, E., </w:t>
      </w:r>
      <w:proofErr w:type="spellStart"/>
      <w:r>
        <w:t>Babbar‐Sebens</w:t>
      </w:r>
      <w:proofErr w:type="spellEnd"/>
      <w:r>
        <w:t xml:space="preserve">, M., </w:t>
      </w:r>
      <w:proofErr w:type="spellStart"/>
      <w:r>
        <w:t>Chiou</w:t>
      </w:r>
      <w:proofErr w:type="spellEnd"/>
      <w:r>
        <w:t xml:space="preserve">, M., &amp; </w:t>
      </w:r>
      <w:proofErr w:type="spellStart"/>
      <w:r>
        <w:t>Macuga</w:t>
      </w:r>
      <w:proofErr w:type="spellEnd"/>
      <w:r>
        <w:t xml:space="preserve">, K. L. (2025). Influence of Presenting Uncertainty Information on the Evaluation of Watershed Plans by Users of an Automation-Assisted Environmental Decision Support System. </w:t>
      </w:r>
      <w:r>
        <w:rPr>
          <w:rStyle w:val="Emphasis"/>
          <w:rFonts w:eastAsiaTheme="majorEastAsia"/>
        </w:rPr>
        <w:t>Journal of Cognitive Engineering and Decision Making, 19</w:t>
      </w:r>
      <w:r>
        <w:t xml:space="preserve">, 223 - 240. </w:t>
      </w:r>
      <w:hyperlink r:id="rId77" w:history="1">
        <w:r>
          <w:rPr>
            <w:rStyle w:val="Hyperlink"/>
          </w:rPr>
          <w:t>https://doi.org/10.1177/15553434251324537</w:t>
        </w:r>
      </w:hyperlink>
    </w:p>
    <w:p w:rsidR="0086101B" w:rsidRDefault="0086101B" w:rsidP="0086101B">
      <w:pPr>
        <w:pStyle w:val="NormalWeb"/>
      </w:pPr>
      <w:r>
        <w:t xml:space="preserve">Reyes, J., </w:t>
      </w:r>
      <w:proofErr w:type="spellStart"/>
      <w:r>
        <w:t>Batmaz</w:t>
      </w:r>
      <w:proofErr w:type="spellEnd"/>
      <w:r>
        <w:t xml:space="preserve">, A. U., &amp; </w:t>
      </w:r>
      <w:proofErr w:type="spellStart"/>
      <w:r>
        <w:t>Kersten-Oertel</w:t>
      </w:r>
      <w:proofErr w:type="spellEnd"/>
      <w:r>
        <w:t>, M. A. (2025). Trusting AI: does uncertainty visualization affect decision-</w:t>
      </w:r>
      <w:proofErr w:type="gramStart"/>
      <w:r>
        <w:t>making?.</w:t>
      </w:r>
      <w:proofErr w:type="gramEnd"/>
      <w:r>
        <w:t xml:space="preserve"> </w:t>
      </w:r>
      <w:r>
        <w:rPr>
          <w:rStyle w:val="Emphasis"/>
          <w:rFonts w:eastAsiaTheme="majorEastAsia"/>
        </w:rPr>
        <w:t xml:space="preserve">Frontiers </w:t>
      </w:r>
      <w:proofErr w:type="spellStart"/>
      <w:r>
        <w:rPr>
          <w:rStyle w:val="Emphasis"/>
          <w:rFonts w:eastAsiaTheme="majorEastAsia"/>
        </w:rPr>
        <w:t>Comput</w:t>
      </w:r>
      <w:proofErr w:type="spellEnd"/>
      <w:r>
        <w:rPr>
          <w:rStyle w:val="Emphasis"/>
          <w:rFonts w:eastAsiaTheme="majorEastAsia"/>
        </w:rPr>
        <w:t>. Sci., 7</w:t>
      </w:r>
      <w:r>
        <w:t xml:space="preserve">. </w:t>
      </w:r>
      <w:hyperlink r:id="rId78" w:history="1">
        <w:r>
          <w:rPr>
            <w:rStyle w:val="Hyperlink"/>
          </w:rPr>
          <w:t>https://doi.org/10.3389/fcomp.2025.1464348</w:t>
        </w:r>
      </w:hyperlink>
    </w:p>
    <w:p w:rsidR="0086101B" w:rsidRDefault="0086101B" w:rsidP="0086101B">
      <w:pPr>
        <w:pStyle w:val="NormalWeb"/>
      </w:pPr>
      <w:proofErr w:type="spellStart"/>
      <w:r>
        <w:t>Rezaeian</w:t>
      </w:r>
      <w:proofErr w:type="spellEnd"/>
      <w:r>
        <w:t xml:space="preserve">, O., </w:t>
      </w:r>
      <w:proofErr w:type="spellStart"/>
      <w:r>
        <w:t>Bayrak</w:t>
      </w:r>
      <w:proofErr w:type="spellEnd"/>
      <w:r>
        <w:t xml:space="preserve">, A. E., &amp; </w:t>
      </w:r>
      <w:proofErr w:type="spellStart"/>
      <w:r>
        <w:t>Asan</w:t>
      </w:r>
      <w:proofErr w:type="spellEnd"/>
      <w:r>
        <w:t xml:space="preserve">, O. (2025). </w:t>
      </w:r>
      <w:proofErr w:type="spellStart"/>
      <w:r>
        <w:t>Explainability</w:t>
      </w:r>
      <w:proofErr w:type="spellEnd"/>
      <w:r>
        <w:t xml:space="preserve"> and AI Confidence in Clinical Decision Support Systems: Effects on Trust, Diagnostic Performance, and Cognitive Load in Breast Cancer Care. </w:t>
      </w:r>
      <w:r>
        <w:rPr>
          <w:rStyle w:val="Emphasis"/>
          <w:rFonts w:eastAsiaTheme="majorEastAsia"/>
        </w:rPr>
        <w:t>International Journal of Human–Computer Interaction, 42</w:t>
      </w:r>
      <w:r>
        <w:t xml:space="preserve">, 4477 - 4497. </w:t>
      </w:r>
      <w:hyperlink r:id="rId79" w:history="1">
        <w:r>
          <w:rPr>
            <w:rStyle w:val="Hyperlink"/>
          </w:rPr>
          <w:t>https://doi.org/10.1080/10447318.2025.2539458</w:t>
        </w:r>
      </w:hyperlink>
    </w:p>
    <w:p w:rsidR="0086101B" w:rsidRDefault="0086101B" w:rsidP="0086101B">
      <w:pPr>
        <w:pStyle w:val="NormalWeb"/>
      </w:pPr>
      <w:proofErr w:type="spellStart"/>
      <w:r>
        <w:t>Spillner</w:t>
      </w:r>
      <w:proofErr w:type="spellEnd"/>
      <w:r>
        <w:t xml:space="preserve">, L., </w:t>
      </w:r>
      <w:proofErr w:type="spellStart"/>
      <w:r>
        <w:t>Rockstroh</w:t>
      </w:r>
      <w:proofErr w:type="spellEnd"/>
      <w:r>
        <w:t xml:space="preserve">, J., </w:t>
      </w:r>
      <w:proofErr w:type="spellStart"/>
      <w:r>
        <w:t>Wenig</w:t>
      </w:r>
      <w:proofErr w:type="spellEnd"/>
      <w:r>
        <w:t xml:space="preserve">, N., </w:t>
      </w:r>
      <w:proofErr w:type="spellStart"/>
      <w:r>
        <w:t>Zargham</w:t>
      </w:r>
      <w:proofErr w:type="spellEnd"/>
      <w:r>
        <w:t xml:space="preserve">, N., </w:t>
      </w:r>
      <w:proofErr w:type="spellStart"/>
      <w:r>
        <w:t>Kiefner</w:t>
      </w:r>
      <w:proofErr w:type="spellEnd"/>
      <w:r>
        <w:t xml:space="preserve">, L., </w:t>
      </w:r>
      <w:proofErr w:type="spellStart"/>
      <w:r>
        <w:t>Porzel</w:t>
      </w:r>
      <w:proofErr w:type="spellEnd"/>
      <w:r>
        <w:t xml:space="preserve">, R., &amp; </w:t>
      </w:r>
      <w:proofErr w:type="spellStart"/>
      <w:r>
        <w:t>Malaka</w:t>
      </w:r>
      <w:proofErr w:type="spellEnd"/>
      <w:r>
        <w:t xml:space="preserve">, R. (2026). Linguistic Uncertainty Markers for Trust Calibration in AI-Assisted Decision-Making. </w:t>
      </w:r>
      <w:r>
        <w:rPr>
          <w:rStyle w:val="Emphasis"/>
          <w:rFonts w:eastAsiaTheme="majorEastAsia"/>
        </w:rPr>
        <w:t>Proceedings of the 8th ACM Conference on Conversational User Interfaces</w:t>
      </w:r>
      <w:r>
        <w:t xml:space="preserve">. </w:t>
      </w:r>
      <w:hyperlink r:id="rId80" w:history="1">
        <w:r>
          <w:rPr>
            <w:rStyle w:val="Hyperlink"/>
          </w:rPr>
          <w:t>https://doi.org/10.1145/3816046.3816231</w:t>
        </w:r>
      </w:hyperlink>
    </w:p>
    <w:p w:rsidR="0086101B" w:rsidRDefault="0086101B" w:rsidP="0086101B">
      <w:pPr>
        <w:pStyle w:val="NormalWeb"/>
      </w:pPr>
      <w:proofErr w:type="spellStart"/>
      <w:r>
        <w:t>Steyvers</w:t>
      </w:r>
      <w:proofErr w:type="spellEnd"/>
      <w:r>
        <w:t xml:space="preserve">, M., Lemus, H. T., Kumar, A., </w:t>
      </w:r>
      <w:proofErr w:type="spellStart"/>
      <w:r>
        <w:t>Belém</w:t>
      </w:r>
      <w:proofErr w:type="spellEnd"/>
      <w:r>
        <w:t xml:space="preserve">, C. G., </w:t>
      </w:r>
      <w:proofErr w:type="spellStart"/>
      <w:r>
        <w:t>Karny</w:t>
      </w:r>
      <w:proofErr w:type="spellEnd"/>
      <w:r>
        <w:t xml:space="preserve">, S., Hu, X., Mayer, L. W., &amp; Smyth, P. (2024). What large language models know and what people think they know. </w:t>
      </w:r>
      <w:r>
        <w:rPr>
          <w:rStyle w:val="Emphasis"/>
          <w:rFonts w:eastAsiaTheme="majorEastAsia"/>
        </w:rPr>
        <w:t>Nature Machine Intelligence, 7</w:t>
      </w:r>
      <w:r>
        <w:t xml:space="preserve">, 221 - 231. </w:t>
      </w:r>
      <w:hyperlink r:id="rId81" w:history="1">
        <w:r>
          <w:rPr>
            <w:rStyle w:val="Hyperlink"/>
          </w:rPr>
          <w:t>https://doi.org/10.1038/s42256-024-00976-7</w:t>
        </w:r>
      </w:hyperlink>
    </w:p>
    <w:p w:rsidR="0086101B" w:rsidRDefault="0086101B" w:rsidP="0086101B">
      <w:pPr>
        <w:pStyle w:val="NormalWeb"/>
      </w:pPr>
      <w:r>
        <w:t xml:space="preserve">T.Y.S.S, S., Chowdhury, I., Xu, S., &amp; </w:t>
      </w:r>
      <w:proofErr w:type="spellStart"/>
      <w:r>
        <w:t>Grabmair</w:t>
      </w:r>
      <w:proofErr w:type="spellEnd"/>
      <w:r>
        <w:t xml:space="preserve">, M. (2024). The Craft of Selective Prediction: Towards Reliable Case Outcome Classification - An Empirical Study on European Court of Human Rights Cases. 3656-3674. </w:t>
      </w:r>
      <w:hyperlink r:id="rId82" w:history="1">
        <w:r>
          <w:rPr>
            <w:rStyle w:val="Hyperlink"/>
          </w:rPr>
          <w:t>https://doi.org/10.48550/arxiv.2409.18645</w:t>
        </w:r>
      </w:hyperlink>
    </w:p>
    <w:p w:rsidR="0086101B" w:rsidRDefault="0086101B" w:rsidP="0086101B">
      <w:pPr>
        <w:pStyle w:val="NormalWeb"/>
      </w:pPr>
      <w:proofErr w:type="spellStart"/>
      <w:r>
        <w:t>Tatasciore</w:t>
      </w:r>
      <w:proofErr w:type="spellEnd"/>
      <w:r>
        <w:t xml:space="preserve">, M., Strickland, L., &amp; Loft, S. (2024). Transparency improves the accuracy of automation use, but automation confidence information does not. </w:t>
      </w:r>
      <w:r>
        <w:rPr>
          <w:rStyle w:val="Emphasis"/>
          <w:rFonts w:eastAsiaTheme="majorEastAsia"/>
        </w:rPr>
        <w:t>Cognitive Research: Principles and Implications, 9</w:t>
      </w:r>
      <w:r>
        <w:t xml:space="preserve">. </w:t>
      </w:r>
      <w:hyperlink r:id="rId83" w:history="1">
        <w:r>
          <w:rPr>
            <w:rStyle w:val="Hyperlink"/>
          </w:rPr>
          <w:t>https://doi.org/10.1186/s41235-024-00599-x</w:t>
        </w:r>
      </w:hyperlink>
    </w:p>
    <w:p w:rsidR="0086101B" w:rsidRDefault="0086101B" w:rsidP="0086101B">
      <w:pPr>
        <w:pStyle w:val="NormalWeb"/>
      </w:pPr>
      <w:r>
        <w:lastRenderedPageBreak/>
        <w:t xml:space="preserve">Tennant, R., &amp; Randall, T. (2025). Human Performance and Perception of Uncertainty Visualizations in Geospatial Applications: A Scoping Review. </w:t>
      </w:r>
      <w:r>
        <w:rPr>
          <w:rStyle w:val="Emphasis"/>
          <w:rFonts w:eastAsiaTheme="majorEastAsia"/>
        </w:rPr>
        <w:t>IEEE Transactions on Visualization and Computer Graphics, 31</w:t>
      </w:r>
      <w:r>
        <w:t xml:space="preserve">, 9387-9404. </w:t>
      </w:r>
      <w:hyperlink r:id="rId84" w:history="1">
        <w:r>
          <w:rPr>
            <w:rStyle w:val="Hyperlink"/>
          </w:rPr>
          <w:t>https://doi.org/10.1109/tvcg.2025.3554969</w:t>
        </w:r>
      </w:hyperlink>
    </w:p>
    <w:p w:rsidR="0086101B" w:rsidRDefault="0086101B" w:rsidP="0086101B">
      <w:pPr>
        <w:pStyle w:val="NormalWeb"/>
      </w:pPr>
      <w:proofErr w:type="spellStart"/>
      <w:r>
        <w:t>Tomsett</w:t>
      </w:r>
      <w:proofErr w:type="spellEnd"/>
      <w:r>
        <w:t xml:space="preserve">, R. J., </w:t>
      </w:r>
      <w:proofErr w:type="spellStart"/>
      <w:r>
        <w:t>Preece</w:t>
      </w:r>
      <w:proofErr w:type="spellEnd"/>
      <w:r>
        <w:t xml:space="preserve">, A., </w:t>
      </w:r>
      <w:proofErr w:type="spellStart"/>
      <w:r>
        <w:t>Braines</w:t>
      </w:r>
      <w:proofErr w:type="spellEnd"/>
      <w:r>
        <w:t xml:space="preserve">, D., </w:t>
      </w:r>
      <w:proofErr w:type="spellStart"/>
      <w:r>
        <w:t>Cerutti</w:t>
      </w:r>
      <w:proofErr w:type="spellEnd"/>
      <w:r>
        <w:t xml:space="preserve">, F., Chakraborty, S., Srivastava, M., Pearson, G., &amp; Kaplan, L. M. (2020). Rapid Trust Calibration through Interpretable and Uncertainty-Aware AI. </w:t>
      </w:r>
      <w:r>
        <w:rPr>
          <w:rStyle w:val="Emphasis"/>
          <w:rFonts w:eastAsiaTheme="majorEastAsia"/>
        </w:rPr>
        <w:t>Patterns, 1</w:t>
      </w:r>
      <w:r>
        <w:t xml:space="preserve">. </w:t>
      </w:r>
      <w:hyperlink r:id="rId85" w:history="1">
        <w:r>
          <w:rPr>
            <w:rStyle w:val="Hyperlink"/>
          </w:rPr>
          <w:t>https://doi.org/10.1016/j.patter.2020.100049</w:t>
        </w:r>
      </w:hyperlink>
    </w:p>
    <w:p w:rsidR="0086101B" w:rsidRDefault="0086101B" w:rsidP="0086101B">
      <w:pPr>
        <w:pStyle w:val="NormalWeb"/>
      </w:pPr>
      <w:r>
        <w:t xml:space="preserve">Villavicencio, M., Pan, S., &amp; Wang, Q. (2026). Not All Uncertainty Is Equal: How Uncertainty Granularity Shapes Human Verification in LLM-Assisted Decision Making. </w:t>
      </w:r>
      <w:r>
        <w:rPr>
          <w:rStyle w:val="Emphasis"/>
          <w:rFonts w:eastAsiaTheme="majorEastAsia"/>
        </w:rPr>
        <w:t>The 2026 ACM Conference on Fairness, Accountability, and Transparency</w:t>
      </w:r>
      <w:r>
        <w:t xml:space="preserve">. </w:t>
      </w:r>
      <w:hyperlink r:id="rId86" w:history="1">
        <w:r>
          <w:rPr>
            <w:rStyle w:val="Hyperlink"/>
          </w:rPr>
          <w:t>https://doi.org/10.1145/3805689.3812329</w:t>
        </w:r>
      </w:hyperlink>
    </w:p>
    <w:p w:rsidR="0086101B" w:rsidRDefault="0086101B" w:rsidP="0086101B">
      <w:pPr>
        <w:pStyle w:val="NormalWeb"/>
      </w:pPr>
      <w:r>
        <w:t xml:space="preserve">Waa, J. V. D., </w:t>
      </w:r>
      <w:proofErr w:type="spellStart"/>
      <w:r>
        <w:t>Schoonderwoerd</w:t>
      </w:r>
      <w:proofErr w:type="spellEnd"/>
      <w:r>
        <w:t xml:space="preserve">, T., </w:t>
      </w:r>
      <w:proofErr w:type="spellStart"/>
      <w:r>
        <w:t>Diggelen</w:t>
      </w:r>
      <w:proofErr w:type="spellEnd"/>
      <w:r>
        <w:t xml:space="preserve">, J., &amp; </w:t>
      </w:r>
      <w:proofErr w:type="spellStart"/>
      <w:r>
        <w:t>Neerincx</w:t>
      </w:r>
      <w:proofErr w:type="spellEnd"/>
      <w:r>
        <w:t xml:space="preserve">, M. A. (2020). Interpretable confidence measures for decision support systems. </w:t>
      </w:r>
      <w:r>
        <w:rPr>
          <w:rStyle w:val="Emphasis"/>
          <w:rFonts w:eastAsiaTheme="majorEastAsia"/>
        </w:rPr>
        <w:t xml:space="preserve">Int. J. Hum. </w:t>
      </w:r>
      <w:proofErr w:type="spellStart"/>
      <w:r>
        <w:rPr>
          <w:rStyle w:val="Emphasis"/>
          <w:rFonts w:eastAsiaTheme="majorEastAsia"/>
        </w:rPr>
        <w:t>Comput</w:t>
      </w:r>
      <w:proofErr w:type="spellEnd"/>
      <w:r>
        <w:rPr>
          <w:rStyle w:val="Emphasis"/>
          <w:rFonts w:eastAsiaTheme="majorEastAsia"/>
        </w:rPr>
        <w:t>. Stud., 144</w:t>
      </w:r>
      <w:r>
        <w:t xml:space="preserve">, 102493. </w:t>
      </w:r>
      <w:hyperlink r:id="rId87" w:history="1">
        <w:r>
          <w:rPr>
            <w:rStyle w:val="Hyperlink"/>
          </w:rPr>
          <w:t>https://doi.org/10.1016/j.ijhcs.2020.102493</w:t>
        </w:r>
      </w:hyperlink>
    </w:p>
    <w:p w:rsidR="0086101B" w:rsidRDefault="0086101B" w:rsidP="0086101B">
      <w:pPr>
        <w:pStyle w:val="NormalWeb"/>
      </w:pPr>
      <w:proofErr w:type="spellStart"/>
      <w:r>
        <w:t>Xiong</w:t>
      </w:r>
      <w:proofErr w:type="spellEnd"/>
      <w:r>
        <w:t xml:space="preserve">, M., Hu, Z., Lu, X., Li, Y., Fu, J., He, J., &amp; </w:t>
      </w:r>
      <w:proofErr w:type="spellStart"/>
      <w:r>
        <w:t>Hooi</w:t>
      </w:r>
      <w:proofErr w:type="spellEnd"/>
      <w:r>
        <w:t xml:space="preserve">, B. (2023). Can LLMs Express Their Uncertainty? An Empirical Evaluation of Confidence Elicitation in LLMs. </w:t>
      </w:r>
      <w:proofErr w:type="spellStart"/>
      <w:r>
        <w:rPr>
          <w:rStyle w:val="Emphasis"/>
          <w:rFonts w:eastAsiaTheme="majorEastAsia"/>
        </w:rPr>
        <w:t>ArXiv</w:t>
      </w:r>
      <w:proofErr w:type="spellEnd"/>
      <w:r>
        <w:rPr>
          <w:rStyle w:val="Emphasis"/>
          <w:rFonts w:eastAsiaTheme="majorEastAsia"/>
        </w:rPr>
        <w:t>, abs/2306.13063</w:t>
      </w:r>
      <w:r>
        <w:t xml:space="preserve">. </w:t>
      </w:r>
      <w:hyperlink r:id="rId88" w:history="1">
        <w:r>
          <w:rPr>
            <w:rStyle w:val="Hyperlink"/>
          </w:rPr>
          <w:t>https://doi.org/10.48550/arxiv.2306.13063</w:t>
        </w:r>
      </w:hyperlink>
    </w:p>
    <w:p w:rsidR="0086101B" w:rsidRDefault="0086101B" w:rsidP="0086101B">
      <w:pPr>
        <w:pStyle w:val="NormalWeb"/>
      </w:pPr>
      <w:r>
        <w:t xml:space="preserve">Xu, G., Murthy, S., &amp; </w:t>
      </w:r>
      <w:proofErr w:type="spellStart"/>
      <w:r>
        <w:t>Jia</w:t>
      </w:r>
      <w:proofErr w:type="spellEnd"/>
      <w:r>
        <w:t xml:space="preserve">, B. (2025). Enhancing Intuitive Decision-Making and Reliance Through Human-AI Collaboration: A Review. </w:t>
      </w:r>
      <w:r>
        <w:rPr>
          <w:rStyle w:val="Emphasis"/>
          <w:rFonts w:eastAsiaTheme="majorEastAsia"/>
        </w:rPr>
        <w:t>Informatics, 12</w:t>
      </w:r>
      <w:r>
        <w:t xml:space="preserve">, 135. </w:t>
      </w:r>
      <w:hyperlink r:id="rId89" w:history="1">
        <w:r>
          <w:rPr>
            <w:rStyle w:val="Hyperlink"/>
          </w:rPr>
          <w:t>https://doi.org/10.3390/informatics12040135</w:t>
        </w:r>
      </w:hyperlink>
    </w:p>
    <w:p w:rsidR="0086101B" w:rsidRDefault="0086101B" w:rsidP="0086101B">
      <w:pPr>
        <w:pStyle w:val="NormalWeb"/>
      </w:pPr>
      <w:r>
        <w:t xml:space="preserve">Yaakov, Y. B., </w:t>
      </w:r>
      <w:proofErr w:type="spellStart"/>
      <w:r>
        <w:t>McCarley</w:t>
      </w:r>
      <w:proofErr w:type="spellEnd"/>
      <w:r>
        <w:t xml:space="preserve">, J. S., &amp; Meyer, J. (2024). Selective Access to Decision Support as a Function of Event Uncertainty. </w:t>
      </w:r>
      <w:r>
        <w:rPr>
          <w:rStyle w:val="Emphasis"/>
          <w:rFonts w:eastAsiaTheme="majorEastAsia"/>
        </w:rPr>
        <w:t>Human Factors, 67</w:t>
      </w:r>
      <w:r>
        <w:t xml:space="preserve">, 285 - 300. </w:t>
      </w:r>
      <w:hyperlink r:id="rId90" w:history="1">
        <w:r>
          <w:rPr>
            <w:rStyle w:val="Hyperlink"/>
          </w:rPr>
          <w:t>https://doi.org/10.1177/00187208241277158</w:t>
        </w:r>
      </w:hyperlink>
    </w:p>
    <w:p w:rsidR="0086101B" w:rsidRDefault="0086101B" w:rsidP="0086101B">
      <w:pPr>
        <w:pStyle w:val="NormalWeb"/>
      </w:pPr>
      <w:r>
        <w:t xml:space="preserve">Yang, D., Tsai, Y.-H., &amp; Yamada, M. (2024). On Verbalized Confidence Scores for LLMs. </w:t>
      </w:r>
      <w:proofErr w:type="spellStart"/>
      <w:r>
        <w:rPr>
          <w:rStyle w:val="Emphasis"/>
          <w:rFonts w:eastAsiaTheme="majorEastAsia"/>
        </w:rPr>
        <w:t>ArXiv</w:t>
      </w:r>
      <w:proofErr w:type="spellEnd"/>
      <w:r>
        <w:rPr>
          <w:rStyle w:val="Emphasis"/>
          <w:rFonts w:eastAsiaTheme="majorEastAsia"/>
        </w:rPr>
        <w:t>, abs/2412.14737</w:t>
      </w:r>
      <w:r>
        <w:t xml:space="preserve">. </w:t>
      </w:r>
      <w:hyperlink r:id="rId91" w:history="1">
        <w:r>
          <w:rPr>
            <w:rStyle w:val="Hyperlink"/>
          </w:rPr>
          <w:t>https://doi.org/10.48550/arxiv.2412.14737</w:t>
        </w:r>
      </w:hyperlink>
    </w:p>
    <w:p w:rsidR="0086101B" w:rsidRDefault="0086101B" w:rsidP="0086101B">
      <w:pPr>
        <w:pStyle w:val="NormalWeb"/>
      </w:pPr>
      <w:r>
        <w:t xml:space="preserve">Yu, Y., Gomez-Cabello, C. A., </w:t>
      </w:r>
      <w:proofErr w:type="spellStart"/>
      <w:r>
        <w:t>Haider</w:t>
      </w:r>
      <w:proofErr w:type="spellEnd"/>
      <w:r>
        <w:t xml:space="preserve">, S. A., Genovese, A., </w:t>
      </w:r>
      <w:proofErr w:type="spellStart"/>
      <w:r>
        <w:t>Prabha</w:t>
      </w:r>
      <w:proofErr w:type="spellEnd"/>
      <w:r>
        <w:t xml:space="preserve">, S., </w:t>
      </w:r>
      <w:proofErr w:type="spellStart"/>
      <w:r>
        <w:t>Trabilsy</w:t>
      </w:r>
      <w:proofErr w:type="spellEnd"/>
      <w:r>
        <w:t xml:space="preserve">, M., </w:t>
      </w:r>
      <w:proofErr w:type="spellStart"/>
      <w:r>
        <w:t>Collaço</w:t>
      </w:r>
      <w:proofErr w:type="spellEnd"/>
      <w:r>
        <w:t xml:space="preserve">, B., Wood, N. G., </w:t>
      </w:r>
      <w:proofErr w:type="spellStart"/>
      <w:r>
        <w:t>Bagaria</w:t>
      </w:r>
      <w:proofErr w:type="spellEnd"/>
      <w:r>
        <w:t xml:space="preserve">, S., Tao, C., &amp; Forte, A. (2025). Enhancing Clinician Trust in AI Diagnostics: A Dynamic Framework for Confidence Calibration and Transparency. </w:t>
      </w:r>
      <w:r>
        <w:rPr>
          <w:rStyle w:val="Emphasis"/>
          <w:rFonts w:eastAsiaTheme="majorEastAsia"/>
        </w:rPr>
        <w:t>Diagnostics, 15</w:t>
      </w:r>
      <w:r>
        <w:t xml:space="preserve">. </w:t>
      </w:r>
      <w:hyperlink r:id="rId92" w:history="1">
        <w:r>
          <w:rPr>
            <w:rStyle w:val="Hyperlink"/>
          </w:rPr>
          <w:t>https://doi.org/10.3390/diagnostics15172204</w:t>
        </w:r>
      </w:hyperlink>
    </w:p>
    <w:p w:rsidR="0086101B" w:rsidRDefault="0086101B" w:rsidP="0086101B">
      <w:pPr>
        <w:pStyle w:val="NormalWeb"/>
      </w:pPr>
      <w:r>
        <w:t xml:space="preserve">Zhang, Y., Liao, Q., &amp; Bellamy, R. K. E. (2020). Effect of confidence and explanation on accuracy and trust calibration in AI-assisted decision making. </w:t>
      </w:r>
      <w:r>
        <w:rPr>
          <w:rStyle w:val="Emphasis"/>
          <w:rFonts w:eastAsiaTheme="majorEastAsia"/>
        </w:rPr>
        <w:t>Proceedings of the 2020 Conference on Fairness, Accountability, and Transparency</w:t>
      </w:r>
      <w:r>
        <w:t xml:space="preserve">. </w:t>
      </w:r>
      <w:hyperlink r:id="rId93" w:history="1">
        <w:r>
          <w:rPr>
            <w:rStyle w:val="Hyperlink"/>
          </w:rPr>
          <w:t>https://doi.org/10.1145/3351095.3372852</w:t>
        </w:r>
      </w:hyperlink>
    </w:p>
    <w:p w:rsidR="0086101B" w:rsidRDefault="0086101B" w:rsidP="0086101B">
      <w:pPr>
        <w:pStyle w:val="NormalWeb"/>
      </w:pPr>
      <w:r>
        <w:t xml:space="preserve">Zhao, J., Wang, Y., </w:t>
      </w:r>
      <w:proofErr w:type="spellStart"/>
      <w:r>
        <w:t>Mancenido</w:t>
      </w:r>
      <w:proofErr w:type="spellEnd"/>
      <w:r>
        <w:t xml:space="preserve">, M., </w:t>
      </w:r>
      <w:proofErr w:type="spellStart"/>
      <w:r>
        <w:t>Chiou</w:t>
      </w:r>
      <w:proofErr w:type="spellEnd"/>
      <w:r>
        <w:t xml:space="preserve">, E. K., &amp; </w:t>
      </w:r>
      <w:proofErr w:type="spellStart"/>
      <w:r>
        <w:t>Maciejewski</w:t>
      </w:r>
      <w:proofErr w:type="spellEnd"/>
      <w:r>
        <w:t xml:space="preserve">, R. (2023). Evaluating the Impact of Uncertainty Visualization on Model Reliance. </w:t>
      </w:r>
      <w:r>
        <w:rPr>
          <w:rStyle w:val="Emphasis"/>
          <w:rFonts w:eastAsiaTheme="majorEastAsia"/>
        </w:rPr>
        <w:t>IEEE Transactions on Visualization and Computer Graphics, 30</w:t>
      </w:r>
      <w:r>
        <w:t xml:space="preserve">, 4093-4107. </w:t>
      </w:r>
      <w:hyperlink r:id="rId94" w:history="1">
        <w:r>
          <w:rPr>
            <w:rStyle w:val="Hyperlink"/>
          </w:rPr>
          <w:t>https://doi.org/10.1109/tvcg.2023.3251950</w:t>
        </w:r>
      </w:hyperlink>
    </w:p>
    <w:p w:rsidR="0086101B" w:rsidRPr="0086101B" w:rsidRDefault="0086101B" w:rsidP="0086101B">
      <w:pPr>
        <w:pStyle w:val="Heading1"/>
      </w:pPr>
      <w:r>
        <w:lastRenderedPageBreak/>
        <w:br/>
      </w:r>
      <w:r>
        <w:br/>
      </w:r>
      <w:r>
        <w:br/>
      </w:r>
      <w:r>
        <w:br/>
      </w:r>
      <w:r>
        <w:br/>
      </w:r>
      <w:r>
        <w:br/>
      </w:r>
      <w:r w:rsidRPr="0086101B">
        <w:t>Fairness checks without protected inputs rely on proxy audits, disparity estimation, and critiques of unawareness.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Fairness checking here splits into three parts: </w:t>
      </w:r>
      <w:r w:rsidRPr="0086101B">
        <w:rPr>
          <w:rFonts w:ascii="Times New Roman" w:eastAsia="Times New Roman" w:hAnsi="Times New Roman" w:cs="Times New Roman"/>
          <w:b/>
          <w:bCs/>
          <w:sz w:val="24"/>
          <w:szCs w:val="24"/>
          <w:lang w:eastAsia="en-IN"/>
        </w:rPr>
        <w:t>detecting proxy variables</w:t>
      </w:r>
      <w:r w:rsidRPr="0086101B">
        <w:rPr>
          <w:rFonts w:ascii="Times New Roman" w:eastAsia="Times New Roman" w:hAnsi="Times New Roman" w:cs="Times New Roman"/>
          <w:sz w:val="24"/>
          <w:szCs w:val="24"/>
          <w:lang w:eastAsia="en-IN"/>
        </w:rPr>
        <w:t xml:space="preserve">, </w:t>
      </w:r>
      <w:r w:rsidRPr="0086101B">
        <w:rPr>
          <w:rFonts w:ascii="Times New Roman" w:eastAsia="Times New Roman" w:hAnsi="Times New Roman" w:cs="Times New Roman"/>
          <w:b/>
          <w:bCs/>
          <w:sz w:val="24"/>
          <w:szCs w:val="24"/>
          <w:lang w:eastAsia="en-IN"/>
        </w:rPr>
        <w:t>estimating disparate impact without direct sensitive inputs</w:t>
      </w:r>
      <w:r w:rsidRPr="0086101B">
        <w:rPr>
          <w:rFonts w:ascii="Times New Roman" w:eastAsia="Times New Roman" w:hAnsi="Times New Roman" w:cs="Times New Roman"/>
          <w:sz w:val="24"/>
          <w:szCs w:val="24"/>
          <w:lang w:eastAsia="en-IN"/>
        </w:rPr>
        <w:t xml:space="preserve">, and </w:t>
      </w:r>
      <w:r w:rsidRPr="0086101B">
        <w:rPr>
          <w:rFonts w:ascii="Times New Roman" w:eastAsia="Times New Roman" w:hAnsi="Times New Roman" w:cs="Times New Roman"/>
          <w:b/>
          <w:bCs/>
          <w:sz w:val="24"/>
          <w:szCs w:val="24"/>
          <w:lang w:eastAsia="en-IN"/>
        </w:rPr>
        <w:t>assessing why fairness-through-unawareness is often insufficient, though not always useless</w:t>
      </w:r>
      <w:r w:rsidRPr="0086101B">
        <w:rPr>
          <w:rFonts w:ascii="Times New Roman" w:eastAsia="Times New Roman" w:hAnsi="Times New Roman" w:cs="Times New Roman"/>
          <w:sz w:val="24"/>
          <w:szCs w:val="24"/>
          <w:lang w:eastAsia="en-IN"/>
        </w:rPr>
        <w:t>.</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Proxy Detection</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Proxy detection focuses on whether non-sensitive features still encode protected status through correlation or causal dependence, so a model can discriminate without explicitly using protected inputs (</w:t>
      </w:r>
      <w:proofErr w:type="spellStart"/>
      <w:r w:rsidRPr="0086101B">
        <w:rPr>
          <w:rFonts w:ascii="Times New Roman" w:eastAsia="Times New Roman" w:hAnsi="Times New Roman" w:cs="Times New Roman"/>
          <w:sz w:val="24"/>
          <w:szCs w:val="24"/>
          <w:lang w:eastAsia="en-IN"/>
        </w:rPr>
        <w:t>Cornacchia</w:t>
      </w:r>
      <w:proofErr w:type="spellEnd"/>
      <w:r w:rsidRPr="0086101B">
        <w:rPr>
          <w:rFonts w:ascii="Times New Roman" w:eastAsia="Times New Roman" w:hAnsi="Times New Roman" w:cs="Times New Roman"/>
          <w:sz w:val="24"/>
          <w:szCs w:val="24"/>
          <w:lang w:eastAsia="en-IN"/>
        </w:rPr>
        <w:t xml:space="preserve"> et al., 2023; Xu &amp; Zhang, 2026; </w:t>
      </w:r>
      <w:proofErr w:type="spellStart"/>
      <w:r w:rsidRPr="0086101B">
        <w:rPr>
          <w:rFonts w:ascii="Times New Roman" w:eastAsia="Times New Roman" w:hAnsi="Times New Roman" w:cs="Times New Roman"/>
          <w:sz w:val="24"/>
          <w:szCs w:val="24"/>
          <w:lang w:eastAsia="en-IN"/>
        </w:rPr>
        <w:t>Feuerriegel</w:t>
      </w:r>
      <w:proofErr w:type="spellEnd"/>
      <w:r w:rsidRPr="0086101B">
        <w:rPr>
          <w:rFonts w:ascii="Times New Roman" w:eastAsia="Times New Roman" w:hAnsi="Times New Roman" w:cs="Times New Roman"/>
          <w:sz w:val="24"/>
          <w:szCs w:val="24"/>
          <w:lang w:eastAsia="en-IN"/>
        </w:rPr>
        <w:t xml:space="preserve"> et al., 2020; </w:t>
      </w:r>
      <w:proofErr w:type="spellStart"/>
      <w:r w:rsidRPr="0086101B">
        <w:rPr>
          <w:rFonts w:ascii="Times New Roman" w:eastAsia="Times New Roman" w:hAnsi="Times New Roman" w:cs="Times New Roman"/>
          <w:sz w:val="24"/>
          <w:szCs w:val="24"/>
          <w:lang w:eastAsia="en-IN"/>
        </w:rPr>
        <w:t>Galhotra</w:t>
      </w:r>
      <w:proofErr w:type="spellEnd"/>
      <w:r w:rsidRPr="0086101B">
        <w:rPr>
          <w:rFonts w:ascii="Times New Roman" w:eastAsia="Times New Roman" w:hAnsi="Times New Roman" w:cs="Times New Roman"/>
          <w:sz w:val="24"/>
          <w:szCs w:val="24"/>
          <w:lang w:eastAsia="en-IN"/>
        </w:rPr>
        <w:t xml:space="preserve"> et al., 2021).</w:t>
      </w:r>
    </w:p>
    <w:p w:rsidR="0086101B" w:rsidRPr="0086101B" w:rsidRDefault="0086101B" w:rsidP="0086101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Counterfactual auditing detects proxy use by asking what minimal changes flip a decision, then checking whether those changes shift inferred protected-group membership (</w:t>
      </w:r>
      <w:proofErr w:type="spellStart"/>
      <w:r w:rsidRPr="0086101B">
        <w:rPr>
          <w:rFonts w:ascii="Times New Roman" w:eastAsia="Times New Roman" w:hAnsi="Times New Roman" w:cs="Times New Roman"/>
          <w:sz w:val="24"/>
          <w:szCs w:val="24"/>
          <w:lang w:eastAsia="en-IN"/>
        </w:rPr>
        <w:t>Cornacchia</w:t>
      </w:r>
      <w:proofErr w:type="spellEnd"/>
      <w:r w:rsidRPr="0086101B">
        <w:rPr>
          <w:rFonts w:ascii="Times New Roman" w:eastAsia="Times New Roman" w:hAnsi="Times New Roman" w:cs="Times New Roman"/>
          <w:sz w:val="24"/>
          <w:szCs w:val="24"/>
          <w:lang w:eastAsia="en-IN"/>
        </w:rPr>
        <w:t xml:space="preserve"> et al., 2023).</w:t>
      </w:r>
    </w:p>
    <w:p w:rsidR="0086101B" w:rsidRPr="0086101B" w:rsidRDefault="0086101B" w:rsidP="0086101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This matters because </w:t>
      </w:r>
      <w:r w:rsidRPr="0086101B">
        <w:rPr>
          <w:rFonts w:ascii="Times New Roman" w:eastAsia="Times New Roman" w:hAnsi="Times New Roman" w:cs="Times New Roman"/>
          <w:b/>
          <w:bCs/>
          <w:sz w:val="24"/>
          <w:szCs w:val="24"/>
          <w:lang w:eastAsia="en-IN"/>
        </w:rPr>
        <w:t>proxy relationships are often non-linear</w:t>
      </w:r>
      <w:r w:rsidRPr="0086101B">
        <w:rPr>
          <w:rFonts w:ascii="Times New Roman" w:eastAsia="Times New Roman" w:hAnsi="Times New Roman" w:cs="Times New Roman"/>
          <w:sz w:val="24"/>
          <w:szCs w:val="24"/>
          <w:lang w:eastAsia="en-IN"/>
        </w:rPr>
        <w:t xml:space="preserve">, so simple </w:t>
      </w:r>
      <w:proofErr w:type="spellStart"/>
      <w:r w:rsidRPr="0086101B">
        <w:rPr>
          <w:rFonts w:ascii="Times New Roman" w:eastAsia="Times New Roman" w:hAnsi="Times New Roman" w:cs="Times New Roman"/>
          <w:sz w:val="24"/>
          <w:szCs w:val="24"/>
          <w:lang w:eastAsia="en-IN"/>
        </w:rPr>
        <w:t>multicollinearity</w:t>
      </w:r>
      <w:proofErr w:type="spellEnd"/>
      <w:r w:rsidRPr="0086101B">
        <w:rPr>
          <w:rFonts w:ascii="Times New Roman" w:eastAsia="Times New Roman" w:hAnsi="Times New Roman" w:cs="Times New Roman"/>
          <w:sz w:val="24"/>
          <w:szCs w:val="24"/>
          <w:lang w:eastAsia="en-IN"/>
        </w:rPr>
        <w:t xml:space="preserve"> checks can miss them (</w:t>
      </w:r>
      <w:proofErr w:type="spellStart"/>
      <w:r w:rsidRPr="0086101B">
        <w:rPr>
          <w:rFonts w:ascii="Times New Roman" w:eastAsia="Times New Roman" w:hAnsi="Times New Roman" w:cs="Times New Roman"/>
          <w:sz w:val="24"/>
          <w:szCs w:val="24"/>
          <w:lang w:eastAsia="en-IN"/>
        </w:rPr>
        <w:t>Cornacchia</w:t>
      </w:r>
      <w:proofErr w:type="spellEnd"/>
      <w:r w:rsidRPr="0086101B">
        <w:rPr>
          <w:rFonts w:ascii="Times New Roman" w:eastAsia="Times New Roman" w:hAnsi="Times New Roman" w:cs="Times New Roman"/>
          <w:sz w:val="24"/>
          <w:szCs w:val="24"/>
          <w:lang w:eastAsia="en-IN"/>
        </w:rPr>
        <w:t xml:space="preserve"> et al., 2023).</w:t>
      </w:r>
    </w:p>
    <w:p w:rsidR="0086101B" w:rsidRPr="0086101B" w:rsidRDefault="0086101B" w:rsidP="0086101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Causal and feedback-based methods instead identify attributes functionally dependent on the unobserved protected attribute, including from complaints or recourse cases (</w:t>
      </w:r>
      <w:proofErr w:type="spellStart"/>
      <w:r w:rsidRPr="0086101B">
        <w:rPr>
          <w:rFonts w:ascii="Times New Roman" w:eastAsia="Times New Roman" w:hAnsi="Times New Roman" w:cs="Times New Roman"/>
          <w:sz w:val="24"/>
          <w:szCs w:val="24"/>
          <w:lang w:eastAsia="en-IN"/>
        </w:rPr>
        <w:t>Galhotra</w:t>
      </w:r>
      <w:proofErr w:type="spellEnd"/>
      <w:r w:rsidRPr="0086101B">
        <w:rPr>
          <w:rFonts w:ascii="Times New Roman" w:eastAsia="Times New Roman" w:hAnsi="Times New Roman" w:cs="Times New Roman"/>
          <w:sz w:val="24"/>
          <w:szCs w:val="24"/>
          <w:lang w:eastAsia="en-IN"/>
        </w:rPr>
        <w:t xml:space="preserve"> et al., 2021).</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Disparate Impact Checks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Disparate impact is usually checked by </w:t>
      </w:r>
      <w:r w:rsidRPr="0086101B">
        <w:rPr>
          <w:rFonts w:ascii="Times New Roman" w:eastAsia="Times New Roman" w:hAnsi="Times New Roman" w:cs="Times New Roman"/>
          <w:b/>
          <w:bCs/>
          <w:sz w:val="24"/>
          <w:szCs w:val="24"/>
          <w:lang w:eastAsia="en-IN"/>
        </w:rPr>
        <w:t>estimating group outcome rates</w:t>
      </w:r>
      <w:r w:rsidRPr="0086101B">
        <w:rPr>
          <w:rFonts w:ascii="Times New Roman" w:eastAsia="Times New Roman" w:hAnsi="Times New Roman" w:cs="Times New Roman"/>
          <w:sz w:val="24"/>
          <w:szCs w:val="24"/>
          <w:lang w:eastAsia="en-IN"/>
        </w:rPr>
        <w:t xml:space="preserve"> from proxies or auxiliary data, because the protected attribute cannot be used in the decision itself but often must still be examined for auditing (</w:t>
      </w:r>
      <w:proofErr w:type="spellStart"/>
      <w:r w:rsidRPr="0086101B">
        <w:rPr>
          <w:rFonts w:ascii="Times New Roman" w:eastAsia="Times New Roman" w:hAnsi="Times New Roman" w:cs="Times New Roman"/>
          <w:sz w:val="24"/>
          <w:szCs w:val="24"/>
          <w:lang w:eastAsia="en-IN"/>
        </w:rPr>
        <w:t>Kilbertus</w:t>
      </w:r>
      <w:proofErr w:type="spellEnd"/>
      <w:r w:rsidRPr="0086101B">
        <w:rPr>
          <w:rFonts w:ascii="Times New Roman" w:eastAsia="Times New Roman" w:hAnsi="Times New Roman" w:cs="Times New Roman"/>
          <w:sz w:val="24"/>
          <w:szCs w:val="24"/>
          <w:lang w:eastAsia="en-IN"/>
        </w:rPr>
        <w:t xml:space="preserve"> et al., 2018; Chen et al., 2018; </w:t>
      </w:r>
      <w:proofErr w:type="spellStart"/>
      <w:r w:rsidRPr="0086101B">
        <w:rPr>
          <w:rFonts w:ascii="Times New Roman" w:eastAsia="Times New Roman" w:hAnsi="Times New Roman" w:cs="Times New Roman"/>
          <w:sz w:val="24"/>
          <w:szCs w:val="24"/>
          <w:lang w:eastAsia="en-IN"/>
        </w:rPr>
        <w:t>Oneto</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Chiappa</w:t>
      </w:r>
      <w:proofErr w:type="spellEnd"/>
      <w:r w:rsidRPr="0086101B">
        <w:rPr>
          <w:rFonts w:ascii="Times New Roman" w:eastAsia="Times New Roman" w:hAnsi="Times New Roman" w:cs="Times New Roman"/>
          <w:sz w:val="24"/>
          <w:szCs w:val="24"/>
          <w:lang w:eastAsia="en-IN"/>
        </w:rPr>
        <w:t>, 2020).</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A common approach is probabilistic imputation from observed proxies such as geolocation or surname, but naïve threshold-based imputation often misestimates disparity, typically </w:t>
      </w:r>
      <w:r w:rsidRPr="0086101B">
        <w:rPr>
          <w:rFonts w:ascii="Times New Roman" w:eastAsia="Times New Roman" w:hAnsi="Times New Roman" w:cs="Times New Roman"/>
          <w:sz w:val="24"/>
          <w:szCs w:val="24"/>
          <w:lang w:eastAsia="en-IN"/>
        </w:rPr>
        <w:lastRenderedPageBreak/>
        <w:t xml:space="preserve">upward, and weighted estimators or quantification methods reduce that bias (Chen et al., 2018; </w:t>
      </w:r>
      <w:proofErr w:type="spellStart"/>
      <w:r w:rsidRPr="0086101B">
        <w:rPr>
          <w:rFonts w:ascii="Times New Roman" w:eastAsia="Times New Roman" w:hAnsi="Times New Roman" w:cs="Times New Roman"/>
          <w:sz w:val="24"/>
          <w:szCs w:val="24"/>
          <w:lang w:eastAsia="en-IN"/>
        </w:rPr>
        <w:t>Fabris</w:t>
      </w:r>
      <w:proofErr w:type="spellEnd"/>
      <w:r w:rsidRPr="0086101B">
        <w:rPr>
          <w:rFonts w:ascii="Times New Roman" w:eastAsia="Times New Roman" w:hAnsi="Times New Roman" w:cs="Times New Roman"/>
          <w:sz w:val="24"/>
          <w:szCs w:val="24"/>
          <w:lang w:eastAsia="en-IN"/>
        </w:rPr>
        <w:t xml:space="preserve"> et al., 2021).</w:t>
      </w:r>
    </w:p>
    <w:p w:rsidR="0086101B" w:rsidRPr="0086101B" w:rsidRDefault="0086101B" w:rsidP="008610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Quantification methods</w:t>
      </w:r>
      <w:r w:rsidRPr="0086101B">
        <w:rPr>
          <w:rFonts w:ascii="Times New Roman" w:eastAsia="Times New Roman" w:hAnsi="Times New Roman" w:cs="Times New Roman"/>
          <w:sz w:val="24"/>
          <w:szCs w:val="24"/>
          <w:lang w:eastAsia="en-IN"/>
        </w:rPr>
        <w:t xml:space="preserve"> estimate group prevalence directly and can audit demographic disparity with a small auxiliary dataset while reducing individual-level profiling risk (</w:t>
      </w:r>
      <w:proofErr w:type="spellStart"/>
      <w:r w:rsidRPr="0086101B">
        <w:rPr>
          <w:rFonts w:ascii="Times New Roman" w:eastAsia="Times New Roman" w:hAnsi="Times New Roman" w:cs="Times New Roman"/>
          <w:sz w:val="24"/>
          <w:szCs w:val="24"/>
          <w:lang w:eastAsia="en-IN"/>
        </w:rPr>
        <w:t>Fabris</w:t>
      </w:r>
      <w:proofErr w:type="spellEnd"/>
      <w:r w:rsidRPr="0086101B">
        <w:rPr>
          <w:rFonts w:ascii="Times New Roman" w:eastAsia="Times New Roman" w:hAnsi="Times New Roman" w:cs="Times New Roman"/>
          <w:sz w:val="24"/>
          <w:szCs w:val="24"/>
          <w:lang w:eastAsia="en-IN"/>
        </w:rPr>
        <w:t xml:space="preserve"> et al., 2021).</w:t>
      </w:r>
    </w:p>
    <w:p w:rsidR="0086101B" w:rsidRPr="0086101B" w:rsidRDefault="0086101B" w:rsidP="008610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Directly using off-the-shelf proxy labels can give a </w:t>
      </w:r>
      <w:r w:rsidRPr="0086101B">
        <w:rPr>
          <w:rFonts w:ascii="Times New Roman" w:eastAsia="Times New Roman" w:hAnsi="Times New Roman" w:cs="Times New Roman"/>
          <w:b/>
          <w:bCs/>
          <w:sz w:val="24"/>
          <w:szCs w:val="24"/>
          <w:lang w:eastAsia="en-IN"/>
        </w:rPr>
        <w:t>false sense of fairness or unfairness</w:t>
      </w:r>
      <w:r w:rsidRPr="0086101B">
        <w:rPr>
          <w:rFonts w:ascii="Times New Roman" w:eastAsia="Times New Roman" w:hAnsi="Times New Roman" w:cs="Times New Roman"/>
          <w:sz w:val="24"/>
          <w:szCs w:val="24"/>
          <w:lang w:eastAsia="en-IN"/>
        </w:rPr>
        <w:t>, so calibration is needed (Zhu et al., 2022).</w:t>
      </w:r>
    </w:p>
    <w:p w:rsidR="0086101B" w:rsidRPr="0086101B" w:rsidRDefault="0086101B" w:rsidP="008610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Newer methods show fairness can be estimated with only </w:t>
      </w:r>
      <w:r w:rsidRPr="0086101B">
        <w:rPr>
          <w:rFonts w:ascii="Times New Roman" w:eastAsia="Times New Roman" w:hAnsi="Times New Roman" w:cs="Times New Roman"/>
          <w:b/>
          <w:bCs/>
          <w:sz w:val="24"/>
          <w:szCs w:val="24"/>
          <w:lang w:eastAsia="en-IN"/>
        </w:rPr>
        <w:t>weak proxies</w:t>
      </w:r>
      <w:r w:rsidRPr="0086101B">
        <w:rPr>
          <w:rFonts w:ascii="Times New Roman" w:eastAsia="Times New Roman" w:hAnsi="Times New Roman" w:cs="Times New Roman"/>
          <w:sz w:val="24"/>
          <w:szCs w:val="24"/>
          <w:lang w:eastAsia="en-IN"/>
        </w:rPr>
        <w:t xml:space="preserve">, rule-based proxies from domain knowledge, or encrypted sensitive attributes held outside the decision pipeline (Zhu et al., 2022; Harvey et al., 2024; </w:t>
      </w:r>
      <w:proofErr w:type="spellStart"/>
      <w:r w:rsidRPr="0086101B">
        <w:rPr>
          <w:rFonts w:ascii="Times New Roman" w:eastAsia="Times New Roman" w:hAnsi="Times New Roman" w:cs="Times New Roman"/>
          <w:sz w:val="24"/>
          <w:szCs w:val="24"/>
          <w:lang w:eastAsia="en-IN"/>
        </w:rPr>
        <w:t>Kilbertus</w:t>
      </w:r>
      <w:proofErr w:type="spellEnd"/>
      <w:r w:rsidRPr="0086101B">
        <w:rPr>
          <w:rFonts w:ascii="Times New Roman" w:eastAsia="Times New Roman" w:hAnsi="Times New Roman" w:cs="Times New Roman"/>
          <w:sz w:val="24"/>
          <w:szCs w:val="24"/>
          <w:lang w:eastAsia="en-IN"/>
        </w:rPr>
        <w:t xml:space="preserve"> et al., 2018).</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Fairness-Through-Unawareness Critiques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The main critique is that </w:t>
      </w:r>
      <w:r w:rsidRPr="0086101B">
        <w:rPr>
          <w:rFonts w:ascii="Times New Roman" w:eastAsia="Times New Roman" w:hAnsi="Times New Roman" w:cs="Times New Roman"/>
          <w:b/>
          <w:bCs/>
          <w:sz w:val="24"/>
          <w:szCs w:val="24"/>
          <w:lang w:eastAsia="en-IN"/>
        </w:rPr>
        <w:t>removing protected attributes is not enough</w:t>
      </w:r>
      <w:r w:rsidRPr="0086101B">
        <w:rPr>
          <w:rFonts w:ascii="Times New Roman" w:eastAsia="Times New Roman" w:hAnsi="Times New Roman" w:cs="Times New Roman"/>
          <w:sz w:val="24"/>
          <w:szCs w:val="24"/>
          <w:lang w:eastAsia="en-IN"/>
        </w:rPr>
        <w:t xml:space="preserve"> because models can still infer them from other variables, and may even amplify discrimination (</w:t>
      </w:r>
      <w:proofErr w:type="spellStart"/>
      <w:r w:rsidRPr="0086101B">
        <w:rPr>
          <w:rFonts w:ascii="Times New Roman" w:eastAsia="Times New Roman" w:hAnsi="Times New Roman" w:cs="Times New Roman"/>
          <w:sz w:val="24"/>
          <w:szCs w:val="24"/>
          <w:lang w:eastAsia="en-IN"/>
        </w:rPr>
        <w:t>Cornacchia</w:t>
      </w:r>
      <w:proofErr w:type="spellEnd"/>
      <w:r w:rsidRPr="0086101B">
        <w:rPr>
          <w:rFonts w:ascii="Times New Roman" w:eastAsia="Times New Roman" w:hAnsi="Times New Roman" w:cs="Times New Roman"/>
          <w:sz w:val="24"/>
          <w:szCs w:val="24"/>
          <w:lang w:eastAsia="en-IN"/>
        </w:rPr>
        <w:t xml:space="preserve"> et al., 2023; Goethals et al., 2023; </w:t>
      </w:r>
      <w:proofErr w:type="spellStart"/>
      <w:r w:rsidRPr="0086101B">
        <w:rPr>
          <w:rFonts w:ascii="Times New Roman" w:eastAsia="Times New Roman" w:hAnsi="Times New Roman" w:cs="Times New Roman"/>
          <w:sz w:val="24"/>
          <w:szCs w:val="24"/>
          <w:lang w:eastAsia="en-IN"/>
        </w:rPr>
        <w:t>Oneto</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Chiappa</w:t>
      </w:r>
      <w:proofErr w:type="spellEnd"/>
      <w:r w:rsidRPr="0086101B">
        <w:rPr>
          <w:rFonts w:ascii="Times New Roman" w:eastAsia="Times New Roman" w:hAnsi="Times New Roman" w:cs="Times New Roman"/>
          <w:sz w:val="24"/>
          <w:szCs w:val="24"/>
          <w:lang w:eastAsia="en-IN"/>
        </w:rPr>
        <w:t>, 2020).</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That said, the critique is not absolute: some recent work argues fairness-through-unawareness can sometimes improve equity without hurting accuracy, especially depending on model class and thresholds, so it should be treated as a </w:t>
      </w:r>
      <w:proofErr w:type="spellStart"/>
      <w:r w:rsidRPr="0086101B">
        <w:rPr>
          <w:rFonts w:ascii="Times New Roman" w:eastAsia="Times New Roman" w:hAnsi="Times New Roman" w:cs="Times New Roman"/>
          <w:sz w:val="24"/>
          <w:szCs w:val="24"/>
          <w:lang w:eastAsia="en-IN"/>
        </w:rPr>
        <w:t>modeling</w:t>
      </w:r>
      <w:proofErr w:type="spellEnd"/>
      <w:r w:rsidRPr="0086101B">
        <w:rPr>
          <w:rFonts w:ascii="Times New Roman" w:eastAsia="Times New Roman" w:hAnsi="Times New Roman" w:cs="Times New Roman"/>
          <w:sz w:val="24"/>
          <w:szCs w:val="24"/>
          <w:lang w:eastAsia="en-IN"/>
        </w:rPr>
        <w:t xml:space="preserve"> choice rather than a guarantee (</w:t>
      </w:r>
      <w:proofErr w:type="spellStart"/>
      <w:r w:rsidRPr="0086101B">
        <w:rPr>
          <w:rFonts w:ascii="Times New Roman" w:eastAsia="Times New Roman" w:hAnsi="Times New Roman" w:cs="Times New Roman"/>
          <w:sz w:val="24"/>
          <w:szCs w:val="24"/>
          <w:lang w:eastAsia="en-IN"/>
        </w:rPr>
        <w:t>Höltgen</w:t>
      </w:r>
      <w:proofErr w:type="spellEnd"/>
      <w:r w:rsidRPr="0086101B">
        <w:rPr>
          <w:rFonts w:ascii="Times New Roman" w:eastAsia="Times New Roman" w:hAnsi="Times New Roman" w:cs="Times New Roman"/>
          <w:sz w:val="24"/>
          <w:szCs w:val="24"/>
          <w:lang w:eastAsia="en-IN"/>
        </w:rPr>
        <w:t xml:space="preserve"> &amp; Oliver, 2025).</w:t>
      </w:r>
    </w:p>
    <w:p w:rsidR="0086101B" w:rsidRPr="0086101B" w:rsidRDefault="0086101B" w:rsidP="008610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Group metrics such as demographic parity can reveal disparate outcomes under unawareness, but they do not explain whether the disparity is justified or how it arose (Goethals et al., 2023; </w:t>
      </w:r>
      <w:proofErr w:type="spellStart"/>
      <w:r w:rsidRPr="0086101B">
        <w:rPr>
          <w:rFonts w:ascii="Times New Roman" w:eastAsia="Times New Roman" w:hAnsi="Times New Roman" w:cs="Times New Roman"/>
          <w:sz w:val="24"/>
          <w:szCs w:val="24"/>
          <w:lang w:eastAsia="en-IN"/>
        </w:rPr>
        <w:t>Lindholm</w:t>
      </w:r>
      <w:proofErr w:type="spellEnd"/>
      <w:r w:rsidRPr="0086101B">
        <w:rPr>
          <w:rFonts w:ascii="Times New Roman" w:eastAsia="Times New Roman" w:hAnsi="Times New Roman" w:cs="Times New Roman"/>
          <w:sz w:val="24"/>
          <w:szCs w:val="24"/>
          <w:lang w:eastAsia="en-IN"/>
        </w:rPr>
        <w:t xml:space="preserve"> et al., 2024).</w:t>
      </w:r>
    </w:p>
    <w:p w:rsidR="0086101B" w:rsidRPr="0086101B" w:rsidRDefault="0086101B" w:rsidP="008610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Proxy discrimination and group fairness are </w:t>
      </w:r>
      <w:r w:rsidRPr="0086101B">
        <w:rPr>
          <w:rFonts w:ascii="Times New Roman" w:eastAsia="Times New Roman" w:hAnsi="Times New Roman" w:cs="Times New Roman"/>
          <w:b/>
          <w:bCs/>
          <w:sz w:val="24"/>
          <w:szCs w:val="24"/>
          <w:lang w:eastAsia="en-IN"/>
        </w:rPr>
        <w:t>materially different concepts</w:t>
      </w:r>
      <w:r w:rsidRPr="0086101B">
        <w:rPr>
          <w:rFonts w:ascii="Times New Roman" w:eastAsia="Times New Roman" w:hAnsi="Times New Roman" w:cs="Times New Roman"/>
          <w:sz w:val="24"/>
          <w:szCs w:val="24"/>
          <w:lang w:eastAsia="en-IN"/>
        </w:rPr>
        <w:t>, so satisfying one does not ensure the other (</w:t>
      </w:r>
      <w:proofErr w:type="spellStart"/>
      <w:r w:rsidRPr="0086101B">
        <w:rPr>
          <w:rFonts w:ascii="Times New Roman" w:eastAsia="Times New Roman" w:hAnsi="Times New Roman" w:cs="Times New Roman"/>
          <w:sz w:val="24"/>
          <w:szCs w:val="24"/>
          <w:lang w:eastAsia="en-IN"/>
        </w:rPr>
        <w:t>Lindholm</w:t>
      </w:r>
      <w:proofErr w:type="spellEnd"/>
      <w:r w:rsidRPr="0086101B">
        <w:rPr>
          <w:rFonts w:ascii="Times New Roman" w:eastAsia="Times New Roman" w:hAnsi="Times New Roman" w:cs="Times New Roman"/>
          <w:sz w:val="24"/>
          <w:szCs w:val="24"/>
          <w:lang w:eastAsia="en-IN"/>
        </w:rPr>
        <w:t xml:space="preserve"> et al., 2024).</w:t>
      </w:r>
    </w:p>
    <w:p w:rsidR="0086101B" w:rsidRPr="0086101B" w:rsidRDefault="0086101B" w:rsidP="008610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Several papers stress that fairness audits without sensitive data remain context-dependent and often need trusted third parties, privacy-preserving access, or external expertise (Veale &amp; </w:t>
      </w:r>
      <w:proofErr w:type="spellStart"/>
      <w:r w:rsidRPr="0086101B">
        <w:rPr>
          <w:rFonts w:ascii="Times New Roman" w:eastAsia="Times New Roman" w:hAnsi="Times New Roman" w:cs="Times New Roman"/>
          <w:sz w:val="24"/>
          <w:szCs w:val="24"/>
          <w:lang w:eastAsia="en-IN"/>
        </w:rPr>
        <w:t>Binns</w:t>
      </w:r>
      <w:proofErr w:type="spellEnd"/>
      <w:r w:rsidRPr="0086101B">
        <w:rPr>
          <w:rFonts w:ascii="Times New Roman" w:eastAsia="Times New Roman" w:hAnsi="Times New Roman" w:cs="Times New Roman"/>
          <w:sz w:val="24"/>
          <w:szCs w:val="24"/>
          <w:lang w:eastAsia="en-IN"/>
        </w:rPr>
        <w:t xml:space="preserve">, 2017; </w:t>
      </w:r>
      <w:proofErr w:type="spellStart"/>
      <w:r w:rsidRPr="0086101B">
        <w:rPr>
          <w:rFonts w:ascii="Times New Roman" w:eastAsia="Times New Roman" w:hAnsi="Times New Roman" w:cs="Times New Roman"/>
          <w:sz w:val="24"/>
          <w:szCs w:val="24"/>
          <w:lang w:eastAsia="en-IN"/>
        </w:rPr>
        <w:t>Kilbertus</w:t>
      </w:r>
      <w:proofErr w:type="spellEnd"/>
      <w:r w:rsidRPr="0086101B">
        <w:rPr>
          <w:rFonts w:ascii="Times New Roman" w:eastAsia="Times New Roman" w:hAnsi="Times New Roman" w:cs="Times New Roman"/>
          <w:sz w:val="24"/>
          <w:szCs w:val="24"/>
          <w:lang w:eastAsia="en-IN"/>
        </w:rPr>
        <w:t xml:space="preserve"> et al., 2018; Veale &amp; </w:t>
      </w:r>
      <w:proofErr w:type="spellStart"/>
      <w:r w:rsidRPr="0086101B">
        <w:rPr>
          <w:rFonts w:ascii="Times New Roman" w:eastAsia="Times New Roman" w:hAnsi="Times New Roman" w:cs="Times New Roman"/>
          <w:sz w:val="24"/>
          <w:szCs w:val="24"/>
          <w:lang w:eastAsia="en-IN"/>
        </w:rPr>
        <w:t>Binns</w:t>
      </w:r>
      <w:proofErr w:type="spellEnd"/>
      <w:r w:rsidRPr="0086101B">
        <w:rPr>
          <w:rFonts w:ascii="Times New Roman" w:eastAsia="Times New Roman" w:hAnsi="Times New Roman" w:cs="Times New Roman"/>
          <w:sz w:val="24"/>
          <w:szCs w:val="24"/>
          <w:lang w:eastAsia="en-IN"/>
        </w:rPr>
        <w:t>, 2017).</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Fairness without protected inputs is therefore checked mainly by </w:t>
      </w:r>
      <w:r w:rsidRPr="0086101B">
        <w:rPr>
          <w:rFonts w:ascii="Times New Roman" w:eastAsia="Times New Roman" w:hAnsi="Times New Roman" w:cs="Times New Roman"/>
          <w:b/>
          <w:bCs/>
          <w:sz w:val="24"/>
          <w:szCs w:val="24"/>
          <w:lang w:eastAsia="en-IN"/>
        </w:rPr>
        <w:t>auditing proxies</w:t>
      </w:r>
      <w:r w:rsidRPr="0086101B">
        <w:rPr>
          <w:rFonts w:ascii="Times New Roman" w:eastAsia="Times New Roman" w:hAnsi="Times New Roman" w:cs="Times New Roman"/>
          <w:sz w:val="24"/>
          <w:szCs w:val="24"/>
          <w:lang w:eastAsia="en-IN"/>
        </w:rPr>
        <w:t xml:space="preserve"> and </w:t>
      </w:r>
      <w:r w:rsidRPr="0086101B">
        <w:rPr>
          <w:rFonts w:ascii="Times New Roman" w:eastAsia="Times New Roman" w:hAnsi="Times New Roman" w:cs="Times New Roman"/>
          <w:b/>
          <w:bCs/>
          <w:sz w:val="24"/>
          <w:szCs w:val="24"/>
          <w:lang w:eastAsia="en-IN"/>
        </w:rPr>
        <w:t>estimating disparities outside the decision rule</w:t>
      </w:r>
      <w:r w:rsidRPr="0086101B">
        <w:rPr>
          <w:rFonts w:ascii="Times New Roman" w:eastAsia="Times New Roman" w:hAnsi="Times New Roman" w:cs="Times New Roman"/>
          <w:sz w:val="24"/>
          <w:szCs w:val="24"/>
          <w:lang w:eastAsia="en-IN"/>
        </w:rPr>
        <w:t>, while the literature is clear that fairness-through-unawareness alone is not a reliable fairness guarantee (</w:t>
      </w:r>
      <w:proofErr w:type="spellStart"/>
      <w:r w:rsidRPr="0086101B">
        <w:rPr>
          <w:rFonts w:ascii="Times New Roman" w:eastAsia="Times New Roman" w:hAnsi="Times New Roman" w:cs="Times New Roman"/>
          <w:sz w:val="24"/>
          <w:szCs w:val="24"/>
          <w:lang w:eastAsia="en-IN"/>
        </w:rPr>
        <w:t>Cornacchia</w:t>
      </w:r>
      <w:proofErr w:type="spellEnd"/>
      <w:r w:rsidRPr="0086101B">
        <w:rPr>
          <w:rFonts w:ascii="Times New Roman" w:eastAsia="Times New Roman" w:hAnsi="Times New Roman" w:cs="Times New Roman"/>
          <w:sz w:val="24"/>
          <w:szCs w:val="24"/>
          <w:lang w:eastAsia="en-IN"/>
        </w:rPr>
        <w:t xml:space="preserve"> et al., 2023; </w:t>
      </w:r>
      <w:proofErr w:type="spellStart"/>
      <w:r w:rsidRPr="0086101B">
        <w:rPr>
          <w:rFonts w:ascii="Times New Roman" w:eastAsia="Times New Roman" w:hAnsi="Times New Roman" w:cs="Times New Roman"/>
          <w:sz w:val="24"/>
          <w:szCs w:val="24"/>
          <w:lang w:eastAsia="en-IN"/>
        </w:rPr>
        <w:t>Kilbertus</w:t>
      </w:r>
      <w:proofErr w:type="spellEnd"/>
      <w:r w:rsidRPr="0086101B">
        <w:rPr>
          <w:rFonts w:ascii="Times New Roman" w:eastAsia="Times New Roman" w:hAnsi="Times New Roman" w:cs="Times New Roman"/>
          <w:sz w:val="24"/>
          <w:szCs w:val="24"/>
          <w:lang w:eastAsia="en-IN"/>
        </w:rPr>
        <w:t xml:space="preserve"> et al., 2018; Kuma et al., 2026).</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i/>
          <w:iCs/>
          <w:sz w:val="24"/>
          <w:szCs w:val="24"/>
          <w:lang w:eastAsia="en-IN"/>
        </w:rPr>
        <w:t xml:space="preserve">These search results were found and </w:t>
      </w:r>
      <w:proofErr w:type="spellStart"/>
      <w:r w:rsidRPr="0086101B">
        <w:rPr>
          <w:rFonts w:ascii="Times New Roman" w:eastAsia="Times New Roman" w:hAnsi="Times New Roman" w:cs="Times New Roman"/>
          <w:i/>
          <w:iCs/>
          <w:sz w:val="24"/>
          <w:szCs w:val="24"/>
          <w:lang w:eastAsia="en-IN"/>
        </w:rPr>
        <w:t>analyzed</w:t>
      </w:r>
      <w:proofErr w:type="spellEnd"/>
      <w:r w:rsidRPr="0086101B">
        <w:rPr>
          <w:rFonts w:ascii="Times New Roman" w:eastAsia="Times New Roman" w:hAnsi="Times New Roman" w:cs="Times New Roman"/>
          <w:i/>
          <w:iCs/>
          <w:sz w:val="24"/>
          <w:szCs w:val="24"/>
          <w:lang w:eastAsia="en-IN"/>
        </w:rPr>
        <w:t xml:space="preserve"> using Consensus, an AI-powered search engine for research. Try it at </w:t>
      </w:r>
      <w:hyperlink r:id="rId95" w:history="1">
        <w:r w:rsidRPr="0086101B">
          <w:rPr>
            <w:rFonts w:ascii="Times New Roman" w:eastAsia="Times New Roman" w:hAnsi="Times New Roman" w:cs="Times New Roman"/>
            <w:i/>
            <w:iCs/>
            <w:color w:val="0000FF"/>
            <w:sz w:val="24"/>
            <w:szCs w:val="24"/>
            <w:u w:val="single"/>
            <w:lang w:eastAsia="en-IN"/>
          </w:rPr>
          <w:t>https://consensus.app</w:t>
        </w:r>
      </w:hyperlink>
      <w:r w:rsidRPr="0086101B">
        <w:rPr>
          <w:rFonts w:ascii="Times New Roman" w:eastAsia="Times New Roman" w:hAnsi="Times New Roman" w:cs="Times New Roman"/>
          <w:i/>
          <w:iCs/>
          <w:sz w:val="24"/>
          <w:szCs w:val="24"/>
          <w:lang w:eastAsia="en-IN"/>
        </w:rPr>
        <w:t>. © 2026 Consensus NLP, Inc. Personal, non-commercial use only; redistribution requires copyright holders’ consent.</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References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Chen, J., </w:t>
      </w:r>
      <w:proofErr w:type="spellStart"/>
      <w:r w:rsidRPr="0086101B">
        <w:rPr>
          <w:rFonts w:ascii="Times New Roman" w:eastAsia="Times New Roman" w:hAnsi="Times New Roman" w:cs="Times New Roman"/>
          <w:sz w:val="24"/>
          <w:szCs w:val="24"/>
          <w:lang w:eastAsia="en-IN"/>
        </w:rPr>
        <w:t>Kallus</w:t>
      </w:r>
      <w:proofErr w:type="spellEnd"/>
      <w:r w:rsidRPr="0086101B">
        <w:rPr>
          <w:rFonts w:ascii="Times New Roman" w:eastAsia="Times New Roman" w:hAnsi="Times New Roman" w:cs="Times New Roman"/>
          <w:sz w:val="24"/>
          <w:szCs w:val="24"/>
          <w:lang w:eastAsia="en-IN"/>
        </w:rPr>
        <w:t xml:space="preserve">, N., Mao, X., </w:t>
      </w:r>
      <w:proofErr w:type="spellStart"/>
      <w:r w:rsidRPr="0086101B">
        <w:rPr>
          <w:rFonts w:ascii="Times New Roman" w:eastAsia="Times New Roman" w:hAnsi="Times New Roman" w:cs="Times New Roman"/>
          <w:sz w:val="24"/>
          <w:szCs w:val="24"/>
          <w:lang w:eastAsia="en-IN"/>
        </w:rPr>
        <w:t>Svacha</w:t>
      </w:r>
      <w:proofErr w:type="spellEnd"/>
      <w:r w:rsidRPr="0086101B">
        <w:rPr>
          <w:rFonts w:ascii="Times New Roman" w:eastAsia="Times New Roman" w:hAnsi="Times New Roman" w:cs="Times New Roman"/>
          <w:sz w:val="24"/>
          <w:szCs w:val="24"/>
          <w:lang w:eastAsia="en-IN"/>
        </w:rPr>
        <w:t xml:space="preserve">, G., &amp; </w:t>
      </w:r>
      <w:proofErr w:type="spellStart"/>
      <w:r w:rsidRPr="0086101B">
        <w:rPr>
          <w:rFonts w:ascii="Times New Roman" w:eastAsia="Times New Roman" w:hAnsi="Times New Roman" w:cs="Times New Roman"/>
          <w:sz w:val="24"/>
          <w:szCs w:val="24"/>
          <w:lang w:eastAsia="en-IN"/>
        </w:rPr>
        <w:t>Udell</w:t>
      </w:r>
      <w:proofErr w:type="spellEnd"/>
      <w:r w:rsidRPr="0086101B">
        <w:rPr>
          <w:rFonts w:ascii="Times New Roman" w:eastAsia="Times New Roman" w:hAnsi="Times New Roman" w:cs="Times New Roman"/>
          <w:sz w:val="24"/>
          <w:szCs w:val="24"/>
          <w:lang w:eastAsia="en-IN"/>
        </w:rPr>
        <w:t xml:space="preserve">, M. (2018). Fairness Under Unawareness: Assessing Disparity When Protected Class Is Unobserved. </w:t>
      </w:r>
      <w:r w:rsidRPr="0086101B">
        <w:rPr>
          <w:rFonts w:ascii="Times New Roman" w:eastAsia="Times New Roman" w:hAnsi="Times New Roman" w:cs="Times New Roman"/>
          <w:i/>
          <w:iCs/>
          <w:sz w:val="24"/>
          <w:szCs w:val="24"/>
          <w:lang w:eastAsia="en-IN"/>
        </w:rPr>
        <w:t>Proceedings of the Conference on Fairness, Accountability, and Transparency</w:t>
      </w:r>
      <w:r w:rsidRPr="0086101B">
        <w:rPr>
          <w:rFonts w:ascii="Times New Roman" w:eastAsia="Times New Roman" w:hAnsi="Times New Roman" w:cs="Times New Roman"/>
          <w:sz w:val="24"/>
          <w:szCs w:val="24"/>
          <w:lang w:eastAsia="en-IN"/>
        </w:rPr>
        <w:t xml:space="preserve">. </w:t>
      </w:r>
      <w:hyperlink r:id="rId96" w:history="1">
        <w:r w:rsidRPr="0086101B">
          <w:rPr>
            <w:rFonts w:ascii="Times New Roman" w:eastAsia="Times New Roman" w:hAnsi="Times New Roman" w:cs="Times New Roman"/>
            <w:color w:val="0000FF"/>
            <w:sz w:val="24"/>
            <w:szCs w:val="24"/>
            <w:u w:val="single"/>
            <w:lang w:eastAsia="en-IN"/>
          </w:rPr>
          <w:t>https://doi.org/10.1145/3287560.3287594</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lastRenderedPageBreak/>
        <w:t>Cornacchia</w:t>
      </w:r>
      <w:proofErr w:type="spellEnd"/>
      <w:r w:rsidRPr="0086101B">
        <w:rPr>
          <w:rFonts w:ascii="Times New Roman" w:eastAsia="Times New Roman" w:hAnsi="Times New Roman" w:cs="Times New Roman"/>
          <w:sz w:val="24"/>
          <w:szCs w:val="24"/>
          <w:lang w:eastAsia="en-IN"/>
        </w:rPr>
        <w:t xml:space="preserve">, G., </w:t>
      </w:r>
      <w:proofErr w:type="spellStart"/>
      <w:r w:rsidRPr="0086101B">
        <w:rPr>
          <w:rFonts w:ascii="Times New Roman" w:eastAsia="Times New Roman" w:hAnsi="Times New Roman" w:cs="Times New Roman"/>
          <w:sz w:val="24"/>
          <w:szCs w:val="24"/>
          <w:lang w:eastAsia="en-IN"/>
        </w:rPr>
        <w:t>Anelli</w:t>
      </w:r>
      <w:proofErr w:type="spellEnd"/>
      <w:r w:rsidRPr="0086101B">
        <w:rPr>
          <w:rFonts w:ascii="Times New Roman" w:eastAsia="Times New Roman" w:hAnsi="Times New Roman" w:cs="Times New Roman"/>
          <w:sz w:val="24"/>
          <w:szCs w:val="24"/>
          <w:lang w:eastAsia="en-IN"/>
        </w:rPr>
        <w:t xml:space="preserve">, V. W., </w:t>
      </w:r>
      <w:proofErr w:type="spellStart"/>
      <w:r w:rsidRPr="0086101B">
        <w:rPr>
          <w:rFonts w:ascii="Times New Roman" w:eastAsia="Times New Roman" w:hAnsi="Times New Roman" w:cs="Times New Roman"/>
          <w:sz w:val="24"/>
          <w:szCs w:val="24"/>
          <w:lang w:eastAsia="en-IN"/>
        </w:rPr>
        <w:t>Biancofiore</w:t>
      </w:r>
      <w:proofErr w:type="spellEnd"/>
      <w:r w:rsidRPr="0086101B">
        <w:rPr>
          <w:rFonts w:ascii="Times New Roman" w:eastAsia="Times New Roman" w:hAnsi="Times New Roman" w:cs="Times New Roman"/>
          <w:sz w:val="24"/>
          <w:szCs w:val="24"/>
          <w:lang w:eastAsia="en-IN"/>
        </w:rPr>
        <w:t xml:space="preserve">, G. M., </w:t>
      </w:r>
      <w:proofErr w:type="spellStart"/>
      <w:r w:rsidRPr="0086101B">
        <w:rPr>
          <w:rFonts w:ascii="Times New Roman" w:eastAsia="Times New Roman" w:hAnsi="Times New Roman" w:cs="Times New Roman"/>
          <w:sz w:val="24"/>
          <w:szCs w:val="24"/>
          <w:lang w:eastAsia="en-IN"/>
        </w:rPr>
        <w:t>Narducci</w:t>
      </w:r>
      <w:proofErr w:type="spellEnd"/>
      <w:r w:rsidRPr="0086101B">
        <w:rPr>
          <w:rFonts w:ascii="Times New Roman" w:eastAsia="Times New Roman" w:hAnsi="Times New Roman" w:cs="Times New Roman"/>
          <w:sz w:val="24"/>
          <w:szCs w:val="24"/>
          <w:lang w:eastAsia="en-IN"/>
        </w:rPr>
        <w:t xml:space="preserve">, F., Pomo, C., </w:t>
      </w:r>
      <w:proofErr w:type="spellStart"/>
      <w:r w:rsidRPr="0086101B">
        <w:rPr>
          <w:rFonts w:ascii="Times New Roman" w:eastAsia="Times New Roman" w:hAnsi="Times New Roman" w:cs="Times New Roman"/>
          <w:sz w:val="24"/>
          <w:szCs w:val="24"/>
          <w:lang w:eastAsia="en-IN"/>
        </w:rPr>
        <w:t>Ragone</w:t>
      </w:r>
      <w:proofErr w:type="spellEnd"/>
      <w:r w:rsidRPr="0086101B">
        <w:rPr>
          <w:rFonts w:ascii="Times New Roman" w:eastAsia="Times New Roman" w:hAnsi="Times New Roman" w:cs="Times New Roman"/>
          <w:sz w:val="24"/>
          <w:szCs w:val="24"/>
          <w:lang w:eastAsia="en-IN"/>
        </w:rPr>
        <w:t xml:space="preserve">, A., &amp; Di </w:t>
      </w:r>
      <w:proofErr w:type="spellStart"/>
      <w:r w:rsidRPr="0086101B">
        <w:rPr>
          <w:rFonts w:ascii="Times New Roman" w:eastAsia="Times New Roman" w:hAnsi="Times New Roman" w:cs="Times New Roman"/>
          <w:sz w:val="24"/>
          <w:szCs w:val="24"/>
          <w:lang w:eastAsia="en-IN"/>
        </w:rPr>
        <w:t>Sciascio</w:t>
      </w:r>
      <w:proofErr w:type="spellEnd"/>
      <w:r w:rsidRPr="0086101B">
        <w:rPr>
          <w:rFonts w:ascii="Times New Roman" w:eastAsia="Times New Roman" w:hAnsi="Times New Roman" w:cs="Times New Roman"/>
          <w:sz w:val="24"/>
          <w:szCs w:val="24"/>
          <w:lang w:eastAsia="en-IN"/>
        </w:rPr>
        <w:t xml:space="preserve">, E. (2023). Auditing fairness under unawareness through counterfactual reasoning. </w:t>
      </w:r>
      <w:r w:rsidRPr="0086101B">
        <w:rPr>
          <w:rFonts w:ascii="Times New Roman" w:eastAsia="Times New Roman" w:hAnsi="Times New Roman" w:cs="Times New Roman"/>
          <w:i/>
          <w:iCs/>
          <w:sz w:val="24"/>
          <w:szCs w:val="24"/>
          <w:lang w:eastAsia="en-IN"/>
        </w:rPr>
        <w:t xml:space="preserve">Inf. Process. </w:t>
      </w:r>
      <w:proofErr w:type="spellStart"/>
      <w:r w:rsidRPr="0086101B">
        <w:rPr>
          <w:rFonts w:ascii="Times New Roman" w:eastAsia="Times New Roman" w:hAnsi="Times New Roman" w:cs="Times New Roman"/>
          <w:i/>
          <w:iCs/>
          <w:sz w:val="24"/>
          <w:szCs w:val="24"/>
          <w:lang w:eastAsia="en-IN"/>
        </w:rPr>
        <w:t>Manag</w:t>
      </w:r>
      <w:proofErr w:type="spellEnd"/>
      <w:r w:rsidRPr="0086101B">
        <w:rPr>
          <w:rFonts w:ascii="Times New Roman" w:eastAsia="Times New Roman" w:hAnsi="Times New Roman" w:cs="Times New Roman"/>
          <w:i/>
          <w:iCs/>
          <w:sz w:val="24"/>
          <w:szCs w:val="24"/>
          <w:lang w:eastAsia="en-IN"/>
        </w:rPr>
        <w:t>., 60</w:t>
      </w:r>
      <w:r w:rsidRPr="0086101B">
        <w:rPr>
          <w:rFonts w:ascii="Times New Roman" w:eastAsia="Times New Roman" w:hAnsi="Times New Roman" w:cs="Times New Roman"/>
          <w:sz w:val="24"/>
          <w:szCs w:val="24"/>
          <w:lang w:eastAsia="en-IN"/>
        </w:rPr>
        <w:t xml:space="preserve">, 103224. </w:t>
      </w:r>
      <w:hyperlink r:id="rId97" w:history="1">
        <w:r w:rsidRPr="0086101B">
          <w:rPr>
            <w:rFonts w:ascii="Times New Roman" w:eastAsia="Times New Roman" w:hAnsi="Times New Roman" w:cs="Times New Roman"/>
            <w:color w:val="0000FF"/>
            <w:sz w:val="24"/>
            <w:szCs w:val="24"/>
            <w:u w:val="single"/>
            <w:lang w:eastAsia="en-IN"/>
          </w:rPr>
          <w:t>https://doi.org/10.1016/j.ipm.2022.103224</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Cornacchia</w:t>
      </w:r>
      <w:proofErr w:type="spellEnd"/>
      <w:r w:rsidRPr="0086101B">
        <w:rPr>
          <w:rFonts w:ascii="Times New Roman" w:eastAsia="Times New Roman" w:hAnsi="Times New Roman" w:cs="Times New Roman"/>
          <w:sz w:val="24"/>
          <w:szCs w:val="24"/>
          <w:lang w:eastAsia="en-IN"/>
        </w:rPr>
        <w:t xml:space="preserve">, G., </w:t>
      </w:r>
      <w:proofErr w:type="spellStart"/>
      <w:r w:rsidRPr="0086101B">
        <w:rPr>
          <w:rFonts w:ascii="Times New Roman" w:eastAsia="Times New Roman" w:hAnsi="Times New Roman" w:cs="Times New Roman"/>
          <w:sz w:val="24"/>
          <w:szCs w:val="24"/>
          <w:lang w:eastAsia="en-IN"/>
        </w:rPr>
        <w:t>Anelli</w:t>
      </w:r>
      <w:proofErr w:type="spellEnd"/>
      <w:r w:rsidRPr="0086101B">
        <w:rPr>
          <w:rFonts w:ascii="Times New Roman" w:eastAsia="Times New Roman" w:hAnsi="Times New Roman" w:cs="Times New Roman"/>
          <w:sz w:val="24"/>
          <w:szCs w:val="24"/>
          <w:lang w:eastAsia="en-IN"/>
        </w:rPr>
        <w:t xml:space="preserve">, V. W., </w:t>
      </w:r>
      <w:proofErr w:type="spellStart"/>
      <w:r w:rsidRPr="0086101B">
        <w:rPr>
          <w:rFonts w:ascii="Times New Roman" w:eastAsia="Times New Roman" w:hAnsi="Times New Roman" w:cs="Times New Roman"/>
          <w:sz w:val="24"/>
          <w:szCs w:val="24"/>
          <w:lang w:eastAsia="en-IN"/>
        </w:rPr>
        <w:t>Narducci</w:t>
      </w:r>
      <w:proofErr w:type="spellEnd"/>
      <w:r w:rsidRPr="0086101B">
        <w:rPr>
          <w:rFonts w:ascii="Times New Roman" w:eastAsia="Times New Roman" w:hAnsi="Times New Roman" w:cs="Times New Roman"/>
          <w:sz w:val="24"/>
          <w:szCs w:val="24"/>
          <w:lang w:eastAsia="en-IN"/>
        </w:rPr>
        <w:t xml:space="preserve">, F., </w:t>
      </w:r>
      <w:proofErr w:type="spellStart"/>
      <w:r w:rsidRPr="0086101B">
        <w:rPr>
          <w:rFonts w:ascii="Times New Roman" w:eastAsia="Times New Roman" w:hAnsi="Times New Roman" w:cs="Times New Roman"/>
          <w:sz w:val="24"/>
          <w:szCs w:val="24"/>
          <w:lang w:eastAsia="en-IN"/>
        </w:rPr>
        <w:t>Ragone</w:t>
      </w:r>
      <w:proofErr w:type="spellEnd"/>
      <w:r w:rsidRPr="0086101B">
        <w:rPr>
          <w:rFonts w:ascii="Times New Roman" w:eastAsia="Times New Roman" w:hAnsi="Times New Roman" w:cs="Times New Roman"/>
          <w:sz w:val="24"/>
          <w:szCs w:val="24"/>
          <w:lang w:eastAsia="en-IN"/>
        </w:rPr>
        <w:t xml:space="preserve">, A., &amp; </w:t>
      </w:r>
      <w:proofErr w:type="spellStart"/>
      <w:r w:rsidRPr="0086101B">
        <w:rPr>
          <w:rFonts w:ascii="Times New Roman" w:eastAsia="Times New Roman" w:hAnsi="Times New Roman" w:cs="Times New Roman"/>
          <w:sz w:val="24"/>
          <w:szCs w:val="24"/>
          <w:lang w:eastAsia="en-IN"/>
        </w:rPr>
        <w:t>Sciascio</w:t>
      </w:r>
      <w:proofErr w:type="spellEnd"/>
      <w:r w:rsidRPr="0086101B">
        <w:rPr>
          <w:rFonts w:ascii="Times New Roman" w:eastAsia="Times New Roman" w:hAnsi="Times New Roman" w:cs="Times New Roman"/>
          <w:sz w:val="24"/>
          <w:szCs w:val="24"/>
          <w:lang w:eastAsia="en-IN"/>
        </w:rPr>
        <w:t xml:space="preserve">, E. (2023). Counterfactual Reasoning for Bias Evaluation and Detection in a Fairness under Unawareness setting. </w:t>
      </w:r>
      <w:proofErr w:type="spellStart"/>
      <w:r w:rsidRPr="0086101B">
        <w:rPr>
          <w:rFonts w:ascii="Times New Roman" w:eastAsia="Times New Roman" w:hAnsi="Times New Roman" w:cs="Times New Roman"/>
          <w:i/>
          <w:iCs/>
          <w:sz w:val="24"/>
          <w:szCs w:val="24"/>
          <w:lang w:eastAsia="en-IN"/>
        </w:rPr>
        <w:t>ArXiv</w:t>
      </w:r>
      <w:proofErr w:type="spellEnd"/>
      <w:r w:rsidRPr="0086101B">
        <w:rPr>
          <w:rFonts w:ascii="Times New Roman" w:eastAsia="Times New Roman" w:hAnsi="Times New Roman" w:cs="Times New Roman"/>
          <w:i/>
          <w:iCs/>
          <w:sz w:val="24"/>
          <w:szCs w:val="24"/>
          <w:lang w:eastAsia="en-IN"/>
        </w:rPr>
        <w:t>, abs/2302.08204</w:t>
      </w:r>
      <w:r w:rsidRPr="0086101B">
        <w:rPr>
          <w:rFonts w:ascii="Times New Roman" w:eastAsia="Times New Roman" w:hAnsi="Times New Roman" w:cs="Times New Roman"/>
          <w:sz w:val="24"/>
          <w:szCs w:val="24"/>
          <w:lang w:eastAsia="en-IN"/>
        </w:rPr>
        <w:t xml:space="preserve">. </w:t>
      </w:r>
      <w:hyperlink r:id="rId98" w:history="1">
        <w:r w:rsidRPr="0086101B">
          <w:rPr>
            <w:rFonts w:ascii="Times New Roman" w:eastAsia="Times New Roman" w:hAnsi="Times New Roman" w:cs="Times New Roman"/>
            <w:color w:val="0000FF"/>
            <w:sz w:val="24"/>
            <w:szCs w:val="24"/>
            <w:u w:val="single"/>
            <w:lang w:eastAsia="en-IN"/>
          </w:rPr>
          <w:t>https://doi.org/10.48550/arxiv.2302.08204</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Fabris</w:t>
      </w:r>
      <w:proofErr w:type="spellEnd"/>
      <w:r w:rsidRPr="0086101B">
        <w:rPr>
          <w:rFonts w:ascii="Times New Roman" w:eastAsia="Times New Roman" w:hAnsi="Times New Roman" w:cs="Times New Roman"/>
          <w:sz w:val="24"/>
          <w:szCs w:val="24"/>
          <w:lang w:eastAsia="en-IN"/>
        </w:rPr>
        <w:t xml:space="preserve">, A., </w:t>
      </w:r>
      <w:proofErr w:type="spellStart"/>
      <w:r w:rsidRPr="0086101B">
        <w:rPr>
          <w:rFonts w:ascii="Times New Roman" w:eastAsia="Times New Roman" w:hAnsi="Times New Roman" w:cs="Times New Roman"/>
          <w:sz w:val="24"/>
          <w:szCs w:val="24"/>
          <w:lang w:eastAsia="en-IN"/>
        </w:rPr>
        <w:t>Esuli</w:t>
      </w:r>
      <w:proofErr w:type="spellEnd"/>
      <w:r w:rsidRPr="0086101B">
        <w:rPr>
          <w:rFonts w:ascii="Times New Roman" w:eastAsia="Times New Roman" w:hAnsi="Times New Roman" w:cs="Times New Roman"/>
          <w:sz w:val="24"/>
          <w:szCs w:val="24"/>
          <w:lang w:eastAsia="en-IN"/>
        </w:rPr>
        <w:t xml:space="preserve">, A., </w:t>
      </w:r>
      <w:proofErr w:type="spellStart"/>
      <w:r w:rsidRPr="0086101B">
        <w:rPr>
          <w:rFonts w:ascii="Times New Roman" w:eastAsia="Times New Roman" w:hAnsi="Times New Roman" w:cs="Times New Roman"/>
          <w:sz w:val="24"/>
          <w:szCs w:val="24"/>
          <w:lang w:eastAsia="en-IN"/>
        </w:rPr>
        <w:t>Moreo</w:t>
      </w:r>
      <w:proofErr w:type="spellEnd"/>
      <w:r w:rsidRPr="0086101B">
        <w:rPr>
          <w:rFonts w:ascii="Times New Roman" w:eastAsia="Times New Roman" w:hAnsi="Times New Roman" w:cs="Times New Roman"/>
          <w:sz w:val="24"/>
          <w:szCs w:val="24"/>
          <w:lang w:eastAsia="en-IN"/>
        </w:rPr>
        <w:t xml:space="preserve">, A., &amp; </w:t>
      </w:r>
      <w:proofErr w:type="spellStart"/>
      <w:r w:rsidRPr="0086101B">
        <w:rPr>
          <w:rFonts w:ascii="Times New Roman" w:eastAsia="Times New Roman" w:hAnsi="Times New Roman" w:cs="Times New Roman"/>
          <w:sz w:val="24"/>
          <w:szCs w:val="24"/>
          <w:lang w:eastAsia="en-IN"/>
        </w:rPr>
        <w:t>Sebastiani</w:t>
      </w:r>
      <w:proofErr w:type="spellEnd"/>
      <w:r w:rsidRPr="0086101B">
        <w:rPr>
          <w:rFonts w:ascii="Times New Roman" w:eastAsia="Times New Roman" w:hAnsi="Times New Roman" w:cs="Times New Roman"/>
          <w:sz w:val="24"/>
          <w:szCs w:val="24"/>
          <w:lang w:eastAsia="en-IN"/>
        </w:rPr>
        <w:t xml:space="preserve">, F. (2021). Measuring Fairness Under Unawareness of Sensitive Attributes: A Quantification-Based Approach. </w:t>
      </w:r>
      <w:r w:rsidRPr="0086101B">
        <w:rPr>
          <w:rFonts w:ascii="Times New Roman" w:eastAsia="Times New Roman" w:hAnsi="Times New Roman" w:cs="Times New Roman"/>
          <w:i/>
          <w:iCs/>
          <w:sz w:val="24"/>
          <w:szCs w:val="24"/>
          <w:lang w:eastAsia="en-IN"/>
        </w:rPr>
        <w:t xml:space="preserve">J. </w:t>
      </w:r>
      <w:proofErr w:type="spellStart"/>
      <w:r w:rsidRPr="0086101B">
        <w:rPr>
          <w:rFonts w:ascii="Times New Roman" w:eastAsia="Times New Roman" w:hAnsi="Times New Roman" w:cs="Times New Roman"/>
          <w:i/>
          <w:iCs/>
          <w:sz w:val="24"/>
          <w:szCs w:val="24"/>
          <w:lang w:eastAsia="en-IN"/>
        </w:rPr>
        <w:t>Artif</w:t>
      </w:r>
      <w:proofErr w:type="spellEnd"/>
      <w:r w:rsidRPr="0086101B">
        <w:rPr>
          <w:rFonts w:ascii="Times New Roman" w:eastAsia="Times New Roman" w:hAnsi="Times New Roman" w:cs="Times New Roman"/>
          <w:i/>
          <w:iCs/>
          <w:sz w:val="24"/>
          <w:szCs w:val="24"/>
          <w:lang w:eastAsia="en-IN"/>
        </w:rPr>
        <w:t xml:space="preserve">. </w:t>
      </w:r>
      <w:proofErr w:type="spellStart"/>
      <w:r w:rsidRPr="0086101B">
        <w:rPr>
          <w:rFonts w:ascii="Times New Roman" w:eastAsia="Times New Roman" w:hAnsi="Times New Roman" w:cs="Times New Roman"/>
          <w:i/>
          <w:iCs/>
          <w:sz w:val="24"/>
          <w:szCs w:val="24"/>
          <w:lang w:eastAsia="en-IN"/>
        </w:rPr>
        <w:t>Intell</w:t>
      </w:r>
      <w:proofErr w:type="spellEnd"/>
      <w:r w:rsidRPr="0086101B">
        <w:rPr>
          <w:rFonts w:ascii="Times New Roman" w:eastAsia="Times New Roman" w:hAnsi="Times New Roman" w:cs="Times New Roman"/>
          <w:i/>
          <w:iCs/>
          <w:sz w:val="24"/>
          <w:szCs w:val="24"/>
          <w:lang w:eastAsia="en-IN"/>
        </w:rPr>
        <w:t>. Res., 76</w:t>
      </w:r>
      <w:r w:rsidRPr="0086101B">
        <w:rPr>
          <w:rFonts w:ascii="Times New Roman" w:eastAsia="Times New Roman" w:hAnsi="Times New Roman" w:cs="Times New Roman"/>
          <w:sz w:val="24"/>
          <w:szCs w:val="24"/>
          <w:lang w:eastAsia="en-IN"/>
        </w:rPr>
        <w:t xml:space="preserve">, 1117-1180. </w:t>
      </w:r>
      <w:hyperlink r:id="rId99" w:history="1">
        <w:r w:rsidRPr="0086101B">
          <w:rPr>
            <w:rFonts w:ascii="Times New Roman" w:eastAsia="Times New Roman" w:hAnsi="Times New Roman" w:cs="Times New Roman"/>
            <w:color w:val="0000FF"/>
            <w:sz w:val="24"/>
            <w:szCs w:val="24"/>
            <w:u w:val="single"/>
            <w:lang w:eastAsia="en-IN"/>
          </w:rPr>
          <w:t>https://doi.org/10.1613/jair.1.14033</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Feuerriegel</w:t>
      </w:r>
      <w:proofErr w:type="spellEnd"/>
      <w:r w:rsidRPr="0086101B">
        <w:rPr>
          <w:rFonts w:ascii="Times New Roman" w:eastAsia="Times New Roman" w:hAnsi="Times New Roman" w:cs="Times New Roman"/>
          <w:sz w:val="24"/>
          <w:szCs w:val="24"/>
          <w:lang w:eastAsia="en-IN"/>
        </w:rPr>
        <w:t xml:space="preserve">, S., Dolata, M., &amp; </w:t>
      </w:r>
      <w:proofErr w:type="spellStart"/>
      <w:r w:rsidRPr="0086101B">
        <w:rPr>
          <w:rFonts w:ascii="Times New Roman" w:eastAsia="Times New Roman" w:hAnsi="Times New Roman" w:cs="Times New Roman"/>
          <w:sz w:val="24"/>
          <w:szCs w:val="24"/>
          <w:lang w:eastAsia="en-IN"/>
        </w:rPr>
        <w:t>Schwabe</w:t>
      </w:r>
      <w:proofErr w:type="spellEnd"/>
      <w:r w:rsidRPr="0086101B">
        <w:rPr>
          <w:rFonts w:ascii="Times New Roman" w:eastAsia="Times New Roman" w:hAnsi="Times New Roman" w:cs="Times New Roman"/>
          <w:sz w:val="24"/>
          <w:szCs w:val="24"/>
          <w:lang w:eastAsia="en-IN"/>
        </w:rPr>
        <w:t xml:space="preserve">, G. (2020). Fair AI. </w:t>
      </w:r>
      <w:r w:rsidRPr="0086101B">
        <w:rPr>
          <w:rFonts w:ascii="Times New Roman" w:eastAsia="Times New Roman" w:hAnsi="Times New Roman" w:cs="Times New Roman"/>
          <w:i/>
          <w:iCs/>
          <w:sz w:val="24"/>
          <w:szCs w:val="24"/>
          <w:lang w:eastAsia="en-IN"/>
        </w:rPr>
        <w:t>Business &amp; Information Systems Engineering, 62</w:t>
      </w:r>
      <w:r w:rsidRPr="0086101B">
        <w:rPr>
          <w:rFonts w:ascii="Times New Roman" w:eastAsia="Times New Roman" w:hAnsi="Times New Roman" w:cs="Times New Roman"/>
          <w:sz w:val="24"/>
          <w:szCs w:val="24"/>
          <w:lang w:eastAsia="en-IN"/>
        </w:rPr>
        <w:t xml:space="preserve">, 379 - 384. </w:t>
      </w:r>
      <w:hyperlink r:id="rId100" w:history="1">
        <w:r w:rsidRPr="0086101B">
          <w:rPr>
            <w:rFonts w:ascii="Times New Roman" w:eastAsia="Times New Roman" w:hAnsi="Times New Roman" w:cs="Times New Roman"/>
            <w:color w:val="0000FF"/>
            <w:sz w:val="24"/>
            <w:szCs w:val="24"/>
            <w:u w:val="single"/>
            <w:lang w:eastAsia="en-IN"/>
          </w:rPr>
          <w:t>https://doi.org/10.1007/s12599-020-00650-3</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Galhotra</w:t>
      </w:r>
      <w:proofErr w:type="spellEnd"/>
      <w:r w:rsidRPr="0086101B">
        <w:rPr>
          <w:rFonts w:ascii="Times New Roman" w:eastAsia="Times New Roman" w:hAnsi="Times New Roman" w:cs="Times New Roman"/>
          <w:sz w:val="24"/>
          <w:szCs w:val="24"/>
          <w:lang w:eastAsia="en-IN"/>
        </w:rPr>
        <w:t xml:space="preserve">, S., </w:t>
      </w:r>
      <w:proofErr w:type="spellStart"/>
      <w:r w:rsidRPr="0086101B">
        <w:rPr>
          <w:rFonts w:ascii="Times New Roman" w:eastAsia="Times New Roman" w:hAnsi="Times New Roman" w:cs="Times New Roman"/>
          <w:sz w:val="24"/>
          <w:szCs w:val="24"/>
          <w:lang w:eastAsia="en-IN"/>
        </w:rPr>
        <w:t>Shanmugam</w:t>
      </w:r>
      <w:proofErr w:type="spellEnd"/>
      <w:r w:rsidRPr="0086101B">
        <w:rPr>
          <w:rFonts w:ascii="Times New Roman" w:eastAsia="Times New Roman" w:hAnsi="Times New Roman" w:cs="Times New Roman"/>
          <w:sz w:val="24"/>
          <w:szCs w:val="24"/>
          <w:lang w:eastAsia="en-IN"/>
        </w:rPr>
        <w:t xml:space="preserve">, K., </w:t>
      </w:r>
      <w:proofErr w:type="spellStart"/>
      <w:r w:rsidRPr="0086101B">
        <w:rPr>
          <w:rFonts w:ascii="Times New Roman" w:eastAsia="Times New Roman" w:hAnsi="Times New Roman" w:cs="Times New Roman"/>
          <w:sz w:val="24"/>
          <w:szCs w:val="24"/>
          <w:lang w:eastAsia="en-IN"/>
        </w:rPr>
        <w:t>Sattigeri</w:t>
      </w:r>
      <w:proofErr w:type="spellEnd"/>
      <w:r w:rsidRPr="0086101B">
        <w:rPr>
          <w:rFonts w:ascii="Times New Roman" w:eastAsia="Times New Roman" w:hAnsi="Times New Roman" w:cs="Times New Roman"/>
          <w:sz w:val="24"/>
          <w:szCs w:val="24"/>
          <w:lang w:eastAsia="en-IN"/>
        </w:rPr>
        <w:t xml:space="preserve">, P., &amp; </w:t>
      </w:r>
      <w:proofErr w:type="spellStart"/>
      <w:r w:rsidRPr="0086101B">
        <w:rPr>
          <w:rFonts w:ascii="Times New Roman" w:eastAsia="Times New Roman" w:hAnsi="Times New Roman" w:cs="Times New Roman"/>
          <w:sz w:val="24"/>
          <w:szCs w:val="24"/>
          <w:lang w:eastAsia="en-IN"/>
        </w:rPr>
        <w:t>Varshney</w:t>
      </w:r>
      <w:proofErr w:type="spellEnd"/>
      <w:r w:rsidRPr="0086101B">
        <w:rPr>
          <w:rFonts w:ascii="Times New Roman" w:eastAsia="Times New Roman" w:hAnsi="Times New Roman" w:cs="Times New Roman"/>
          <w:sz w:val="24"/>
          <w:szCs w:val="24"/>
          <w:lang w:eastAsia="en-IN"/>
        </w:rPr>
        <w:t xml:space="preserve">, K. R. (2021). Interventional Fairness with Indirect Knowledge of Unobserved Protected Attributes. </w:t>
      </w:r>
      <w:r w:rsidRPr="0086101B">
        <w:rPr>
          <w:rFonts w:ascii="Times New Roman" w:eastAsia="Times New Roman" w:hAnsi="Times New Roman" w:cs="Times New Roman"/>
          <w:i/>
          <w:iCs/>
          <w:sz w:val="24"/>
          <w:szCs w:val="24"/>
          <w:lang w:eastAsia="en-IN"/>
        </w:rPr>
        <w:t>Entropy, 23</w:t>
      </w:r>
      <w:r w:rsidRPr="0086101B">
        <w:rPr>
          <w:rFonts w:ascii="Times New Roman" w:eastAsia="Times New Roman" w:hAnsi="Times New Roman" w:cs="Times New Roman"/>
          <w:sz w:val="24"/>
          <w:szCs w:val="24"/>
          <w:lang w:eastAsia="en-IN"/>
        </w:rPr>
        <w:t xml:space="preserve">. </w:t>
      </w:r>
      <w:hyperlink r:id="rId101" w:history="1">
        <w:r w:rsidRPr="0086101B">
          <w:rPr>
            <w:rFonts w:ascii="Times New Roman" w:eastAsia="Times New Roman" w:hAnsi="Times New Roman" w:cs="Times New Roman"/>
            <w:color w:val="0000FF"/>
            <w:sz w:val="24"/>
            <w:szCs w:val="24"/>
            <w:u w:val="single"/>
            <w:lang w:eastAsia="en-IN"/>
          </w:rPr>
          <w:t>https://doi.org/10.3390/e23121571</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Goethals, S., Martens, D., &amp; </w:t>
      </w:r>
      <w:proofErr w:type="spellStart"/>
      <w:r w:rsidRPr="0086101B">
        <w:rPr>
          <w:rFonts w:ascii="Times New Roman" w:eastAsia="Times New Roman" w:hAnsi="Times New Roman" w:cs="Times New Roman"/>
          <w:sz w:val="24"/>
          <w:szCs w:val="24"/>
          <w:lang w:eastAsia="en-IN"/>
        </w:rPr>
        <w:t>Calders</w:t>
      </w:r>
      <w:proofErr w:type="spellEnd"/>
      <w:r w:rsidRPr="0086101B">
        <w:rPr>
          <w:rFonts w:ascii="Times New Roman" w:eastAsia="Times New Roman" w:hAnsi="Times New Roman" w:cs="Times New Roman"/>
          <w:sz w:val="24"/>
          <w:szCs w:val="24"/>
          <w:lang w:eastAsia="en-IN"/>
        </w:rPr>
        <w:t xml:space="preserve">, T. (2023). </w:t>
      </w:r>
      <w:proofErr w:type="spellStart"/>
      <w:r w:rsidRPr="0086101B">
        <w:rPr>
          <w:rFonts w:ascii="Times New Roman" w:eastAsia="Times New Roman" w:hAnsi="Times New Roman" w:cs="Times New Roman"/>
          <w:sz w:val="24"/>
          <w:szCs w:val="24"/>
          <w:lang w:eastAsia="en-IN"/>
        </w:rPr>
        <w:t>PreCoF</w:t>
      </w:r>
      <w:proofErr w:type="spellEnd"/>
      <w:r w:rsidRPr="0086101B">
        <w:rPr>
          <w:rFonts w:ascii="Times New Roman" w:eastAsia="Times New Roman" w:hAnsi="Times New Roman" w:cs="Times New Roman"/>
          <w:sz w:val="24"/>
          <w:szCs w:val="24"/>
          <w:lang w:eastAsia="en-IN"/>
        </w:rPr>
        <w:t xml:space="preserve">: counterfactual explanations for fairness. </w:t>
      </w:r>
      <w:r w:rsidRPr="0086101B">
        <w:rPr>
          <w:rFonts w:ascii="Times New Roman" w:eastAsia="Times New Roman" w:hAnsi="Times New Roman" w:cs="Times New Roman"/>
          <w:i/>
          <w:iCs/>
          <w:sz w:val="24"/>
          <w:szCs w:val="24"/>
          <w:lang w:eastAsia="en-IN"/>
        </w:rPr>
        <w:t>Machine Learning</w:t>
      </w:r>
      <w:r w:rsidRPr="0086101B">
        <w:rPr>
          <w:rFonts w:ascii="Times New Roman" w:eastAsia="Times New Roman" w:hAnsi="Times New Roman" w:cs="Times New Roman"/>
          <w:sz w:val="24"/>
          <w:szCs w:val="24"/>
          <w:lang w:eastAsia="en-IN"/>
        </w:rPr>
        <w:t xml:space="preserve">, 1 - 32. </w:t>
      </w:r>
      <w:hyperlink r:id="rId102" w:history="1">
        <w:r w:rsidRPr="0086101B">
          <w:rPr>
            <w:rFonts w:ascii="Times New Roman" w:eastAsia="Times New Roman" w:hAnsi="Times New Roman" w:cs="Times New Roman"/>
            <w:color w:val="0000FF"/>
            <w:sz w:val="24"/>
            <w:szCs w:val="24"/>
            <w:u w:val="single"/>
            <w:lang w:eastAsia="en-IN"/>
          </w:rPr>
          <w:t>https://doi.org/10.1007/s10994-023-06319-8</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Harvey, E., Lee, M., &amp; Singh, J. (2024). Improving Group Fairness Assessments with Proxies. </w:t>
      </w:r>
      <w:r w:rsidRPr="0086101B">
        <w:rPr>
          <w:rFonts w:ascii="Times New Roman" w:eastAsia="Times New Roman" w:hAnsi="Times New Roman" w:cs="Times New Roman"/>
          <w:i/>
          <w:iCs/>
          <w:sz w:val="24"/>
          <w:szCs w:val="24"/>
          <w:lang w:eastAsia="en-IN"/>
        </w:rPr>
        <w:t>ACM Journal on Responsible Computing, 1</w:t>
      </w:r>
      <w:r w:rsidRPr="0086101B">
        <w:rPr>
          <w:rFonts w:ascii="Times New Roman" w:eastAsia="Times New Roman" w:hAnsi="Times New Roman" w:cs="Times New Roman"/>
          <w:sz w:val="24"/>
          <w:szCs w:val="24"/>
          <w:lang w:eastAsia="en-IN"/>
        </w:rPr>
        <w:t xml:space="preserve">, 1 - 21. </w:t>
      </w:r>
      <w:hyperlink r:id="rId103" w:history="1">
        <w:r w:rsidRPr="0086101B">
          <w:rPr>
            <w:rFonts w:ascii="Times New Roman" w:eastAsia="Times New Roman" w:hAnsi="Times New Roman" w:cs="Times New Roman"/>
            <w:color w:val="0000FF"/>
            <w:sz w:val="24"/>
            <w:szCs w:val="24"/>
            <w:u w:val="single"/>
            <w:lang w:eastAsia="en-IN"/>
          </w:rPr>
          <w:t>https://doi.org/10.1145/3677175</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Höltgen</w:t>
      </w:r>
      <w:proofErr w:type="spellEnd"/>
      <w:r w:rsidRPr="0086101B">
        <w:rPr>
          <w:rFonts w:ascii="Times New Roman" w:eastAsia="Times New Roman" w:hAnsi="Times New Roman" w:cs="Times New Roman"/>
          <w:sz w:val="24"/>
          <w:szCs w:val="24"/>
          <w:lang w:eastAsia="en-IN"/>
        </w:rPr>
        <w:t xml:space="preserve">, B., &amp; Oliver, N. (2025). Reconsidering Fairness Through Unawareness </w:t>
      </w:r>
      <w:proofErr w:type="gramStart"/>
      <w:r w:rsidRPr="0086101B">
        <w:rPr>
          <w:rFonts w:ascii="Times New Roman" w:eastAsia="Times New Roman" w:hAnsi="Times New Roman" w:cs="Times New Roman"/>
          <w:sz w:val="24"/>
          <w:szCs w:val="24"/>
          <w:lang w:eastAsia="en-IN"/>
        </w:rPr>
        <w:t>From</w:t>
      </w:r>
      <w:proofErr w:type="gramEnd"/>
      <w:r w:rsidRPr="0086101B">
        <w:rPr>
          <w:rFonts w:ascii="Times New Roman" w:eastAsia="Times New Roman" w:hAnsi="Times New Roman" w:cs="Times New Roman"/>
          <w:sz w:val="24"/>
          <w:szCs w:val="24"/>
          <w:lang w:eastAsia="en-IN"/>
        </w:rPr>
        <w:t xml:space="preserve"> the Perspective of Model Multiplicity. </w:t>
      </w:r>
      <w:r w:rsidRPr="0086101B">
        <w:rPr>
          <w:rFonts w:ascii="Times New Roman" w:eastAsia="Times New Roman" w:hAnsi="Times New Roman" w:cs="Times New Roman"/>
          <w:i/>
          <w:iCs/>
          <w:sz w:val="24"/>
          <w:szCs w:val="24"/>
          <w:lang w:eastAsia="en-IN"/>
        </w:rPr>
        <w:t>Proceedings of the 5th ACM Conference on Equity and Access in Algorithms, Mechanisms, and Optimization</w:t>
      </w:r>
      <w:r w:rsidRPr="0086101B">
        <w:rPr>
          <w:rFonts w:ascii="Times New Roman" w:eastAsia="Times New Roman" w:hAnsi="Times New Roman" w:cs="Times New Roman"/>
          <w:sz w:val="24"/>
          <w:szCs w:val="24"/>
          <w:lang w:eastAsia="en-IN"/>
        </w:rPr>
        <w:t xml:space="preserve">. </w:t>
      </w:r>
      <w:hyperlink r:id="rId104" w:history="1">
        <w:r w:rsidRPr="0086101B">
          <w:rPr>
            <w:rFonts w:ascii="Times New Roman" w:eastAsia="Times New Roman" w:hAnsi="Times New Roman" w:cs="Times New Roman"/>
            <w:color w:val="0000FF"/>
            <w:sz w:val="24"/>
            <w:szCs w:val="24"/>
            <w:u w:val="single"/>
            <w:lang w:eastAsia="en-IN"/>
          </w:rPr>
          <w:t>https://doi.org/10.1145/3757887.3763007</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Kilbertus</w:t>
      </w:r>
      <w:proofErr w:type="spellEnd"/>
      <w:r w:rsidRPr="0086101B">
        <w:rPr>
          <w:rFonts w:ascii="Times New Roman" w:eastAsia="Times New Roman" w:hAnsi="Times New Roman" w:cs="Times New Roman"/>
          <w:sz w:val="24"/>
          <w:szCs w:val="24"/>
          <w:lang w:eastAsia="en-IN"/>
        </w:rPr>
        <w:t xml:space="preserve">, N., </w:t>
      </w:r>
      <w:proofErr w:type="spellStart"/>
      <w:r w:rsidRPr="0086101B">
        <w:rPr>
          <w:rFonts w:ascii="Times New Roman" w:eastAsia="Times New Roman" w:hAnsi="Times New Roman" w:cs="Times New Roman"/>
          <w:sz w:val="24"/>
          <w:szCs w:val="24"/>
          <w:lang w:eastAsia="en-IN"/>
        </w:rPr>
        <w:t>Gascón</w:t>
      </w:r>
      <w:proofErr w:type="spellEnd"/>
      <w:r w:rsidRPr="0086101B">
        <w:rPr>
          <w:rFonts w:ascii="Times New Roman" w:eastAsia="Times New Roman" w:hAnsi="Times New Roman" w:cs="Times New Roman"/>
          <w:sz w:val="24"/>
          <w:szCs w:val="24"/>
          <w:lang w:eastAsia="en-IN"/>
        </w:rPr>
        <w:t xml:space="preserve">, A., </w:t>
      </w:r>
      <w:proofErr w:type="spellStart"/>
      <w:r w:rsidRPr="0086101B">
        <w:rPr>
          <w:rFonts w:ascii="Times New Roman" w:eastAsia="Times New Roman" w:hAnsi="Times New Roman" w:cs="Times New Roman"/>
          <w:sz w:val="24"/>
          <w:szCs w:val="24"/>
          <w:lang w:eastAsia="en-IN"/>
        </w:rPr>
        <w:t>Kusner</w:t>
      </w:r>
      <w:proofErr w:type="spellEnd"/>
      <w:r w:rsidRPr="0086101B">
        <w:rPr>
          <w:rFonts w:ascii="Times New Roman" w:eastAsia="Times New Roman" w:hAnsi="Times New Roman" w:cs="Times New Roman"/>
          <w:sz w:val="24"/>
          <w:szCs w:val="24"/>
          <w:lang w:eastAsia="en-IN"/>
        </w:rPr>
        <w:t xml:space="preserve">, M. J., Veale, M., </w:t>
      </w:r>
      <w:proofErr w:type="spellStart"/>
      <w:r w:rsidRPr="0086101B">
        <w:rPr>
          <w:rFonts w:ascii="Times New Roman" w:eastAsia="Times New Roman" w:hAnsi="Times New Roman" w:cs="Times New Roman"/>
          <w:sz w:val="24"/>
          <w:szCs w:val="24"/>
          <w:lang w:eastAsia="en-IN"/>
        </w:rPr>
        <w:t>Gummadi</w:t>
      </w:r>
      <w:proofErr w:type="spellEnd"/>
      <w:r w:rsidRPr="0086101B">
        <w:rPr>
          <w:rFonts w:ascii="Times New Roman" w:eastAsia="Times New Roman" w:hAnsi="Times New Roman" w:cs="Times New Roman"/>
          <w:sz w:val="24"/>
          <w:szCs w:val="24"/>
          <w:lang w:eastAsia="en-IN"/>
        </w:rPr>
        <w:t xml:space="preserve">, K., &amp; Weller, A. (2018). Blind Justice: Fairness with Encrypted Sensitive Attributes. 2635-2644. </w:t>
      </w:r>
      <w:hyperlink r:id="rId105" w:history="1">
        <w:r w:rsidRPr="0086101B">
          <w:rPr>
            <w:rFonts w:ascii="Times New Roman" w:eastAsia="Times New Roman" w:hAnsi="Times New Roman" w:cs="Times New Roman"/>
            <w:color w:val="0000FF"/>
            <w:sz w:val="24"/>
            <w:szCs w:val="24"/>
            <w:u w:val="single"/>
            <w:lang w:eastAsia="en-IN"/>
          </w:rPr>
          <w:t>https://doi.org/10.48550/arxiv.1806.03281</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Kuma, T., Kitamura, T., &amp; Takada, S. (2026). Individual Fairness Testing in Fairness through Unawareness. </w:t>
      </w:r>
      <w:r w:rsidRPr="0086101B">
        <w:rPr>
          <w:rFonts w:ascii="Times New Roman" w:eastAsia="Times New Roman" w:hAnsi="Times New Roman" w:cs="Times New Roman"/>
          <w:i/>
          <w:iCs/>
          <w:sz w:val="24"/>
          <w:szCs w:val="24"/>
          <w:lang w:eastAsia="en-IN"/>
        </w:rPr>
        <w:t>2026 IEEE International Conference on Software Testing, Verification and Validation (ICST)</w:t>
      </w:r>
      <w:r w:rsidRPr="0086101B">
        <w:rPr>
          <w:rFonts w:ascii="Times New Roman" w:eastAsia="Times New Roman" w:hAnsi="Times New Roman" w:cs="Times New Roman"/>
          <w:sz w:val="24"/>
          <w:szCs w:val="24"/>
          <w:lang w:eastAsia="en-IN"/>
        </w:rPr>
        <w:t xml:space="preserve">, 543-554. </w:t>
      </w:r>
      <w:hyperlink r:id="rId106" w:history="1">
        <w:r w:rsidRPr="0086101B">
          <w:rPr>
            <w:rFonts w:ascii="Times New Roman" w:eastAsia="Times New Roman" w:hAnsi="Times New Roman" w:cs="Times New Roman"/>
            <w:color w:val="0000FF"/>
            <w:sz w:val="24"/>
            <w:szCs w:val="24"/>
            <w:u w:val="single"/>
            <w:lang w:eastAsia="en-IN"/>
          </w:rPr>
          <w:t>https://doi.org/10.1109/icst69053.2026.00077</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Lindholm</w:t>
      </w:r>
      <w:proofErr w:type="spellEnd"/>
      <w:r w:rsidRPr="0086101B">
        <w:rPr>
          <w:rFonts w:ascii="Times New Roman" w:eastAsia="Times New Roman" w:hAnsi="Times New Roman" w:cs="Times New Roman"/>
          <w:sz w:val="24"/>
          <w:szCs w:val="24"/>
          <w:lang w:eastAsia="en-IN"/>
        </w:rPr>
        <w:t xml:space="preserve">, M., Richman, R., </w:t>
      </w:r>
      <w:proofErr w:type="spellStart"/>
      <w:r w:rsidRPr="0086101B">
        <w:rPr>
          <w:rFonts w:ascii="Times New Roman" w:eastAsia="Times New Roman" w:hAnsi="Times New Roman" w:cs="Times New Roman"/>
          <w:sz w:val="24"/>
          <w:szCs w:val="24"/>
          <w:lang w:eastAsia="en-IN"/>
        </w:rPr>
        <w:t>Tsanakas</w:t>
      </w:r>
      <w:proofErr w:type="spellEnd"/>
      <w:r w:rsidRPr="0086101B">
        <w:rPr>
          <w:rFonts w:ascii="Times New Roman" w:eastAsia="Times New Roman" w:hAnsi="Times New Roman" w:cs="Times New Roman"/>
          <w:sz w:val="24"/>
          <w:szCs w:val="24"/>
          <w:lang w:eastAsia="en-IN"/>
        </w:rPr>
        <w:t xml:space="preserve">, A., &amp; </w:t>
      </w:r>
      <w:proofErr w:type="spellStart"/>
      <w:r w:rsidRPr="0086101B">
        <w:rPr>
          <w:rFonts w:ascii="Times New Roman" w:eastAsia="Times New Roman" w:hAnsi="Times New Roman" w:cs="Times New Roman"/>
          <w:sz w:val="24"/>
          <w:szCs w:val="24"/>
          <w:lang w:eastAsia="en-IN"/>
        </w:rPr>
        <w:t>Wüthrich</w:t>
      </w:r>
      <w:proofErr w:type="spellEnd"/>
      <w:r w:rsidRPr="0086101B">
        <w:rPr>
          <w:rFonts w:ascii="Times New Roman" w:eastAsia="Times New Roman" w:hAnsi="Times New Roman" w:cs="Times New Roman"/>
          <w:sz w:val="24"/>
          <w:szCs w:val="24"/>
          <w:lang w:eastAsia="en-IN"/>
        </w:rPr>
        <w:t xml:space="preserve">, M. (2024). What is fair? Proxy discrimination vs. demographic disparities in insurance pricing. </w:t>
      </w:r>
      <w:r w:rsidRPr="0086101B">
        <w:rPr>
          <w:rFonts w:ascii="Times New Roman" w:eastAsia="Times New Roman" w:hAnsi="Times New Roman" w:cs="Times New Roman"/>
          <w:i/>
          <w:iCs/>
          <w:sz w:val="24"/>
          <w:szCs w:val="24"/>
          <w:lang w:eastAsia="en-IN"/>
        </w:rPr>
        <w:t>Scandinavian Actuarial Journal, 2024</w:t>
      </w:r>
      <w:r w:rsidRPr="0086101B">
        <w:rPr>
          <w:rFonts w:ascii="Times New Roman" w:eastAsia="Times New Roman" w:hAnsi="Times New Roman" w:cs="Times New Roman"/>
          <w:sz w:val="24"/>
          <w:szCs w:val="24"/>
          <w:lang w:eastAsia="en-IN"/>
        </w:rPr>
        <w:t xml:space="preserve">, 935 - 970. </w:t>
      </w:r>
      <w:hyperlink r:id="rId107" w:history="1">
        <w:r w:rsidRPr="0086101B">
          <w:rPr>
            <w:rFonts w:ascii="Times New Roman" w:eastAsia="Times New Roman" w:hAnsi="Times New Roman" w:cs="Times New Roman"/>
            <w:color w:val="0000FF"/>
            <w:sz w:val="24"/>
            <w:szCs w:val="24"/>
            <w:u w:val="single"/>
            <w:lang w:eastAsia="en-IN"/>
          </w:rPr>
          <w:t>https://doi.org/10.1080/03461238.2024.2364741</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Oneto</w:t>
      </w:r>
      <w:proofErr w:type="spellEnd"/>
      <w:r w:rsidRPr="0086101B">
        <w:rPr>
          <w:rFonts w:ascii="Times New Roman" w:eastAsia="Times New Roman" w:hAnsi="Times New Roman" w:cs="Times New Roman"/>
          <w:sz w:val="24"/>
          <w:szCs w:val="24"/>
          <w:lang w:eastAsia="en-IN"/>
        </w:rPr>
        <w:t xml:space="preserve">, L., &amp; </w:t>
      </w:r>
      <w:proofErr w:type="spellStart"/>
      <w:r w:rsidRPr="0086101B">
        <w:rPr>
          <w:rFonts w:ascii="Times New Roman" w:eastAsia="Times New Roman" w:hAnsi="Times New Roman" w:cs="Times New Roman"/>
          <w:sz w:val="24"/>
          <w:szCs w:val="24"/>
          <w:lang w:eastAsia="en-IN"/>
        </w:rPr>
        <w:t>Chiappa</w:t>
      </w:r>
      <w:proofErr w:type="spellEnd"/>
      <w:r w:rsidRPr="0086101B">
        <w:rPr>
          <w:rFonts w:ascii="Times New Roman" w:eastAsia="Times New Roman" w:hAnsi="Times New Roman" w:cs="Times New Roman"/>
          <w:sz w:val="24"/>
          <w:szCs w:val="24"/>
          <w:lang w:eastAsia="en-IN"/>
        </w:rPr>
        <w:t xml:space="preserve">, S. (2020). Fairness in Machine Learning. 155-196. </w:t>
      </w:r>
      <w:hyperlink r:id="rId108" w:history="1">
        <w:r w:rsidRPr="0086101B">
          <w:rPr>
            <w:rFonts w:ascii="Times New Roman" w:eastAsia="Times New Roman" w:hAnsi="Times New Roman" w:cs="Times New Roman"/>
            <w:color w:val="0000FF"/>
            <w:sz w:val="24"/>
            <w:szCs w:val="24"/>
            <w:u w:val="single"/>
            <w:lang w:eastAsia="en-IN"/>
          </w:rPr>
          <w:t>https://doi.org/10.1007/978-3-030-43883-8_7</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Veale, M., &amp; </w:t>
      </w:r>
      <w:proofErr w:type="spellStart"/>
      <w:r w:rsidRPr="0086101B">
        <w:rPr>
          <w:rFonts w:ascii="Times New Roman" w:eastAsia="Times New Roman" w:hAnsi="Times New Roman" w:cs="Times New Roman"/>
          <w:sz w:val="24"/>
          <w:szCs w:val="24"/>
          <w:lang w:eastAsia="en-IN"/>
        </w:rPr>
        <w:t>Binns</w:t>
      </w:r>
      <w:proofErr w:type="spellEnd"/>
      <w:r w:rsidRPr="0086101B">
        <w:rPr>
          <w:rFonts w:ascii="Times New Roman" w:eastAsia="Times New Roman" w:hAnsi="Times New Roman" w:cs="Times New Roman"/>
          <w:sz w:val="24"/>
          <w:szCs w:val="24"/>
          <w:lang w:eastAsia="en-IN"/>
        </w:rPr>
        <w:t xml:space="preserve">, R. (2017). Fairer machine learning in the real world: Mitigating discrimination without collecting sensitive data. </w:t>
      </w:r>
      <w:r w:rsidRPr="0086101B">
        <w:rPr>
          <w:rFonts w:ascii="Times New Roman" w:eastAsia="Times New Roman" w:hAnsi="Times New Roman" w:cs="Times New Roman"/>
          <w:i/>
          <w:iCs/>
          <w:sz w:val="24"/>
          <w:szCs w:val="24"/>
          <w:lang w:eastAsia="en-IN"/>
        </w:rPr>
        <w:t>Big Data &amp; Society, 4</w:t>
      </w:r>
      <w:r w:rsidRPr="0086101B">
        <w:rPr>
          <w:rFonts w:ascii="Times New Roman" w:eastAsia="Times New Roman" w:hAnsi="Times New Roman" w:cs="Times New Roman"/>
          <w:sz w:val="24"/>
          <w:szCs w:val="24"/>
          <w:lang w:eastAsia="en-IN"/>
        </w:rPr>
        <w:t xml:space="preserve">. </w:t>
      </w:r>
      <w:hyperlink r:id="rId109" w:history="1">
        <w:r w:rsidRPr="0086101B">
          <w:rPr>
            <w:rFonts w:ascii="Times New Roman" w:eastAsia="Times New Roman" w:hAnsi="Times New Roman" w:cs="Times New Roman"/>
            <w:color w:val="0000FF"/>
            <w:sz w:val="24"/>
            <w:szCs w:val="24"/>
            <w:u w:val="single"/>
            <w:lang w:eastAsia="en-IN"/>
          </w:rPr>
          <w:t>https://doi.org/10.1177/2053951717743530</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lastRenderedPageBreak/>
        <w:t xml:space="preserve">Xu, Y., &amp; Zhang, X. (2026). An end-to-end fairness framework based on counterfactual reasoning: auditing, diagnosis, and mitigation. </w:t>
      </w:r>
      <w:r w:rsidRPr="0086101B">
        <w:rPr>
          <w:rFonts w:ascii="Times New Roman" w:eastAsia="Times New Roman" w:hAnsi="Times New Roman" w:cs="Times New Roman"/>
          <w:i/>
          <w:iCs/>
          <w:sz w:val="24"/>
          <w:szCs w:val="24"/>
          <w:lang w:eastAsia="en-IN"/>
        </w:rPr>
        <w:t>Advances in Engineering Innovation</w:t>
      </w:r>
      <w:r w:rsidRPr="0086101B">
        <w:rPr>
          <w:rFonts w:ascii="Times New Roman" w:eastAsia="Times New Roman" w:hAnsi="Times New Roman" w:cs="Times New Roman"/>
          <w:sz w:val="24"/>
          <w:szCs w:val="24"/>
          <w:lang w:eastAsia="en-IN"/>
        </w:rPr>
        <w:t xml:space="preserve">. </w:t>
      </w:r>
      <w:hyperlink r:id="rId110" w:history="1">
        <w:r w:rsidRPr="0086101B">
          <w:rPr>
            <w:rFonts w:ascii="Times New Roman" w:eastAsia="Times New Roman" w:hAnsi="Times New Roman" w:cs="Times New Roman"/>
            <w:color w:val="0000FF"/>
            <w:sz w:val="24"/>
            <w:szCs w:val="24"/>
            <w:u w:val="single"/>
            <w:lang w:eastAsia="en-IN"/>
          </w:rPr>
          <w:t>https://doi.org/10.54254/2977-3903/2026.31838</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Zhu, Z., Yao, Y., Sun, J., Li, H., &amp; Liu, Y. (2022). Weak Proxies </w:t>
      </w:r>
      <w:proofErr w:type="gramStart"/>
      <w:r w:rsidRPr="0086101B">
        <w:rPr>
          <w:rFonts w:ascii="Times New Roman" w:eastAsia="Times New Roman" w:hAnsi="Times New Roman" w:cs="Times New Roman"/>
          <w:sz w:val="24"/>
          <w:szCs w:val="24"/>
          <w:lang w:eastAsia="en-IN"/>
        </w:rPr>
        <w:t>are</w:t>
      </w:r>
      <w:proofErr w:type="gramEnd"/>
      <w:r w:rsidRPr="0086101B">
        <w:rPr>
          <w:rFonts w:ascii="Times New Roman" w:eastAsia="Times New Roman" w:hAnsi="Times New Roman" w:cs="Times New Roman"/>
          <w:sz w:val="24"/>
          <w:szCs w:val="24"/>
          <w:lang w:eastAsia="en-IN"/>
        </w:rPr>
        <w:t xml:space="preserve"> Sufficient and Preferable for Fairness with Missing Sensitive Attributes. 43258-43288. </w:t>
      </w:r>
      <w:hyperlink r:id="rId111" w:history="1">
        <w:r w:rsidRPr="0086101B">
          <w:rPr>
            <w:rFonts w:ascii="Times New Roman" w:eastAsia="Times New Roman" w:hAnsi="Times New Roman" w:cs="Times New Roman"/>
            <w:color w:val="0000FF"/>
            <w:sz w:val="24"/>
            <w:szCs w:val="24"/>
            <w:u w:val="single"/>
            <w:lang w:eastAsia="en-IN"/>
          </w:rPr>
          <w:t>https://doi.org/10.48550/arxiv.2210.03175</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Zhu, Z., Yao, Y., Sun, J., Liu, Y., &amp; Li, H. (2022). Evaluating Fairness Without Sensitive Attributes: A Framework Using Only Auxiliary Models. </w:t>
      </w:r>
      <w:proofErr w:type="spellStart"/>
      <w:r w:rsidRPr="0086101B">
        <w:rPr>
          <w:rFonts w:ascii="Times New Roman" w:eastAsia="Times New Roman" w:hAnsi="Times New Roman" w:cs="Times New Roman"/>
          <w:i/>
          <w:iCs/>
          <w:sz w:val="24"/>
          <w:szCs w:val="24"/>
          <w:lang w:eastAsia="en-IN"/>
        </w:rPr>
        <w:t>ArXiv</w:t>
      </w:r>
      <w:proofErr w:type="spellEnd"/>
      <w:r w:rsidRPr="0086101B">
        <w:rPr>
          <w:rFonts w:ascii="Times New Roman" w:eastAsia="Times New Roman" w:hAnsi="Times New Roman" w:cs="Times New Roman"/>
          <w:i/>
          <w:iCs/>
          <w:sz w:val="24"/>
          <w:szCs w:val="24"/>
          <w:lang w:eastAsia="en-IN"/>
        </w:rPr>
        <w:t>, abs/2210.03175</w:t>
      </w:r>
      <w:r w:rsidRPr="0086101B">
        <w:rPr>
          <w:rFonts w:ascii="Times New Roman" w:eastAsia="Times New Roman" w:hAnsi="Times New Roman" w:cs="Times New Roman"/>
          <w:sz w:val="24"/>
          <w:szCs w:val="24"/>
          <w:lang w:eastAsia="en-IN"/>
        </w:rPr>
        <w:t xml:space="preserve">. </w:t>
      </w:r>
      <w:hyperlink r:id="rId112" w:history="1">
        <w:r w:rsidRPr="0086101B">
          <w:rPr>
            <w:rFonts w:ascii="Times New Roman" w:eastAsia="Times New Roman" w:hAnsi="Times New Roman" w:cs="Times New Roman"/>
            <w:color w:val="0000FF"/>
            <w:sz w:val="24"/>
            <w:szCs w:val="24"/>
            <w:u w:val="single"/>
            <w:lang w:eastAsia="en-IN"/>
          </w:rPr>
          <w:t>https://doi.org/10.48550/arxiv.2210.03175</w:t>
        </w:r>
      </w:hyperlink>
    </w:p>
    <w:p w:rsidR="0086101B" w:rsidRDefault="0086101B"/>
    <w:p w:rsidR="0086101B" w:rsidRDefault="0086101B"/>
    <w:p w:rsidR="0086101B" w:rsidRDefault="0086101B"/>
    <w:p w:rsidR="0086101B" w:rsidRDefault="0086101B"/>
    <w:p w:rsidR="0086101B" w:rsidRDefault="0086101B" w:rsidP="0086101B">
      <w:pPr>
        <w:pStyle w:val="Heading1"/>
      </w:pPr>
      <w:r>
        <w:t xml:space="preserve">Human-in-the-loop thresholds route cases to </w:t>
      </w:r>
      <w:r>
        <w:rPr>
          <w:rStyle w:val="Strong"/>
          <w:b/>
          <w:bCs/>
        </w:rPr>
        <w:t>manual review</w:t>
      </w:r>
      <w:r>
        <w:t xml:space="preserve"> using </w:t>
      </w:r>
      <w:r>
        <w:rPr>
          <w:rStyle w:val="Strong"/>
          <w:b/>
          <w:bCs/>
        </w:rPr>
        <w:t>double-threshold policies, cost-aware deferral, and learned routing rules</w:t>
      </w:r>
      <w:r>
        <w:t>.</w:t>
      </w:r>
    </w:p>
    <w:p w:rsidR="0086101B" w:rsidRDefault="0086101B" w:rsidP="0086101B">
      <w:pPr>
        <w:pStyle w:val="NormalWeb"/>
      </w:pPr>
      <w:r>
        <w:t xml:space="preserve">Human-in-the-loop (HITL) frameworks define routing thresholds across three dimensions: </w:t>
      </w:r>
      <w:r>
        <w:rPr>
          <w:rStyle w:val="Strong"/>
        </w:rPr>
        <w:t>double-threshold score policies</w:t>
      </w:r>
      <w:r>
        <w:t xml:space="preserve">, </w:t>
      </w:r>
      <w:r>
        <w:rPr>
          <w:rStyle w:val="Strong"/>
        </w:rPr>
        <w:t>cost-aware and asymmetric deferral</w:t>
      </w:r>
      <w:r>
        <w:t xml:space="preserve">, and </w:t>
      </w:r>
      <w:r>
        <w:rPr>
          <w:rStyle w:val="Strong"/>
        </w:rPr>
        <w:t>learned versus rule-based routing</w:t>
      </w:r>
      <w:r>
        <w:t>.</w:t>
      </w:r>
    </w:p>
    <w:p w:rsidR="0086101B" w:rsidRDefault="0086101B" w:rsidP="0086101B">
      <w:pPr>
        <w:pStyle w:val="NormalWeb"/>
      </w:pPr>
      <w:r>
        <w:t>&lt;</w:t>
      </w:r>
      <w:proofErr w:type="spellStart"/>
      <w:r>
        <w:t>mermaid_diagram</w:t>
      </w:r>
      <w:proofErr w:type="spellEnd"/>
      <w:r>
        <w:t xml:space="preserve"> chart="flowchart LR; A[Input Case] --&gt; B{Score vs Thresholds}; B --&gt;|High Confidence| C[Auto-Decide]; B --&gt;|Mid Confidence| D[</w:t>
      </w:r>
      <w:proofErr w:type="spellStart"/>
      <w:r>
        <w:t>Async</w:t>
      </w:r>
      <w:proofErr w:type="spellEnd"/>
      <w:r>
        <w:t xml:space="preserve"> Audit]; B --&gt;|Low Confidence| E[Human Review]; C --&gt; F[Log Outcome]; D --&gt; F; E --&gt; F; F --&gt; G[Update Policy]" title="HITL Threshold Routing Workflow" descriptions='@@</w:t>
      </w:r>
      <w:proofErr w:type="spellStart"/>
      <w:r>
        <w:t>json</w:t>
      </w:r>
      <w:proofErr w:type="spellEnd"/>
      <w:r>
        <w:t xml:space="preserve">@@:{"Input </w:t>
      </w:r>
      <w:proofErr w:type="spellStart"/>
      <w:r>
        <w:t>Case":"Applicant</w:t>
      </w:r>
      <w:proofErr w:type="spellEnd"/>
      <w:r>
        <w:t xml:space="preserve"> data enters the automated decision </w:t>
      </w:r>
      <w:proofErr w:type="spellStart"/>
      <w:r>
        <w:t>pipeline.","Score</w:t>
      </w:r>
      <w:proofErr w:type="spellEnd"/>
      <w:r>
        <w:t xml:space="preserve"> vs </w:t>
      </w:r>
      <w:proofErr w:type="spellStart"/>
      <w:r>
        <w:t>Thresholds":"Model</w:t>
      </w:r>
      <w:proofErr w:type="spellEnd"/>
      <w:r>
        <w:t xml:space="preserve"> confidence or risk score is evaluated against calibrated upper and lower </w:t>
      </w:r>
      <w:proofErr w:type="spellStart"/>
      <w:r>
        <w:t>bounds.","Auto-Decide":"High-confidence</w:t>
      </w:r>
      <w:proofErr w:type="spellEnd"/>
      <w:r>
        <w:t xml:space="preserve"> cases receive an automated approval or rejection.","</w:t>
      </w:r>
      <w:proofErr w:type="spellStart"/>
      <w:r>
        <w:t>Async</w:t>
      </w:r>
      <w:proofErr w:type="spellEnd"/>
      <w:r>
        <w:t xml:space="preserve"> </w:t>
      </w:r>
      <w:proofErr w:type="spellStart"/>
      <w:r>
        <w:t>Audit":"Mid-confidence</w:t>
      </w:r>
      <w:proofErr w:type="spellEnd"/>
      <w:r>
        <w:t xml:space="preserve"> cases proceed but are flagged for post-hoc </w:t>
      </w:r>
      <w:proofErr w:type="spellStart"/>
      <w:r>
        <w:t>review.","Human</w:t>
      </w:r>
      <w:proofErr w:type="spellEnd"/>
      <w:r>
        <w:t xml:space="preserve"> </w:t>
      </w:r>
      <w:proofErr w:type="spellStart"/>
      <w:r>
        <w:t>Review":"Low-confidence</w:t>
      </w:r>
      <w:proofErr w:type="spellEnd"/>
      <w:r>
        <w:t xml:space="preserve"> or high-risk cases halt and escalate to a human </w:t>
      </w:r>
      <w:proofErr w:type="spellStart"/>
      <w:r>
        <w:t>operator.","Update</w:t>
      </w:r>
      <w:proofErr w:type="spellEnd"/>
      <w:r>
        <w:t xml:space="preserve"> </w:t>
      </w:r>
      <w:proofErr w:type="spellStart"/>
      <w:r>
        <w:t>Policy":"Outcomes</w:t>
      </w:r>
      <w:proofErr w:type="spellEnd"/>
      <w:r>
        <w:t xml:space="preserve"> and human corrections </w:t>
      </w:r>
      <w:proofErr w:type="spellStart"/>
      <w:r>
        <w:t>feed back</w:t>
      </w:r>
      <w:proofErr w:type="spellEnd"/>
      <w:r>
        <w:t xml:space="preserve"> to refine future thresholds."}' /&gt; </w:t>
      </w:r>
      <w:r>
        <w:rPr>
          <w:rStyle w:val="Strong"/>
        </w:rPr>
        <w:t>Figure 1:</w:t>
      </w:r>
      <w:r>
        <w:t xml:space="preserve"> Workflow for routing cases based on confidence thresholds</w:t>
      </w:r>
    </w:p>
    <w:p w:rsidR="0086101B" w:rsidRDefault="0086101B" w:rsidP="0086101B">
      <w:pPr>
        <w:pStyle w:val="Heading2"/>
      </w:pPr>
      <w:r>
        <w:t>Double-Threshold Score Policies</w:t>
      </w:r>
    </w:p>
    <w:p w:rsidR="0086101B" w:rsidRDefault="0086101B" w:rsidP="0086101B">
      <w:pPr>
        <w:pStyle w:val="NormalWeb"/>
      </w:pPr>
      <w:r>
        <w:t xml:space="preserve">The most prominent routing framework uses a </w:t>
      </w:r>
      <w:r>
        <w:rPr>
          <w:rStyle w:val="Strong"/>
        </w:rPr>
        <w:t>double-threshold policy</w:t>
      </w:r>
      <w:r>
        <w:t>, where a lower and upper bound automatically accept or reject high-confidence cases while routing ambiguous middle-scoring instances to human reviewers (</w:t>
      </w:r>
      <w:proofErr w:type="spellStart"/>
      <w:r>
        <w:t>Muric</w:t>
      </w:r>
      <w:proofErr w:type="spellEnd"/>
      <w:r>
        <w:t xml:space="preserve"> &amp; Minton, 2026). This approach optimizes the trade-off between system accuracy and the cost of human intervention, </w:t>
      </w:r>
      <w:r>
        <w:lastRenderedPageBreak/>
        <w:t>revealing regions of diminishing returns where additional review yields minimal benefit (</w:t>
      </w:r>
      <w:proofErr w:type="spellStart"/>
      <w:r>
        <w:t>Muric</w:t>
      </w:r>
      <w:proofErr w:type="spellEnd"/>
      <w:r>
        <w:t xml:space="preserve"> &amp; Minton, 2026). In agentic AI workflows, a similar three-state routing mechanism uses a composite Contextual Confidence Score to route decisions to autonomous execution, asynchronous audit, or immediate human escalation based on two calibrated thresholds (Kumar &amp; Singh, 2026). The gap between these thresholds is intentionally maintained to prevent threshold-boundary oscillation where small score perturbations cause repeated routing changes (Kumar &amp; Singh, 2026).</w:t>
      </w:r>
    </w:p>
    <w:p w:rsidR="0086101B" w:rsidRDefault="0086101B" w:rsidP="0086101B">
      <w:pPr>
        <w:pStyle w:val="Heading2"/>
      </w:pPr>
      <w:r>
        <w:t>Cost-Aware and Asymmetric Deferral</w:t>
      </w:r>
    </w:p>
    <w:p w:rsidR="0086101B" w:rsidRDefault="0086101B" w:rsidP="0086101B">
      <w:pPr>
        <w:pStyle w:val="NormalWeb"/>
      </w:pPr>
      <w:r>
        <w:t xml:space="preserve">Threshold frameworks increasingly incorporate explicit operational costs to determine when deferral is economically justified. Cost-sensitive threshold optimization evaluates the total expected cost of false positives, false negatives, and review costs combined, rather than relying on accuracy metrics alone (Mahmud, 2026). In clinical triage, conformal prediction frameworks combine calibrated probabilistic </w:t>
      </w:r>
      <w:proofErr w:type="spellStart"/>
      <w:r>
        <w:t>modeling</w:t>
      </w:r>
      <w:proofErr w:type="spellEnd"/>
      <w:r>
        <w:t xml:space="preserve"> with cost-aware deferral, routing low-confidence cases to clinicians only when doing so reduces an explicit expected clinical cost (Kwon &amp; Kim, 2026). Asymmetric abstention intervals are better suited for highly imbalanced biomedical data, allowing systems to reject fewer samples while maintaining classification performance (</w:t>
      </w:r>
      <w:proofErr w:type="spellStart"/>
      <w:r>
        <w:t>Gandouz</w:t>
      </w:r>
      <w:proofErr w:type="spellEnd"/>
      <w:r>
        <w:t xml:space="preserve"> et al., 2021). Furthermore, selective friction frameworks present high-uncertainty predictions with salient warnings rather than fully abstaining, which is legally preferable under equality laws as it preserves access to the prediction (</w:t>
      </w:r>
      <w:proofErr w:type="spellStart"/>
      <w:r>
        <w:t>Sargeant</w:t>
      </w:r>
      <w:proofErr w:type="spellEnd"/>
      <w:r>
        <w:t xml:space="preserve"> et al., 2025).</w:t>
      </w:r>
    </w:p>
    <w:p w:rsidR="0086101B" w:rsidRDefault="0086101B" w:rsidP="0086101B">
      <w:pPr>
        <w:pStyle w:val="Heading2"/>
      </w:pPr>
      <w:r>
        <w:t>Learned Versus Rule-Based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156"/>
        <w:gridCol w:w="2549"/>
        <w:gridCol w:w="2534"/>
      </w:tblGrid>
      <w:tr w:rsidR="0086101B" w:rsidTr="0086101B">
        <w:trPr>
          <w:tblHeader/>
          <w:tblCellSpacing w:w="15" w:type="dxa"/>
        </w:trPr>
        <w:tc>
          <w:tcPr>
            <w:tcW w:w="0" w:type="auto"/>
            <w:vAlign w:val="center"/>
            <w:hideMark/>
          </w:tcPr>
          <w:p w:rsidR="0086101B" w:rsidRDefault="0086101B">
            <w:pPr>
              <w:jc w:val="center"/>
              <w:rPr>
                <w:b/>
                <w:bCs/>
              </w:rPr>
            </w:pPr>
            <w:r>
              <w:rPr>
                <w:b/>
                <w:bCs/>
              </w:rPr>
              <w:t>Routing Mechanism</w:t>
            </w:r>
          </w:p>
        </w:tc>
        <w:tc>
          <w:tcPr>
            <w:tcW w:w="0" w:type="auto"/>
            <w:vAlign w:val="center"/>
            <w:hideMark/>
          </w:tcPr>
          <w:p w:rsidR="0086101B" w:rsidRDefault="0086101B">
            <w:pPr>
              <w:jc w:val="center"/>
              <w:rPr>
                <w:b/>
                <w:bCs/>
              </w:rPr>
            </w:pPr>
            <w:r>
              <w:rPr>
                <w:b/>
                <w:bCs/>
              </w:rPr>
              <w:t>Trigger Logic</w:t>
            </w:r>
          </w:p>
        </w:tc>
        <w:tc>
          <w:tcPr>
            <w:tcW w:w="0" w:type="auto"/>
            <w:vAlign w:val="center"/>
            <w:hideMark/>
          </w:tcPr>
          <w:p w:rsidR="0086101B" w:rsidRDefault="0086101B">
            <w:pPr>
              <w:jc w:val="center"/>
              <w:rPr>
                <w:b/>
                <w:bCs/>
              </w:rPr>
            </w:pPr>
            <w:r>
              <w:rPr>
                <w:b/>
                <w:bCs/>
              </w:rPr>
              <w:t>Key Advantage</w:t>
            </w:r>
          </w:p>
        </w:tc>
        <w:tc>
          <w:tcPr>
            <w:tcW w:w="0" w:type="auto"/>
            <w:vAlign w:val="center"/>
            <w:hideMark/>
          </w:tcPr>
          <w:p w:rsidR="0086101B" w:rsidRDefault="0086101B">
            <w:pPr>
              <w:jc w:val="center"/>
              <w:rPr>
                <w:b/>
                <w:bCs/>
              </w:rPr>
            </w:pPr>
            <w:r>
              <w:rPr>
                <w:b/>
                <w:bCs/>
              </w:rPr>
              <w:t>Citations</w:t>
            </w:r>
          </w:p>
        </w:tc>
      </w:tr>
      <w:tr w:rsidR="0086101B" w:rsidTr="0086101B">
        <w:trPr>
          <w:tblCellSpacing w:w="15" w:type="dxa"/>
        </w:trPr>
        <w:tc>
          <w:tcPr>
            <w:tcW w:w="0" w:type="auto"/>
            <w:vAlign w:val="center"/>
            <w:hideMark/>
          </w:tcPr>
          <w:p w:rsidR="0086101B" w:rsidRDefault="0086101B">
            <w:r>
              <w:rPr>
                <w:rStyle w:val="Strong"/>
              </w:rPr>
              <w:t>Confidence Threshold</w:t>
            </w:r>
          </w:p>
        </w:tc>
        <w:tc>
          <w:tcPr>
            <w:tcW w:w="0" w:type="auto"/>
            <w:vAlign w:val="center"/>
            <w:hideMark/>
          </w:tcPr>
          <w:p w:rsidR="0086101B" w:rsidRDefault="0086101B">
            <w:r>
              <w:t xml:space="preserve">Static score </w:t>
            </w:r>
            <w:proofErr w:type="spellStart"/>
            <w:r>
              <w:t>cutoff</w:t>
            </w:r>
            <w:proofErr w:type="spellEnd"/>
          </w:p>
        </w:tc>
        <w:tc>
          <w:tcPr>
            <w:tcW w:w="0" w:type="auto"/>
            <w:vAlign w:val="center"/>
            <w:hideMark/>
          </w:tcPr>
          <w:p w:rsidR="0086101B" w:rsidRDefault="0086101B">
            <w:r>
              <w:t>Simple to implement</w:t>
            </w:r>
          </w:p>
        </w:tc>
        <w:tc>
          <w:tcPr>
            <w:tcW w:w="0" w:type="auto"/>
            <w:vAlign w:val="center"/>
            <w:hideMark/>
          </w:tcPr>
          <w:p w:rsidR="0086101B" w:rsidRDefault="0086101B">
            <w:r>
              <w:t>(</w:t>
            </w:r>
            <w:proofErr w:type="spellStart"/>
            <w:r>
              <w:t>Albalawi</w:t>
            </w:r>
            <w:proofErr w:type="spellEnd"/>
            <w:r>
              <w:t xml:space="preserve"> &amp; </w:t>
            </w:r>
            <w:proofErr w:type="spellStart"/>
            <w:r>
              <w:t>Alzahrani</w:t>
            </w:r>
            <w:proofErr w:type="spellEnd"/>
            <w:r>
              <w:t>, 2026; Sinha et al., 2026)</w:t>
            </w:r>
          </w:p>
        </w:tc>
      </w:tr>
      <w:tr w:rsidR="0086101B" w:rsidTr="0086101B">
        <w:trPr>
          <w:tblCellSpacing w:w="15" w:type="dxa"/>
        </w:trPr>
        <w:tc>
          <w:tcPr>
            <w:tcW w:w="0" w:type="auto"/>
            <w:vAlign w:val="center"/>
            <w:hideMark/>
          </w:tcPr>
          <w:p w:rsidR="0086101B" w:rsidRDefault="0086101B">
            <w:r>
              <w:rPr>
                <w:rStyle w:val="Strong"/>
              </w:rPr>
              <w:t>Learned Deferral Policy</w:t>
            </w:r>
          </w:p>
        </w:tc>
        <w:tc>
          <w:tcPr>
            <w:tcW w:w="0" w:type="auto"/>
            <w:vAlign w:val="center"/>
            <w:hideMark/>
          </w:tcPr>
          <w:p w:rsidR="0086101B" w:rsidRDefault="0086101B">
            <w:r>
              <w:t>Predicts likelihood of model error</w:t>
            </w:r>
          </w:p>
        </w:tc>
        <w:tc>
          <w:tcPr>
            <w:tcW w:w="0" w:type="auto"/>
            <w:vAlign w:val="center"/>
            <w:hideMark/>
          </w:tcPr>
          <w:p w:rsidR="0086101B" w:rsidRDefault="0086101B">
            <w:r>
              <w:t>Optimizes constrained review budgets</w:t>
            </w:r>
          </w:p>
        </w:tc>
        <w:tc>
          <w:tcPr>
            <w:tcW w:w="0" w:type="auto"/>
            <w:vAlign w:val="center"/>
            <w:hideMark/>
          </w:tcPr>
          <w:p w:rsidR="0086101B" w:rsidRDefault="0086101B">
            <w:r>
              <w:t>(</w:t>
            </w:r>
            <w:proofErr w:type="spellStart"/>
            <w:r>
              <w:t>Albalawi</w:t>
            </w:r>
            <w:proofErr w:type="spellEnd"/>
            <w:r>
              <w:t xml:space="preserve"> &amp; </w:t>
            </w:r>
            <w:proofErr w:type="spellStart"/>
            <w:r>
              <w:t>Alzahrani</w:t>
            </w:r>
            <w:proofErr w:type="spellEnd"/>
            <w:r>
              <w:t>, 2026)</w:t>
            </w:r>
          </w:p>
        </w:tc>
      </w:tr>
      <w:tr w:rsidR="0086101B" w:rsidTr="0086101B">
        <w:trPr>
          <w:tblCellSpacing w:w="15" w:type="dxa"/>
        </w:trPr>
        <w:tc>
          <w:tcPr>
            <w:tcW w:w="0" w:type="auto"/>
            <w:vAlign w:val="center"/>
            <w:hideMark/>
          </w:tcPr>
          <w:p w:rsidR="0086101B" w:rsidRDefault="0086101B">
            <w:r>
              <w:rPr>
                <w:rStyle w:val="Strong"/>
              </w:rPr>
              <w:t>Fairness-Based Abstention</w:t>
            </w:r>
          </w:p>
        </w:tc>
        <w:tc>
          <w:tcPr>
            <w:tcW w:w="0" w:type="auto"/>
            <w:vAlign w:val="center"/>
            <w:hideMark/>
          </w:tcPr>
          <w:p w:rsidR="0086101B" w:rsidRDefault="0086101B">
            <w:r>
              <w:t>Rejects potentially unfair predictions</w:t>
            </w:r>
          </w:p>
        </w:tc>
        <w:tc>
          <w:tcPr>
            <w:tcW w:w="0" w:type="auto"/>
            <w:vAlign w:val="center"/>
            <w:hideMark/>
          </w:tcPr>
          <w:p w:rsidR="0086101B" w:rsidRDefault="0086101B">
            <w:r>
              <w:t>Reduces demographic group disparities</w:t>
            </w:r>
          </w:p>
        </w:tc>
        <w:tc>
          <w:tcPr>
            <w:tcW w:w="0" w:type="auto"/>
            <w:vAlign w:val="center"/>
            <w:hideMark/>
          </w:tcPr>
          <w:p w:rsidR="0086101B" w:rsidRDefault="0086101B">
            <w:r>
              <w:t>(Lenders et al., 2025)</w:t>
            </w:r>
          </w:p>
        </w:tc>
      </w:tr>
      <w:tr w:rsidR="0086101B" w:rsidTr="0086101B">
        <w:trPr>
          <w:tblCellSpacing w:w="15" w:type="dxa"/>
        </w:trPr>
        <w:tc>
          <w:tcPr>
            <w:tcW w:w="0" w:type="auto"/>
            <w:vAlign w:val="center"/>
            <w:hideMark/>
          </w:tcPr>
          <w:p w:rsidR="0086101B" w:rsidRDefault="0086101B">
            <w:r>
              <w:rPr>
                <w:rStyle w:val="Strong"/>
              </w:rPr>
              <w:t>Cascaded LLM Deferral</w:t>
            </w:r>
          </w:p>
        </w:tc>
        <w:tc>
          <w:tcPr>
            <w:tcW w:w="0" w:type="auto"/>
            <w:vAlign w:val="center"/>
            <w:hideMark/>
          </w:tcPr>
          <w:p w:rsidR="0086101B" w:rsidRDefault="0086101B">
            <w:r>
              <w:t>Escalates to larger model or human</w:t>
            </w:r>
          </w:p>
        </w:tc>
        <w:tc>
          <w:tcPr>
            <w:tcW w:w="0" w:type="auto"/>
            <w:vAlign w:val="center"/>
            <w:hideMark/>
          </w:tcPr>
          <w:p w:rsidR="0086101B" w:rsidRDefault="0086101B">
            <w:r>
              <w:t>Balances accuracy and computational cost</w:t>
            </w:r>
          </w:p>
        </w:tc>
        <w:tc>
          <w:tcPr>
            <w:tcW w:w="0" w:type="auto"/>
            <w:vAlign w:val="center"/>
            <w:hideMark/>
          </w:tcPr>
          <w:p w:rsidR="0086101B" w:rsidRDefault="0086101B">
            <w:r>
              <w:t>(</w:t>
            </w:r>
            <w:proofErr w:type="spellStart"/>
            <w:r>
              <w:t>Fanconi</w:t>
            </w:r>
            <w:proofErr w:type="spellEnd"/>
            <w:r>
              <w:t xml:space="preserve"> &amp; </w:t>
            </w:r>
            <w:proofErr w:type="spellStart"/>
            <w:r>
              <w:t>Schaar</w:t>
            </w:r>
            <w:proofErr w:type="spellEnd"/>
            <w:r>
              <w:t>, 2025)</w:t>
            </w:r>
          </w:p>
        </w:tc>
      </w:tr>
    </w:tbl>
    <w:p w:rsidR="0086101B" w:rsidRDefault="0086101B" w:rsidP="0086101B">
      <w:pPr>
        <w:pStyle w:val="NormalWeb"/>
      </w:pPr>
      <w:r>
        <w:rPr>
          <w:rStyle w:val="Strong"/>
        </w:rPr>
        <w:t>Figure 2:</w:t>
      </w:r>
      <w:r>
        <w:t xml:space="preserve"> Comparison of routing mechanisms for manual review</w:t>
      </w:r>
    </w:p>
    <w:p w:rsidR="0086101B" w:rsidRDefault="0086101B" w:rsidP="0086101B">
      <w:pPr>
        <w:pStyle w:val="NormalWeb"/>
      </w:pPr>
      <w:r>
        <w:t>Rather than relying on fixed confidence thresholds, learning-to-defer approaches train models to decide whether a prediction should be automated or deferred for review (</w:t>
      </w:r>
      <w:proofErr w:type="spellStart"/>
      <w:r>
        <w:t>Albalawi</w:t>
      </w:r>
      <w:proofErr w:type="spellEnd"/>
      <w:r>
        <w:t xml:space="preserve"> &amp; </w:t>
      </w:r>
      <w:proofErr w:type="spellStart"/>
      <w:r>
        <w:t>Alzahrani</w:t>
      </w:r>
      <w:proofErr w:type="spellEnd"/>
      <w:r>
        <w:t>, 2026). Learned deferral policies predict the likelihood of model error from multiple signals, including confidence, entropy, and calibration-aware features, applying deferral decisions under fixed review budgets (</w:t>
      </w:r>
      <w:proofErr w:type="spellStart"/>
      <w:r>
        <w:t>Albalawi</w:t>
      </w:r>
      <w:proofErr w:type="spellEnd"/>
      <w:r>
        <w:t xml:space="preserve"> &amp; </w:t>
      </w:r>
      <w:proofErr w:type="spellStart"/>
      <w:r>
        <w:t>Alzahrani</w:t>
      </w:r>
      <w:proofErr w:type="spellEnd"/>
      <w:r>
        <w:t xml:space="preserve">, 2026). In fairness-critical domains, Interpretable and Fair Abstaining Classifiers reject predictions based on </w:t>
      </w:r>
      <w:r>
        <w:lastRenderedPageBreak/>
        <w:t>both uncertainty and unfairness, using rule-based fairness checks to empower human decision-makers to review potentially discriminatory outcomes (Lenders et al., 2025). Cascaded LLM frameworks implement multi-tier decision systems where a deferral policy determines whether to accept a base model's answer or escalate to a larger model, and an abstention policy decides whether to defer to a human expert (</w:t>
      </w:r>
      <w:proofErr w:type="spellStart"/>
      <w:r>
        <w:t>Fanconi</w:t>
      </w:r>
      <w:proofErr w:type="spellEnd"/>
      <w:r>
        <w:t xml:space="preserve"> &amp; </w:t>
      </w:r>
      <w:proofErr w:type="spellStart"/>
      <w:r>
        <w:t>Schaar</w:t>
      </w:r>
      <w:proofErr w:type="spellEnd"/>
      <w:r>
        <w:t>, 2025).</w:t>
      </w:r>
    </w:p>
    <w:p w:rsidR="0086101B" w:rsidRDefault="0086101B" w:rsidP="0086101B">
      <w:pPr>
        <w:pStyle w:val="NormalWeb"/>
      </w:pPr>
      <w:r>
        <w:rPr>
          <w:rStyle w:val="Emphasis"/>
        </w:rPr>
        <w:t xml:space="preserve">These search results were found and </w:t>
      </w:r>
      <w:proofErr w:type="spellStart"/>
      <w:r>
        <w:rPr>
          <w:rStyle w:val="Emphasis"/>
        </w:rPr>
        <w:t>analyzed</w:t>
      </w:r>
      <w:proofErr w:type="spellEnd"/>
      <w:r>
        <w:rPr>
          <w:rStyle w:val="Emphasis"/>
        </w:rPr>
        <w:t xml:space="preserve"> using Consensus, an AI-powered search engine for research. Try it at </w:t>
      </w:r>
      <w:hyperlink r:id="rId113" w:history="1">
        <w:r>
          <w:rPr>
            <w:rStyle w:val="Hyperlink"/>
            <w:rFonts w:eastAsiaTheme="majorEastAsia"/>
            <w:i/>
            <w:iCs/>
          </w:rPr>
          <w:t>https://consensus.app</w:t>
        </w:r>
      </w:hyperlink>
      <w:r>
        <w:rPr>
          <w:rStyle w:val="Emphasis"/>
        </w:rPr>
        <w:t>. © 2026 Consensus NLP, Inc. Personal, non-commercial use only; redistribution requires copyright holders’ consent.</w:t>
      </w:r>
    </w:p>
    <w:p w:rsidR="0086101B" w:rsidRDefault="0086101B" w:rsidP="0086101B">
      <w:pPr>
        <w:pStyle w:val="Heading2"/>
      </w:pPr>
      <w:r>
        <w:t>References</w:t>
      </w:r>
    </w:p>
    <w:p w:rsidR="0086101B" w:rsidRDefault="0086101B" w:rsidP="0086101B">
      <w:pPr>
        <w:pStyle w:val="NormalWeb"/>
      </w:pPr>
      <w:proofErr w:type="spellStart"/>
      <w:r>
        <w:t>Albalawi</w:t>
      </w:r>
      <w:proofErr w:type="spellEnd"/>
      <w:r>
        <w:t xml:space="preserve">, T., &amp; </w:t>
      </w:r>
      <w:proofErr w:type="spellStart"/>
      <w:r>
        <w:t>Alzahrani</w:t>
      </w:r>
      <w:proofErr w:type="spellEnd"/>
      <w:r>
        <w:t xml:space="preserve">, A. (2026). Learning Selective Deferral Policies for Reliable Medical Text Classification. </w:t>
      </w:r>
      <w:r>
        <w:rPr>
          <w:rStyle w:val="Emphasis"/>
        </w:rPr>
        <w:t>Technologies</w:t>
      </w:r>
      <w:r>
        <w:t xml:space="preserve">. </w:t>
      </w:r>
      <w:hyperlink r:id="rId114" w:history="1">
        <w:r>
          <w:rPr>
            <w:rStyle w:val="Hyperlink"/>
            <w:rFonts w:eastAsiaTheme="majorEastAsia"/>
          </w:rPr>
          <w:t>https://doi.org/10.3390/technologies14060359</w:t>
        </w:r>
      </w:hyperlink>
    </w:p>
    <w:p w:rsidR="0086101B" w:rsidRDefault="0086101B" w:rsidP="0086101B">
      <w:pPr>
        <w:pStyle w:val="NormalWeb"/>
      </w:pPr>
      <w:proofErr w:type="spellStart"/>
      <w:r>
        <w:t>Fanconi</w:t>
      </w:r>
      <w:proofErr w:type="spellEnd"/>
      <w:r>
        <w:t xml:space="preserve">, C., &amp; </w:t>
      </w:r>
      <w:proofErr w:type="spellStart"/>
      <w:r>
        <w:t>Schaar</w:t>
      </w:r>
      <w:proofErr w:type="spellEnd"/>
      <w:r>
        <w:t xml:space="preserve">, M. (2025). Cascaded Language Models for Cost-Effective Human–AI Decision-Making. </w:t>
      </w:r>
      <w:r>
        <w:rPr>
          <w:rStyle w:val="Emphasis"/>
        </w:rPr>
        <w:t>Advances in Neural Information Processing Systems 38</w:t>
      </w:r>
      <w:r>
        <w:t xml:space="preserve">. </w:t>
      </w:r>
      <w:hyperlink r:id="rId115" w:history="1">
        <w:r>
          <w:rPr>
            <w:rStyle w:val="Hyperlink"/>
            <w:rFonts w:eastAsiaTheme="majorEastAsia"/>
          </w:rPr>
          <w:t>https://doi.org/10.52202/085713-0388</w:t>
        </w:r>
      </w:hyperlink>
    </w:p>
    <w:p w:rsidR="0086101B" w:rsidRDefault="0086101B" w:rsidP="0086101B">
      <w:pPr>
        <w:pStyle w:val="NormalWeb"/>
      </w:pPr>
      <w:proofErr w:type="spellStart"/>
      <w:r>
        <w:t>Gandouz</w:t>
      </w:r>
      <w:proofErr w:type="spellEnd"/>
      <w:r>
        <w:t xml:space="preserve">, M., </w:t>
      </w:r>
      <w:proofErr w:type="spellStart"/>
      <w:r>
        <w:t>Holzmann</w:t>
      </w:r>
      <w:proofErr w:type="spellEnd"/>
      <w:r>
        <w:t xml:space="preserve">, H., &amp; </w:t>
      </w:r>
      <w:proofErr w:type="spellStart"/>
      <w:r>
        <w:t>Heider</w:t>
      </w:r>
      <w:proofErr w:type="spellEnd"/>
      <w:r>
        <w:t xml:space="preserve">, D. (2021). Machine learning with asymmetric abstention for biomedical decision-making. </w:t>
      </w:r>
      <w:r>
        <w:rPr>
          <w:rStyle w:val="Emphasis"/>
        </w:rPr>
        <w:t>BMC Medical Informatics and Decision Making, 21</w:t>
      </w:r>
      <w:r>
        <w:t xml:space="preserve">. </w:t>
      </w:r>
      <w:hyperlink r:id="rId116" w:history="1">
        <w:r>
          <w:rPr>
            <w:rStyle w:val="Hyperlink"/>
            <w:rFonts w:eastAsiaTheme="majorEastAsia"/>
          </w:rPr>
          <w:t>https://doi.org/10.1186/s12911-021-01655-y</w:t>
        </w:r>
      </w:hyperlink>
    </w:p>
    <w:p w:rsidR="0086101B" w:rsidRDefault="0086101B" w:rsidP="0086101B">
      <w:pPr>
        <w:pStyle w:val="NormalWeb"/>
      </w:pPr>
      <w:r>
        <w:t xml:space="preserve">Kumar, M., &amp; Singh, D. (2026). Balancing autonomy and oversight in reliable agentic artificial intelligence through adaptive human interaction architectures. </w:t>
      </w:r>
      <w:r>
        <w:rPr>
          <w:rStyle w:val="Emphasis"/>
        </w:rPr>
        <w:t>Discover Artificial Intelligence, 6</w:t>
      </w:r>
      <w:r>
        <w:t xml:space="preserve">. </w:t>
      </w:r>
      <w:hyperlink r:id="rId117" w:history="1">
        <w:r>
          <w:rPr>
            <w:rStyle w:val="Hyperlink"/>
            <w:rFonts w:eastAsiaTheme="majorEastAsia"/>
          </w:rPr>
          <w:t>https://doi.org/10.1007/s44163-026-01373-2</w:t>
        </w:r>
      </w:hyperlink>
    </w:p>
    <w:p w:rsidR="0086101B" w:rsidRDefault="0086101B" w:rsidP="0086101B">
      <w:pPr>
        <w:pStyle w:val="NormalWeb"/>
      </w:pPr>
      <w:r>
        <w:t xml:space="preserve">Kwon, H., &amp; Kim, D.-J. (2026). Conformal selective prediction with cost aware deferral for safe clinical triage under distribution shift. </w:t>
      </w:r>
      <w:r>
        <w:rPr>
          <w:rStyle w:val="Emphasis"/>
        </w:rPr>
        <w:t>Scientific Reports, 16</w:t>
      </w:r>
      <w:r>
        <w:t xml:space="preserve">. </w:t>
      </w:r>
      <w:hyperlink r:id="rId118" w:history="1">
        <w:r>
          <w:rPr>
            <w:rStyle w:val="Hyperlink"/>
            <w:rFonts w:eastAsiaTheme="majorEastAsia"/>
          </w:rPr>
          <w:t>https://doi.org/10.1038/s41598-026-40637-w</w:t>
        </w:r>
      </w:hyperlink>
    </w:p>
    <w:p w:rsidR="0086101B" w:rsidRDefault="0086101B" w:rsidP="0086101B">
      <w:pPr>
        <w:pStyle w:val="NormalWeb"/>
      </w:pPr>
      <w:r>
        <w:t xml:space="preserve">Lenders, D., </w:t>
      </w:r>
      <w:proofErr w:type="spellStart"/>
      <w:r>
        <w:t>Pugnana</w:t>
      </w:r>
      <w:proofErr w:type="spellEnd"/>
      <w:r>
        <w:t xml:space="preserve">, A., </w:t>
      </w:r>
      <w:proofErr w:type="spellStart"/>
      <w:r>
        <w:t>Pellungrini</w:t>
      </w:r>
      <w:proofErr w:type="spellEnd"/>
      <w:r>
        <w:t xml:space="preserve">, R., </w:t>
      </w:r>
      <w:proofErr w:type="spellStart"/>
      <w:r>
        <w:t>Calders</w:t>
      </w:r>
      <w:proofErr w:type="spellEnd"/>
      <w:r>
        <w:t xml:space="preserve">, T., </w:t>
      </w:r>
      <w:proofErr w:type="spellStart"/>
      <w:r>
        <w:t>Pedreschi</w:t>
      </w:r>
      <w:proofErr w:type="spellEnd"/>
      <w:r>
        <w:t xml:space="preserve">, D., &amp; Giannotti, F. (2025). Interpretable and Fair Mechanisms for Abstaining Classifiers. 416-433. </w:t>
      </w:r>
      <w:hyperlink r:id="rId119" w:history="1">
        <w:r>
          <w:rPr>
            <w:rStyle w:val="Hyperlink"/>
            <w:rFonts w:eastAsiaTheme="majorEastAsia"/>
          </w:rPr>
          <w:t>https://doi.org/10.1007/978-3-031-70368-3_25</w:t>
        </w:r>
      </w:hyperlink>
    </w:p>
    <w:p w:rsidR="0086101B" w:rsidRDefault="0086101B" w:rsidP="0086101B">
      <w:pPr>
        <w:pStyle w:val="NormalWeb"/>
      </w:pPr>
      <w:r>
        <w:t xml:space="preserve">Mahmud, M. A. (2026). Cost-Sensitive Human-in-the-Loop Decision Systems Under Asymmetric Error Costs. </w:t>
      </w:r>
      <w:r>
        <w:rPr>
          <w:rStyle w:val="Emphasis"/>
        </w:rPr>
        <w:t>SSRN Electronic Journal</w:t>
      </w:r>
      <w:r>
        <w:t xml:space="preserve">. </w:t>
      </w:r>
      <w:hyperlink r:id="rId120" w:history="1">
        <w:r>
          <w:rPr>
            <w:rStyle w:val="Hyperlink"/>
            <w:rFonts w:eastAsiaTheme="majorEastAsia"/>
          </w:rPr>
          <w:t>https://doi.org/10.2139/ssrn.6592940</w:t>
        </w:r>
      </w:hyperlink>
    </w:p>
    <w:p w:rsidR="0086101B" w:rsidRDefault="0086101B" w:rsidP="0086101B">
      <w:pPr>
        <w:pStyle w:val="NormalWeb"/>
      </w:pPr>
      <w:proofErr w:type="spellStart"/>
      <w:r>
        <w:t>Muric</w:t>
      </w:r>
      <w:proofErr w:type="spellEnd"/>
      <w:r>
        <w:t xml:space="preserve">, G., &amp; Minton, S. N. (2026). A Framework for Optimizing Human-Machine Interaction in Classification Systems. </w:t>
      </w:r>
      <w:r>
        <w:rPr>
          <w:rStyle w:val="Emphasis"/>
        </w:rPr>
        <w:t>2026 2nd International Conference on Human-AI Interaction and Experience Design (HAXD)</w:t>
      </w:r>
      <w:r>
        <w:t xml:space="preserve">, 251-258. </w:t>
      </w:r>
      <w:hyperlink r:id="rId121" w:history="1">
        <w:r>
          <w:rPr>
            <w:rStyle w:val="Hyperlink"/>
            <w:rFonts w:eastAsiaTheme="majorEastAsia"/>
          </w:rPr>
          <w:t>https://doi.org/10.1109/haxd70072.2026.11620907</w:t>
        </w:r>
      </w:hyperlink>
    </w:p>
    <w:p w:rsidR="0086101B" w:rsidRDefault="0086101B" w:rsidP="0086101B">
      <w:pPr>
        <w:pStyle w:val="NormalWeb"/>
      </w:pPr>
      <w:proofErr w:type="spellStart"/>
      <w:r>
        <w:t>Sargeant</w:t>
      </w:r>
      <w:proofErr w:type="spellEnd"/>
      <w:r>
        <w:t xml:space="preserve">, H., Jorgensen, M., Shah, A., Weller, A., &amp; Bhatt, U. (2025). Unequal Uncertainty: Rethinking Algorithmic Interventions for Mitigating Discrimination from AI. </w:t>
      </w:r>
      <w:proofErr w:type="spellStart"/>
      <w:r>
        <w:rPr>
          <w:rStyle w:val="Emphasis"/>
        </w:rPr>
        <w:t>ArXiv</w:t>
      </w:r>
      <w:proofErr w:type="spellEnd"/>
      <w:r>
        <w:rPr>
          <w:rStyle w:val="Emphasis"/>
        </w:rPr>
        <w:t>, abs/2508.07872</w:t>
      </w:r>
      <w:r>
        <w:t xml:space="preserve">. </w:t>
      </w:r>
      <w:hyperlink r:id="rId122" w:history="1">
        <w:r>
          <w:rPr>
            <w:rStyle w:val="Hyperlink"/>
            <w:rFonts w:eastAsiaTheme="majorEastAsia"/>
          </w:rPr>
          <w:t>https://doi.org/10.48550/arxiv.2508.07872</w:t>
        </w:r>
      </w:hyperlink>
    </w:p>
    <w:p w:rsidR="0086101B" w:rsidRDefault="0086101B" w:rsidP="0086101B">
      <w:pPr>
        <w:pStyle w:val="NormalWeb"/>
      </w:pPr>
      <w:r>
        <w:lastRenderedPageBreak/>
        <w:t xml:space="preserve">Sinha, A., </w:t>
      </w:r>
      <w:proofErr w:type="spellStart"/>
      <w:r>
        <w:t>Ranganathan</w:t>
      </w:r>
      <w:proofErr w:type="spellEnd"/>
      <w:r>
        <w:t xml:space="preserve">, S., </w:t>
      </w:r>
      <w:proofErr w:type="spellStart"/>
      <w:r>
        <w:t>Dharmaratnakar</w:t>
      </w:r>
      <w:proofErr w:type="spellEnd"/>
      <w:r>
        <w:t xml:space="preserve">, A., &amp; Das, D. (2026). Human-on-the-Loop Orchestration for AI-Assisted Legal Discovery. </w:t>
      </w:r>
      <w:proofErr w:type="spellStart"/>
      <w:r>
        <w:rPr>
          <w:rStyle w:val="Emphasis"/>
        </w:rPr>
        <w:t>ArXiv</w:t>
      </w:r>
      <w:proofErr w:type="spellEnd"/>
      <w:r>
        <w:rPr>
          <w:rStyle w:val="Emphasis"/>
        </w:rPr>
        <w:t>, abs/2606.19812</w:t>
      </w:r>
      <w:r>
        <w:t xml:space="preserve">. </w:t>
      </w:r>
      <w:hyperlink r:id="rId123" w:history="1">
        <w:r>
          <w:rPr>
            <w:rStyle w:val="Hyperlink"/>
            <w:rFonts w:eastAsiaTheme="majorEastAsia"/>
          </w:rPr>
          <w:t>https://doi.org/10.48550/arxiv.2606.19812</w:t>
        </w:r>
      </w:hyperlink>
    </w:p>
    <w:p w:rsidR="0086101B" w:rsidRPr="0086101B" w:rsidRDefault="0086101B" w:rsidP="0086101B">
      <w:pPr>
        <w:pStyle w:val="Heading1"/>
      </w:pPr>
      <w:r>
        <w:br/>
      </w:r>
      <w:r>
        <w:br/>
      </w:r>
      <w:r>
        <w:br/>
      </w:r>
      <w:r>
        <w:br/>
      </w:r>
      <w:r>
        <w:br/>
      </w:r>
      <w:r>
        <w:br/>
      </w:r>
      <w:r w:rsidRPr="0086101B">
        <w:t xml:space="preserve">Explanation quality is evaluated on fidelity, simplicity, and </w:t>
      </w:r>
      <w:proofErr w:type="spellStart"/>
      <w:r w:rsidRPr="0086101B">
        <w:t>actionability</w:t>
      </w:r>
      <w:proofErr w:type="spellEnd"/>
      <w:r w:rsidRPr="0086101B">
        <w:t>, with no single metric capturing all dimensions.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Established evaluation metrics for explanation quality in financial and scholarship decision systems span three distinct sub-questions: </w:t>
      </w:r>
      <w:r w:rsidRPr="0086101B">
        <w:rPr>
          <w:rFonts w:ascii="Times New Roman" w:eastAsia="Times New Roman" w:hAnsi="Times New Roman" w:cs="Times New Roman"/>
          <w:b/>
          <w:bCs/>
          <w:sz w:val="24"/>
          <w:szCs w:val="24"/>
          <w:lang w:eastAsia="en-IN"/>
        </w:rPr>
        <w:t>fidelity and stability metrics</w:t>
      </w:r>
      <w:r w:rsidRPr="0086101B">
        <w:rPr>
          <w:rFonts w:ascii="Times New Roman" w:eastAsia="Times New Roman" w:hAnsi="Times New Roman" w:cs="Times New Roman"/>
          <w:sz w:val="24"/>
          <w:szCs w:val="24"/>
          <w:lang w:eastAsia="en-IN"/>
        </w:rPr>
        <w:t xml:space="preserve">, </w:t>
      </w:r>
      <w:r w:rsidRPr="0086101B">
        <w:rPr>
          <w:rFonts w:ascii="Times New Roman" w:eastAsia="Times New Roman" w:hAnsi="Times New Roman" w:cs="Times New Roman"/>
          <w:b/>
          <w:bCs/>
          <w:sz w:val="24"/>
          <w:szCs w:val="24"/>
          <w:lang w:eastAsia="en-IN"/>
        </w:rPr>
        <w:t>simplicity and comprehensibility metrics</w:t>
      </w:r>
      <w:r w:rsidRPr="0086101B">
        <w:rPr>
          <w:rFonts w:ascii="Times New Roman" w:eastAsia="Times New Roman" w:hAnsi="Times New Roman" w:cs="Times New Roman"/>
          <w:sz w:val="24"/>
          <w:szCs w:val="24"/>
          <w:lang w:eastAsia="en-IN"/>
        </w:rPr>
        <w:t xml:space="preserve">, and </w:t>
      </w:r>
      <w:proofErr w:type="spellStart"/>
      <w:r w:rsidRPr="0086101B">
        <w:rPr>
          <w:rFonts w:ascii="Times New Roman" w:eastAsia="Times New Roman" w:hAnsi="Times New Roman" w:cs="Times New Roman"/>
          <w:b/>
          <w:bCs/>
          <w:sz w:val="24"/>
          <w:szCs w:val="24"/>
          <w:lang w:eastAsia="en-IN"/>
        </w:rPr>
        <w:t>actionability</w:t>
      </w:r>
      <w:proofErr w:type="spellEnd"/>
      <w:r w:rsidRPr="0086101B">
        <w:rPr>
          <w:rFonts w:ascii="Times New Roman" w:eastAsia="Times New Roman" w:hAnsi="Times New Roman" w:cs="Times New Roman"/>
          <w:b/>
          <w:bCs/>
          <w:sz w:val="24"/>
          <w:szCs w:val="24"/>
          <w:lang w:eastAsia="en-IN"/>
        </w:rPr>
        <w:t xml:space="preserve"> and human-</w:t>
      </w:r>
      <w:proofErr w:type="spellStart"/>
      <w:r w:rsidRPr="0086101B">
        <w:rPr>
          <w:rFonts w:ascii="Times New Roman" w:eastAsia="Times New Roman" w:hAnsi="Times New Roman" w:cs="Times New Roman"/>
          <w:b/>
          <w:bCs/>
          <w:sz w:val="24"/>
          <w:szCs w:val="24"/>
          <w:lang w:eastAsia="en-IN"/>
        </w:rPr>
        <w:t>centered</w:t>
      </w:r>
      <w:proofErr w:type="spellEnd"/>
      <w:r w:rsidRPr="0086101B">
        <w:rPr>
          <w:rFonts w:ascii="Times New Roman" w:eastAsia="Times New Roman" w:hAnsi="Times New Roman" w:cs="Times New Roman"/>
          <w:b/>
          <w:bCs/>
          <w:sz w:val="24"/>
          <w:szCs w:val="24"/>
          <w:lang w:eastAsia="en-IN"/>
        </w:rPr>
        <w:t xml:space="preserve"> metrics</w:t>
      </w:r>
      <w:r w:rsidRPr="0086101B">
        <w:rPr>
          <w:rFonts w:ascii="Times New Roman" w:eastAsia="Times New Roman" w:hAnsi="Times New Roman" w:cs="Times New Roman"/>
          <w:sz w:val="24"/>
          <w:szCs w:val="24"/>
          <w:lang w:eastAsia="en-IN"/>
        </w:rPr>
        <w:t>.</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Fidelity and Stability Metrics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Fidelity measures how accurately an interpretable explanation model mimics the </w:t>
      </w:r>
      <w:proofErr w:type="spellStart"/>
      <w:r w:rsidRPr="0086101B">
        <w:rPr>
          <w:rFonts w:ascii="Times New Roman" w:eastAsia="Times New Roman" w:hAnsi="Times New Roman" w:cs="Times New Roman"/>
          <w:sz w:val="24"/>
          <w:szCs w:val="24"/>
          <w:lang w:eastAsia="en-IN"/>
        </w:rPr>
        <w:t>behavior</w:t>
      </w:r>
      <w:proofErr w:type="spellEnd"/>
      <w:r w:rsidRPr="0086101B">
        <w:rPr>
          <w:rFonts w:ascii="Times New Roman" w:eastAsia="Times New Roman" w:hAnsi="Times New Roman" w:cs="Times New Roman"/>
          <w:sz w:val="24"/>
          <w:szCs w:val="24"/>
          <w:lang w:eastAsia="en-IN"/>
        </w:rPr>
        <w:t xml:space="preserve"> of the underlying black-box model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et al., 2022; </w:t>
      </w:r>
      <w:proofErr w:type="spellStart"/>
      <w:r w:rsidRPr="0086101B">
        <w:rPr>
          <w:rFonts w:ascii="Times New Roman" w:eastAsia="Times New Roman" w:hAnsi="Times New Roman" w:cs="Times New Roman"/>
          <w:sz w:val="24"/>
          <w:szCs w:val="24"/>
          <w:lang w:eastAsia="en-IN"/>
        </w:rPr>
        <w:t>Balagopalan</w:t>
      </w:r>
      <w:proofErr w:type="spellEnd"/>
      <w:r w:rsidRPr="0086101B">
        <w:rPr>
          <w:rFonts w:ascii="Times New Roman" w:eastAsia="Times New Roman" w:hAnsi="Times New Roman" w:cs="Times New Roman"/>
          <w:sz w:val="24"/>
          <w:szCs w:val="24"/>
          <w:lang w:eastAsia="en-IN"/>
        </w:rPr>
        <w:t xml:space="preserve"> et al., 2022;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et al., 2019). It is typically operationalized as the accuracy of the explanation model's predictions against the black-box's predictions on a local </w:t>
      </w:r>
      <w:proofErr w:type="spellStart"/>
      <w:r w:rsidRPr="0086101B">
        <w:rPr>
          <w:rFonts w:ascii="Times New Roman" w:eastAsia="Times New Roman" w:hAnsi="Times New Roman" w:cs="Times New Roman"/>
          <w:sz w:val="24"/>
          <w:szCs w:val="24"/>
          <w:lang w:eastAsia="en-IN"/>
        </w:rPr>
        <w:t>neighborhood</w:t>
      </w:r>
      <w:proofErr w:type="spellEnd"/>
      <w:r w:rsidRPr="0086101B">
        <w:rPr>
          <w:rFonts w:ascii="Times New Roman" w:eastAsia="Times New Roman" w:hAnsi="Times New Roman" w:cs="Times New Roman"/>
          <w:sz w:val="24"/>
          <w:szCs w:val="24"/>
          <w:lang w:eastAsia="en-IN"/>
        </w:rPr>
        <w:t xml:space="preserve"> of the instance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et al., 2022; </w:t>
      </w:r>
      <w:proofErr w:type="spellStart"/>
      <w:r w:rsidRPr="0086101B">
        <w:rPr>
          <w:rFonts w:ascii="Times New Roman" w:eastAsia="Times New Roman" w:hAnsi="Times New Roman" w:cs="Times New Roman"/>
          <w:sz w:val="24"/>
          <w:szCs w:val="24"/>
          <w:lang w:eastAsia="en-IN"/>
        </w:rPr>
        <w:t>Balagopalan</w:t>
      </w:r>
      <w:proofErr w:type="spellEnd"/>
      <w:r w:rsidRPr="0086101B">
        <w:rPr>
          <w:rFonts w:ascii="Times New Roman" w:eastAsia="Times New Roman" w:hAnsi="Times New Roman" w:cs="Times New Roman"/>
          <w:sz w:val="24"/>
          <w:szCs w:val="24"/>
          <w:lang w:eastAsia="en-IN"/>
        </w:rPr>
        <w:t xml:space="preserve"> et al., 2022). In financial and high-stakes domains, fidelity gaps can vary significantly across demographic subgroups, meaning an explanation might accurately approximate the model for one group but fail for another (</w:t>
      </w:r>
      <w:proofErr w:type="spellStart"/>
      <w:r w:rsidRPr="0086101B">
        <w:rPr>
          <w:rFonts w:ascii="Times New Roman" w:eastAsia="Times New Roman" w:hAnsi="Times New Roman" w:cs="Times New Roman"/>
          <w:sz w:val="24"/>
          <w:szCs w:val="24"/>
          <w:lang w:eastAsia="en-IN"/>
        </w:rPr>
        <w:t>Balagopalan</w:t>
      </w:r>
      <w:proofErr w:type="spellEnd"/>
      <w:r w:rsidRPr="0086101B">
        <w:rPr>
          <w:rFonts w:ascii="Times New Roman" w:eastAsia="Times New Roman" w:hAnsi="Times New Roman" w:cs="Times New Roman"/>
          <w:sz w:val="24"/>
          <w:szCs w:val="24"/>
          <w:lang w:eastAsia="en-IN"/>
        </w:rPr>
        <w:t xml:space="preserve"> et al., 2022). Stability, or robustness, measures whether similar instances receive similar explanations, which is a crucial requirement for gaining user trust in credit evaluation systems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et al., 2022; </w:t>
      </w:r>
      <w:proofErr w:type="spellStart"/>
      <w:r w:rsidRPr="0086101B">
        <w:rPr>
          <w:rFonts w:ascii="Times New Roman" w:eastAsia="Times New Roman" w:hAnsi="Times New Roman" w:cs="Times New Roman"/>
          <w:sz w:val="24"/>
          <w:szCs w:val="24"/>
          <w:lang w:eastAsia="en-IN"/>
        </w:rPr>
        <w:t>Carvalho</w:t>
      </w:r>
      <w:proofErr w:type="spellEnd"/>
      <w:r w:rsidRPr="0086101B">
        <w:rPr>
          <w:rFonts w:ascii="Times New Roman" w:eastAsia="Times New Roman" w:hAnsi="Times New Roman" w:cs="Times New Roman"/>
          <w:sz w:val="24"/>
          <w:szCs w:val="24"/>
          <w:lang w:eastAsia="en-IN"/>
        </w:rPr>
        <w:t xml:space="preserve"> et al., 2019; </w:t>
      </w:r>
      <w:proofErr w:type="spellStart"/>
      <w:r w:rsidRPr="0086101B">
        <w:rPr>
          <w:rFonts w:ascii="Times New Roman" w:eastAsia="Times New Roman" w:hAnsi="Times New Roman" w:cs="Times New Roman"/>
          <w:sz w:val="24"/>
          <w:szCs w:val="24"/>
          <w:lang w:eastAsia="en-IN"/>
        </w:rPr>
        <w:t>Vinutna</w:t>
      </w:r>
      <w:proofErr w:type="spellEnd"/>
      <w:r w:rsidRPr="0086101B">
        <w:rPr>
          <w:rFonts w:ascii="Times New Roman" w:eastAsia="Times New Roman" w:hAnsi="Times New Roman" w:cs="Times New Roman"/>
          <w:sz w:val="24"/>
          <w:szCs w:val="24"/>
          <w:lang w:eastAsia="en-IN"/>
        </w:rPr>
        <w:t xml:space="preserve"> et al., 2026).</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t>Simplicity and Comprehensibility Metrics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Simplicity is evaluated through parsimony or sparsity, quantifying how succinct an explanation is by measuring the number of conditions in a decision rule or the number of non-zero features in an attribution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et al., 2022; Zhou et al., 2021; </w:t>
      </w:r>
      <w:proofErr w:type="spellStart"/>
      <w:r w:rsidRPr="0086101B">
        <w:rPr>
          <w:rFonts w:ascii="Times New Roman" w:eastAsia="Times New Roman" w:hAnsi="Times New Roman" w:cs="Times New Roman"/>
          <w:sz w:val="24"/>
          <w:szCs w:val="24"/>
          <w:lang w:eastAsia="en-IN"/>
        </w:rPr>
        <w:t>Carvalho</w:t>
      </w:r>
      <w:proofErr w:type="spellEnd"/>
      <w:r w:rsidRPr="0086101B">
        <w:rPr>
          <w:rFonts w:ascii="Times New Roman" w:eastAsia="Times New Roman" w:hAnsi="Times New Roman" w:cs="Times New Roman"/>
          <w:sz w:val="24"/>
          <w:szCs w:val="24"/>
          <w:lang w:eastAsia="en-IN"/>
        </w:rPr>
        <w:t xml:space="preserve"> et al., 2019; Islam, 2023). In credit scoring, higher explanation sparsity is associated with lower error concentration, indicating that concise explanations align with more consistent model </w:t>
      </w:r>
      <w:proofErr w:type="spellStart"/>
      <w:r w:rsidRPr="0086101B">
        <w:rPr>
          <w:rFonts w:ascii="Times New Roman" w:eastAsia="Times New Roman" w:hAnsi="Times New Roman" w:cs="Times New Roman"/>
          <w:sz w:val="24"/>
          <w:szCs w:val="24"/>
          <w:lang w:eastAsia="en-IN"/>
        </w:rPr>
        <w:t>behavior</w:t>
      </w:r>
      <w:proofErr w:type="spellEnd"/>
      <w:r w:rsidRPr="0086101B">
        <w:rPr>
          <w:rFonts w:ascii="Times New Roman" w:eastAsia="Times New Roman" w:hAnsi="Times New Roman" w:cs="Times New Roman"/>
          <w:sz w:val="24"/>
          <w:szCs w:val="24"/>
          <w:lang w:eastAsia="en-IN"/>
        </w:rPr>
        <w:t xml:space="preserve"> (Islam, 2023). Summary-explanation methods in credit evaluation trade slightly </w:t>
      </w:r>
      <w:r w:rsidRPr="0086101B">
        <w:rPr>
          <w:rFonts w:ascii="Times New Roman" w:eastAsia="Times New Roman" w:hAnsi="Times New Roman" w:cs="Times New Roman"/>
          <w:sz w:val="24"/>
          <w:szCs w:val="24"/>
          <w:lang w:eastAsia="en-IN"/>
        </w:rPr>
        <w:lastRenderedPageBreak/>
        <w:t>lower consistency for greater support (the number of instances an explanation covers) to improve persuasiveness and trust (Peng &amp; He,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324"/>
        <w:gridCol w:w="4440"/>
      </w:tblGrid>
      <w:tr w:rsidR="0086101B" w:rsidRPr="0086101B" w:rsidTr="0086101B">
        <w:trPr>
          <w:tblHeader/>
          <w:tblCellSpacing w:w="15" w:type="dxa"/>
        </w:trPr>
        <w:tc>
          <w:tcPr>
            <w:tcW w:w="0" w:type="auto"/>
            <w:vAlign w:val="center"/>
            <w:hideMark/>
          </w:tcPr>
          <w:p w:rsidR="0086101B" w:rsidRPr="0086101B" w:rsidRDefault="0086101B" w:rsidP="0086101B">
            <w:pPr>
              <w:spacing w:after="0" w:line="240" w:lineRule="auto"/>
              <w:jc w:val="center"/>
              <w:rPr>
                <w:rFonts w:ascii="Times New Roman" w:eastAsia="Times New Roman" w:hAnsi="Times New Roman" w:cs="Times New Roman"/>
                <w:b/>
                <w:bCs/>
                <w:sz w:val="24"/>
                <w:szCs w:val="24"/>
                <w:lang w:eastAsia="en-IN"/>
              </w:rPr>
            </w:pPr>
            <w:r w:rsidRPr="0086101B">
              <w:rPr>
                <w:rFonts w:ascii="Times New Roman" w:eastAsia="Times New Roman" w:hAnsi="Times New Roman" w:cs="Times New Roman"/>
                <w:b/>
                <w:bCs/>
                <w:sz w:val="24"/>
                <w:szCs w:val="24"/>
                <w:lang w:eastAsia="en-IN"/>
              </w:rPr>
              <w:t>Metric</w:t>
            </w:r>
          </w:p>
        </w:tc>
        <w:tc>
          <w:tcPr>
            <w:tcW w:w="0" w:type="auto"/>
            <w:vAlign w:val="center"/>
            <w:hideMark/>
          </w:tcPr>
          <w:p w:rsidR="0086101B" w:rsidRPr="0086101B" w:rsidRDefault="0086101B" w:rsidP="0086101B">
            <w:pPr>
              <w:spacing w:after="0" w:line="240" w:lineRule="auto"/>
              <w:jc w:val="center"/>
              <w:rPr>
                <w:rFonts w:ascii="Times New Roman" w:eastAsia="Times New Roman" w:hAnsi="Times New Roman" w:cs="Times New Roman"/>
                <w:b/>
                <w:bCs/>
                <w:sz w:val="24"/>
                <w:szCs w:val="24"/>
                <w:lang w:eastAsia="en-IN"/>
              </w:rPr>
            </w:pPr>
            <w:r w:rsidRPr="0086101B">
              <w:rPr>
                <w:rFonts w:ascii="Times New Roman" w:eastAsia="Times New Roman" w:hAnsi="Times New Roman" w:cs="Times New Roman"/>
                <w:b/>
                <w:bCs/>
                <w:sz w:val="24"/>
                <w:szCs w:val="24"/>
                <w:lang w:eastAsia="en-IN"/>
              </w:rPr>
              <w:t>Definition</w:t>
            </w:r>
          </w:p>
        </w:tc>
        <w:tc>
          <w:tcPr>
            <w:tcW w:w="0" w:type="auto"/>
            <w:vAlign w:val="center"/>
            <w:hideMark/>
          </w:tcPr>
          <w:p w:rsidR="0086101B" w:rsidRPr="0086101B" w:rsidRDefault="0086101B" w:rsidP="0086101B">
            <w:pPr>
              <w:spacing w:after="0" w:line="240" w:lineRule="auto"/>
              <w:jc w:val="center"/>
              <w:rPr>
                <w:rFonts w:ascii="Times New Roman" w:eastAsia="Times New Roman" w:hAnsi="Times New Roman" w:cs="Times New Roman"/>
                <w:b/>
                <w:bCs/>
                <w:sz w:val="24"/>
                <w:szCs w:val="24"/>
                <w:lang w:eastAsia="en-IN"/>
              </w:rPr>
            </w:pPr>
            <w:r w:rsidRPr="0086101B">
              <w:rPr>
                <w:rFonts w:ascii="Times New Roman" w:eastAsia="Times New Roman" w:hAnsi="Times New Roman" w:cs="Times New Roman"/>
                <w:b/>
                <w:bCs/>
                <w:sz w:val="24"/>
                <w:szCs w:val="24"/>
                <w:lang w:eastAsia="en-IN"/>
              </w:rPr>
              <w:t>Financial/Scholarship Context</w:t>
            </w:r>
          </w:p>
        </w:tc>
      </w:tr>
      <w:tr w:rsidR="0086101B" w:rsidRPr="0086101B" w:rsidTr="0086101B">
        <w:trPr>
          <w:tblCellSpacing w:w="15" w:type="dxa"/>
        </w:trPr>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Fidelity</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Accuracy of the explanation in mimicking the black box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et al., 2022)</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Varies across protected subgroups in finance and admissions (</w:t>
            </w:r>
            <w:proofErr w:type="spellStart"/>
            <w:r w:rsidRPr="0086101B">
              <w:rPr>
                <w:rFonts w:ascii="Times New Roman" w:eastAsia="Times New Roman" w:hAnsi="Times New Roman" w:cs="Times New Roman"/>
                <w:sz w:val="24"/>
                <w:szCs w:val="24"/>
                <w:lang w:eastAsia="en-IN"/>
              </w:rPr>
              <w:t>Balagopalan</w:t>
            </w:r>
            <w:proofErr w:type="spellEnd"/>
            <w:r w:rsidRPr="0086101B">
              <w:rPr>
                <w:rFonts w:ascii="Times New Roman" w:eastAsia="Times New Roman" w:hAnsi="Times New Roman" w:cs="Times New Roman"/>
                <w:sz w:val="24"/>
                <w:szCs w:val="24"/>
                <w:lang w:eastAsia="en-IN"/>
              </w:rPr>
              <w:t xml:space="preserve"> et al., 2022)</w:t>
            </w:r>
          </w:p>
        </w:tc>
      </w:tr>
      <w:tr w:rsidR="0086101B" w:rsidRPr="0086101B" w:rsidTr="0086101B">
        <w:trPr>
          <w:tblCellSpacing w:w="15" w:type="dxa"/>
        </w:trPr>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Complexity</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Size of rule premise or number of non-zero features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et al., 2022)</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Lower complexity improves comprehensibility in credit rules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et al., 2022)</w:t>
            </w:r>
          </w:p>
        </w:tc>
      </w:tr>
      <w:tr w:rsidR="0086101B" w:rsidRPr="0086101B" w:rsidTr="0086101B">
        <w:trPr>
          <w:tblCellSpacing w:w="15" w:type="dxa"/>
        </w:trPr>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Sparsity</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Number of features per decision explanation (Islam, 2023)</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High sparsity correlates with lower misclassification clustering (Islam, 2023)</w:t>
            </w:r>
          </w:p>
        </w:tc>
      </w:tr>
      <w:tr w:rsidR="0086101B" w:rsidRPr="0086101B" w:rsidTr="0086101B">
        <w:trPr>
          <w:tblCellSpacing w:w="15" w:type="dxa"/>
        </w:trPr>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Stability</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Similar explanations for similar instances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et al., 2022)</w:t>
            </w:r>
          </w:p>
        </w:tc>
        <w:tc>
          <w:tcPr>
            <w:tcW w:w="0" w:type="auto"/>
            <w:vAlign w:val="cente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Stable explanations reveal reliance on financially meaningful features (</w:t>
            </w:r>
            <w:proofErr w:type="spellStart"/>
            <w:r w:rsidRPr="0086101B">
              <w:rPr>
                <w:rFonts w:ascii="Times New Roman" w:eastAsia="Times New Roman" w:hAnsi="Times New Roman" w:cs="Times New Roman"/>
                <w:sz w:val="24"/>
                <w:szCs w:val="24"/>
                <w:lang w:eastAsia="en-IN"/>
              </w:rPr>
              <w:t>Vinutna</w:t>
            </w:r>
            <w:proofErr w:type="spellEnd"/>
            <w:r w:rsidRPr="0086101B">
              <w:rPr>
                <w:rFonts w:ascii="Times New Roman" w:eastAsia="Times New Roman" w:hAnsi="Times New Roman" w:cs="Times New Roman"/>
                <w:sz w:val="24"/>
                <w:szCs w:val="24"/>
                <w:lang w:eastAsia="en-IN"/>
              </w:rPr>
              <w:t xml:space="preserve"> et al., 2026)</w:t>
            </w:r>
          </w:p>
        </w:tc>
      </w:tr>
    </w:tbl>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Figure 1:</w:t>
      </w:r>
      <w:r w:rsidRPr="0086101B">
        <w:rPr>
          <w:rFonts w:ascii="Times New Roman" w:eastAsia="Times New Roman" w:hAnsi="Times New Roman" w:cs="Times New Roman"/>
          <w:sz w:val="24"/>
          <w:szCs w:val="24"/>
          <w:lang w:eastAsia="en-IN"/>
        </w:rPr>
        <w:t xml:space="preserve"> Quantitative metrics for evaluating explanation fidelity and simplicity</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86101B">
        <w:rPr>
          <w:rFonts w:ascii="Times New Roman" w:eastAsia="Times New Roman" w:hAnsi="Times New Roman" w:cs="Times New Roman"/>
          <w:b/>
          <w:bCs/>
          <w:sz w:val="36"/>
          <w:szCs w:val="36"/>
          <w:lang w:eastAsia="en-IN"/>
        </w:rPr>
        <w:t>Actionability</w:t>
      </w:r>
      <w:proofErr w:type="spellEnd"/>
      <w:r w:rsidRPr="0086101B">
        <w:rPr>
          <w:rFonts w:ascii="Times New Roman" w:eastAsia="Times New Roman" w:hAnsi="Times New Roman" w:cs="Times New Roman"/>
          <w:b/>
          <w:bCs/>
          <w:sz w:val="36"/>
          <w:szCs w:val="36"/>
          <w:lang w:eastAsia="en-IN"/>
        </w:rPr>
        <w:t xml:space="preserve"> and Human-</w:t>
      </w:r>
      <w:proofErr w:type="spellStart"/>
      <w:r w:rsidRPr="0086101B">
        <w:rPr>
          <w:rFonts w:ascii="Times New Roman" w:eastAsia="Times New Roman" w:hAnsi="Times New Roman" w:cs="Times New Roman"/>
          <w:b/>
          <w:bCs/>
          <w:sz w:val="36"/>
          <w:szCs w:val="36"/>
          <w:lang w:eastAsia="en-IN"/>
        </w:rPr>
        <w:t>Centered</w:t>
      </w:r>
      <w:proofErr w:type="spellEnd"/>
      <w:r w:rsidRPr="0086101B">
        <w:rPr>
          <w:rFonts w:ascii="Times New Roman" w:eastAsia="Times New Roman" w:hAnsi="Times New Roman" w:cs="Times New Roman"/>
          <w:b/>
          <w:bCs/>
          <w:sz w:val="36"/>
          <w:szCs w:val="36"/>
          <w:lang w:eastAsia="en-IN"/>
        </w:rPr>
        <w:t xml:space="preserve"> Metrics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Actionability</w:t>
      </w:r>
      <w:proofErr w:type="spellEnd"/>
      <w:r w:rsidRPr="0086101B">
        <w:rPr>
          <w:rFonts w:ascii="Times New Roman" w:eastAsia="Times New Roman" w:hAnsi="Times New Roman" w:cs="Times New Roman"/>
          <w:sz w:val="24"/>
          <w:szCs w:val="24"/>
          <w:lang w:eastAsia="en-IN"/>
        </w:rPr>
        <w:t xml:space="preserve"> assesses whether an explanation empowers a decision subject to understand what changes would alter their outcome, a key desideratum in automated loan approval systems (</w:t>
      </w:r>
      <w:proofErr w:type="spellStart"/>
      <w:r w:rsidRPr="0086101B">
        <w:rPr>
          <w:rFonts w:ascii="Times New Roman" w:eastAsia="Times New Roman" w:hAnsi="Times New Roman" w:cs="Times New Roman"/>
          <w:sz w:val="24"/>
          <w:szCs w:val="24"/>
          <w:lang w:eastAsia="en-IN"/>
        </w:rPr>
        <w:t>Schoeffer</w:t>
      </w:r>
      <w:proofErr w:type="spellEnd"/>
      <w:r w:rsidRPr="0086101B">
        <w:rPr>
          <w:rFonts w:ascii="Times New Roman" w:eastAsia="Times New Roman" w:hAnsi="Times New Roman" w:cs="Times New Roman"/>
          <w:sz w:val="24"/>
          <w:szCs w:val="24"/>
          <w:lang w:eastAsia="en-IN"/>
        </w:rPr>
        <w:t xml:space="preserve"> et al., 2022; </w:t>
      </w:r>
      <w:proofErr w:type="spellStart"/>
      <w:r w:rsidRPr="0086101B">
        <w:rPr>
          <w:rFonts w:ascii="Times New Roman" w:eastAsia="Times New Roman" w:hAnsi="Times New Roman" w:cs="Times New Roman"/>
          <w:sz w:val="24"/>
          <w:szCs w:val="24"/>
          <w:lang w:eastAsia="en-IN"/>
        </w:rPr>
        <w:t>VanNostrand</w:t>
      </w:r>
      <w:proofErr w:type="spellEnd"/>
      <w:r w:rsidRPr="0086101B">
        <w:rPr>
          <w:rFonts w:ascii="Times New Roman" w:eastAsia="Times New Roman" w:hAnsi="Times New Roman" w:cs="Times New Roman"/>
          <w:sz w:val="24"/>
          <w:szCs w:val="24"/>
          <w:lang w:eastAsia="en-IN"/>
        </w:rPr>
        <w:t xml:space="preserve"> et al., 2024; </w:t>
      </w:r>
      <w:proofErr w:type="spellStart"/>
      <w:r w:rsidRPr="0086101B">
        <w:rPr>
          <w:rFonts w:ascii="Times New Roman" w:eastAsia="Times New Roman" w:hAnsi="Times New Roman" w:cs="Times New Roman"/>
          <w:sz w:val="24"/>
          <w:szCs w:val="24"/>
          <w:lang w:eastAsia="en-IN"/>
        </w:rPr>
        <w:t>Dastile</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Çelik</w:t>
      </w:r>
      <w:proofErr w:type="spellEnd"/>
      <w:r w:rsidRPr="0086101B">
        <w:rPr>
          <w:rFonts w:ascii="Times New Roman" w:eastAsia="Times New Roman" w:hAnsi="Times New Roman" w:cs="Times New Roman"/>
          <w:sz w:val="24"/>
          <w:szCs w:val="24"/>
          <w:lang w:eastAsia="en-IN"/>
        </w:rPr>
        <w:t xml:space="preserve">, 2024). Counterfactual explanations are evaluated on </w:t>
      </w:r>
      <w:proofErr w:type="spellStart"/>
      <w:r w:rsidRPr="0086101B">
        <w:rPr>
          <w:rFonts w:ascii="Times New Roman" w:eastAsia="Times New Roman" w:hAnsi="Times New Roman" w:cs="Times New Roman"/>
          <w:sz w:val="24"/>
          <w:szCs w:val="24"/>
          <w:lang w:eastAsia="en-IN"/>
        </w:rPr>
        <w:t>actionability</w:t>
      </w:r>
      <w:proofErr w:type="spellEnd"/>
      <w:r w:rsidRPr="0086101B">
        <w:rPr>
          <w:rFonts w:ascii="Times New Roman" w:eastAsia="Times New Roman" w:hAnsi="Times New Roman" w:cs="Times New Roman"/>
          <w:sz w:val="24"/>
          <w:szCs w:val="24"/>
          <w:lang w:eastAsia="en-IN"/>
        </w:rPr>
        <w:t xml:space="preserve"> by measuring if they suggest feasible, actionable changes rather than abstract feature alterations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et al., 2022; </w:t>
      </w:r>
      <w:proofErr w:type="spellStart"/>
      <w:r w:rsidRPr="0086101B">
        <w:rPr>
          <w:rFonts w:ascii="Times New Roman" w:eastAsia="Times New Roman" w:hAnsi="Times New Roman" w:cs="Times New Roman"/>
          <w:sz w:val="24"/>
          <w:szCs w:val="24"/>
          <w:lang w:eastAsia="en-IN"/>
        </w:rPr>
        <w:t>Alotaibi</w:t>
      </w:r>
      <w:proofErr w:type="spellEnd"/>
      <w:r w:rsidRPr="0086101B">
        <w:rPr>
          <w:rFonts w:ascii="Times New Roman" w:eastAsia="Times New Roman" w:hAnsi="Times New Roman" w:cs="Times New Roman"/>
          <w:sz w:val="24"/>
          <w:szCs w:val="24"/>
          <w:lang w:eastAsia="en-IN"/>
        </w:rPr>
        <w:t xml:space="preserve"> &amp; Singh, 2025; </w:t>
      </w:r>
      <w:proofErr w:type="spellStart"/>
      <w:r w:rsidRPr="0086101B">
        <w:rPr>
          <w:rFonts w:ascii="Times New Roman" w:eastAsia="Times New Roman" w:hAnsi="Times New Roman" w:cs="Times New Roman"/>
          <w:sz w:val="24"/>
          <w:szCs w:val="24"/>
          <w:lang w:eastAsia="en-IN"/>
        </w:rPr>
        <w:t>Dastile</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Çelik</w:t>
      </w:r>
      <w:proofErr w:type="spellEnd"/>
      <w:r w:rsidRPr="0086101B">
        <w:rPr>
          <w:rFonts w:ascii="Times New Roman" w:eastAsia="Times New Roman" w:hAnsi="Times New Roman" w:cs="Times New Roman"/>
          <w:sz w:val="24"/>
          <w:szCs w:val="24"/>
          <w:lang w:eastAsia="en-IN"/>
        </w:rPr>
        <w:t xml:space="preserve">, 2024). However, a systematic approach to assessing </w:t>
      </w:r>
      <w:proofErr w:type="spellStart"/>
      <w:r w:rsidRPr="0086101B">
        <w:rPr>
          <w:rFonts w:ascii="Times New Roman" w:eastAsia="Times New Roman" w:hAnsi="Times New Roman" w:cs="Times New Roman"/>
          <w:sz w:val="24"/>
          <w:szCs w:val="24"/>
          <w:lang w:eastAsia="en-IN"/>
        </w:rPr>
        <w:t>actionability</w:t>
      </w:r>
      <w:proofErr w:type="spellEnd"/>
      <w:r w:rsidRPr="0086101B">
        <w:rPr>
          <w:rFonts w:ascii="Times New Roman" w:eastAsia="Times New Roman" w:hAnsi="Times New Roman" w:cs="Times New Roman"/>
          <w:sz w:val="24"/>
          <w:szCs w:val="24"/>
          <w:lang w:eastAsia="en-IN"/>
        </w:rPr>
        <w:t xml:space="preserve"> is largely absent from current XAI literature, with most evaluations relying on subjective human factors like trust and satisfaction (</w:t>
      </w:r>
      <w:proofErr w:type="spellStart"/>
      <w:r w:rsidRPr="0086101B">
        <w:rPr>
          <w:rFonts w:ascii="Times New Roman" w:eastAsia="Times New Roman" w:hAnsi="Times New Roman" w:cs="Times New Roman"/>
          <w:sz w:val="24"/>
          <w:szCs w:val="24"/>
          <w:lang w:eastAsia="en-IN"/>
        </w:rPr>
        <w:t>Alotaibi</w:t>
      </w:r>
      <w:proofErr w:type="spellEnd"/>
      <w:r w:rsidRPr="0086101B">
        <w:rPr>
          <w:rFonts w:ascii="Times New Roman" w:eastAsia="Times New Roman" w:hAnsi="Times New Roman" w:cs="Times New Roman"/>
          <w:sz w:val="24"/>
          <w:szCs w:val="24"/>
          <w:lang w:eastAsia="en-IN"/>
        </w:rPr>
        <w:t xml:space="preserve"> &amp; Singh, 2025). Personalization of explanations significantly enhances perceived </w:t>
      </w:r>
      <w:proofErr w:type="spellStart"/>
      <w:r w:rsidRPr="0086101B">
        <w:rPr>
          <w:rFonts w:ascii="Times New Roman" w:eastAsia="Times New Roman" w:hAnsi="Times New Roman" w:cs="Times New Roman"/>
          <w:sz w:val="24"/>
          <w:szCs w:val="24"/>
          <w:lang w:eastAsia="en-IN"/>
        </w:rPr>
        <w:t>actionability</w:t>
      </w:r>
      <w:proofErr w:type="spellEnd"/>
      <w:r w:rsidRPr="0086101B">
        <w:rPr>
          <w:rFonts w:ascii="Times New Roman" w:eastAsia="Times New Roman" w:hAnsi="Times New Roman" w:cs="Times New Roman"/>
          <w:sz w:val="24"/>
          <w:szCs w:val="24"/>
          <w:lang w:eastAsia="en-IN"/>
        </w:rPr>
        <w:t xml:space="preserve"> and justice in loan denial scenarios, though it risks offering only superficial control (</w:t>
      </w:r>
      <w:proofErr w:type="spellStart"/>
      <w:r w:rsidRPr="0086101B">
        <w:rPr>
          <w:rFonts w:ascii="Times New Roman" w:eastAsia="Times New Roman" w:hAnsi="Times New Roman" w:cs="Times New Roman"/>
          <w:sz w:val="24"/>
          <w:szCs w:val="24"/>
          <w:lang w:eastAsia="en-IN"/>
        </w:rPr>
        <w:t>Uth</w:t>
      </w:r>
      <w:proofErr w:type="spellEnd"/>
      <w:r w:rsidRPr="0086101B">
        <w:rPr>
          <w:rFonts w:ascii="Times New Roman" w:eastAsia="Times New Roman" w:hAnsi="Times New Roman" w:cs="Times New Roman"/>
          <w:sz w:val="24"/>
          <w:szCs w:val="24"/>
          <w:lang w:eastAsia="en-IN"/>
        </w:rPr>
        <w:t xml:space="preserve"> et al., 2025).</w:t>
      </w:r>
    </w:p>
    <w:p w:rsidR="0086101B" w:rsidRPr="0086101B" w:rsidRDefault="0086101B" w:rsidP="0086101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b/>
          <w:bCs/>
          <w:sz w:val="24"/>
          <w:szCs w:val="24"/>
          <w:lang w:eastAsia="en-IN"/>
        </w:rPr>
        <w:t>Actionability</w:t>
      </w:r>
      <w:proofErr w:type="spellEnd"/>
      <w:r w:rsidRPr="0086101B">
        <w:rPr>
          <w:rFonts w:ascii="Times New Roman" w:eastAsia="Times New Roman" w:hAnsi="Times New Roman" w:cs="Times New Roman"/>
          <w:sz w:val="24"/>
          <w:szCs w:val="24"/>
          <w:lang w:eastAsia="en-IN"/>
        </w:rPr>
        <w:t xml:space="preserve"> requires explanations to provide specific, feasible steps for users to achieve a desired outcome (</w:t>
      </w:r>
      <w:proofErr w:type="spellStart"/>
      <w:r w:rsidRPr="0086101B">
        <w:rPr>
          <w:rFonts w:ascii="Times New Roman" w:eastAsia="Times New Roman" w:hAnsi="Times New Roman" w:cs="Times New Roman"/>
          <w:sz w:val="24"/>
          <w:szCs w:val="24"/>
          <w:lang w:eastAsia="en-IN"/>
        </w:rPr>
        <w:t>Alotaibi</w:t>
      </w:r>
      <w:proofErr w:type="spellEnd"/>
      <w:r w:rsidRPr="0086101B">
        <w:rPr>
          <w:rFonts w:ascii="Times New Roman" w:eastAsia="Times New Roman" w:hAnsi="Times New Roman" w:cs="Times New Roman"/>
          <w:sz w:val="24"/>
          <w:szCs w:val="24"/>
          <w:lang w:eastAsia="en-IN"/>
        </w:rPr>
        <w:t xml:space="preserve"> &amp; Singh, 2025).</w:t>
      </w:r>
    </w:p>
    <w:p w:rsidR="0086101B" w:rsidRPr="0086101B" w:rsidRDefault="0086101B" w:rsidP="0086101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Human-</w:t>
      </w:r>
      <w:proofErr w:type="spellStart"/>
      <w:r w:rsidRPr="0086101B">
        <w:rPr>
          <w:rFonts w:ascii="Times New Roman" w:eastAsia="Times New Roman" w:hAnsi="Times New Roman" w:cs="Times New Roman"/>
          <w:b/>
          <w:bCs/>
          <w:sz w:val="24"/>
          <w:szCs w:val="24"/>
          <w:lang w:eastAsia="en-IN"/>
        </w:rPr>
        <w:t>centered</w:t>
      </w:r>
      <w:proofErr w:type="spellEnd"/>
      <w:r w:rsidRPr="0086101B">
        <w:rPr>
          <w:rFonts w:ascii="Times New Roman" w:eastAsia="Times New Roman" w:hAnsi="Times New Roman" w:cs="Times New Roman"/>
          <w:b/>
          <w:bCs/>
          <w:sz w:val="24"/>
          <w:szCs w:val="24"/>
          <w:lang w:eastAsia="en-IN"/>
        </w:rPr>
        <w:t xml:space="preserve"> evaluation</w:t>
      </w:r>
      <w:r w:rsidRPr="0086101B">
        <w:rPr>
          <w:rFonts w:ascii="Times New Roman" w:eastAsia="Times New Roman" w:hAnsi="Times New Roman" w:cs="Times New Roman"/>
          <w:sz w:val="24"/>
          <w:szCs w:val="24"/>
          <w:lang w:eastAsia="en-IN"/>
        </w:rPr>
        <w:t xml:space="preserve"> often measures trust, perceived transparency, and informational fairness rather than strict </w:t>
      </w:r>
      <w:proofErr w:type="spellStart"/>
      <w:r w:rsidRPr="0086101B">
        <w:rPr>
          <w:rFonts w:ascii="Times New Roman" w:eastAsia="Times New Roman" w:hAnsi="Times New Roman" w:cs="Times New Roman"/>
          <w:sz w:val="24"/>
          <w:szCs w:val="24"/>
          <w:lang w:eastAsia="en-IN"/>
        </w:rPr>
        <w:t>actionability</w:t>
      </w:r>
      <w:proofErr w:type="spellEnd"/>
      <w:r w:rsidRPr="0086101B">
        <w:rPr>
          <w:rFonts w:ascii="Times New Roman" w:eastAsia="Times New Roman" w:hAnsi="Times New Roman" w:cs="Times New Roman"/>
          <w:sz w:val="24"/>
          <w:szCs w:val="24"/>
          <w:lang w:eastAsia="en-IN"/>
        </w:rPr>
        <w:t xml:space="preserve"> (</w:t>
      </w:r>
      <w:proofErr w:type="spellStart"/>
      <w:r w:rsidRPr="0086101B">
        <w:rPr>
          <w:rFonts w:ascii="Times New Roman" w:eastAsia="Times New Roman" w:hAnsi="Times New Roman" w:cs="Times New Roman"/>
          <w:sz w:val="24"/>
          <w:szCs w:val="24"/>
          <w:lang w:eastAsia="en-IN"/>
        </w:rPr>
        <w:t>Schoeffer</w:t>
      </w:r>
      <w:proofErr w:type="spellEnd"/>
      <w:r w:rsidRPr="0086101B">
        <w:rPr>
          <w:rFonts w:ascii="Times New Roman" w:eastAsia="Times New Roman" w:hAnsi="Times New Roman" w:cs="Times New Roman"/>
          <w:sz w:val="24"/>
          <w:szCs w:val="24"/>
          <w:lang w:eastAsia="en-IN"/>
        </w:rPr>
        <w:t xml:space="preserve"> et al., 2022; </w:t>
      </w:r>
      <w:proofErr w:type="spellStart"/>
      <w:r w:rsidRPr="0086101B">
        <w:rPr>
          <w:rFonts w:ascii="Times New Roman" w:eastAsia="Times New Roman" w:hAnsi="Times New Roman" w:cs="Times New Roman"/>
          <w:sz w:val="24"/>
          <w:szCs w:val="24"/>
          <w:lang w:eastAsia="en-IN"/>
        </w:rPr>
        <w:t>Nunes</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Jannach</w:t>
      </w:r>
      <w:proofErr w:type="spellEnd"/>
      <w:r w:rsidRPr="0086101B">
        <w:rPr>
          <w:rFonts w:ascii="Times New Roman" w:eastAsia="Times New Roman" w:hAnsi="Times New Roman" w:cs="Times New Roman"/>
          <w:sz w:val="24"/>
          <w:szCs w:val="24"/>
          <w:lang w:eastAsia="en-IN"/>
        </w:rPr>
        <w:t xml:space="preserve">, 2017; </w:t>
      </w:r>
      <w:proofErr w:type="spellStart"/>
      <w:r w:rsidRPr="0086101B">
        <w:rPr>
          <w:rFonts w:ascii="Times New Roman" w:eastAsia="Times New Roman" w:hAnsi="Times New Roman" w:cs="Times New Roman"/>
          <w:sz w:val="24"/>
          <w:szCs w:val="24"/>
          <w:lang w:eastAsia="en-IN"/>
        </w:rPr>
        <w:t>Maathuis</w:t>
      </w:r>
      <w:proofErr w:type="spellEnd"/>
      <w:r w:rsidRPr="0086101B">
        <w:rPr>
          <w:rFonts w:ascii="Times New Roman" w:eastAsia="Times New Roman" w:hAnsi="Times New Roman" w:cs="Times New Roman"/>
          <w:sz w:val="24"/>
          <w:szCs w:val="24"/>
          <w:lang w:eastAsia="en-IN"/>
        </w:rPr>
        <w:t xml:space="preserve"> et al., 2026).</w:t>
      </w:r>
    </w:p>
    <w:p w:rsidR="0086101B" w:rsidRPr="0086101B" w:rsidRDefault="0086101B" w:rsidP="0086101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Stakeholder divergence</w:t>
      </w:r>
      <w:r w:rsidRPr="0086101B">
        <w:rPr>
          <w:rFonts w:ascii="Times New Roman" w:eastAsia="Times New Roman" w:hAnsi="Times New Roman" w:cs="Times New Roman"/>
          <w:sz w:val="24"/>
          <w:szCs w:val="24"/>
          <w:lang w:eastAsia="en-IN"/>
        </w:rPr>
        <w:t xml:space="preserve"> occurs, as end-users prefer concise visual explanations while compliance officers </w:t>
      </w:r>
      <w:proofErr w:type="spellStart"/>
      <w:r w:rsidRPr="0086101B">
        <w:rPr>
          <w:rFonts w:ascii="Times New Roman" w:eastAsia="Times New Roman" w:hAnsi="Times New Roman" w:cs="Times New Roman"/>
          <w:sz w:val="24"/>
          <w:szCs w:val="24"/>
          <w:lang w:eastAsia="en-IN"/>
        </w:rPr>
        <w:t>favor</w:t>
      </w:r>
      <w:proofErr w:type="spellEnd"/>
      <w:r w:rsidRPr="0086101B">
        <w:rPr>
          <w:rFonts w:ascii="Times New Roman" w:eastAsia="Times New Roman" w:hAnsi="Times New Roman" w:cs="Times New Roman"/>
          <w:sz w:val="24"/>
          <w:szCs w:val="24"/>
          <w:lang w:eastAsia="en-IN"/>
        </w:rPr>
        <w:t xml:space="preserve"> technically complete representations (</w:t>
      </w:r>
      <w:proofErr w:type="spellStart"/>
      <w:r w:rsidRPr="0086101B">
        <w:rPr>
          <w:rFonts w:ascii="Times New Roman" w:eastAsia="Times New Roman" w:hAnsi="Times New Roman" w:cs="Times New Roman"/>
          <w:sz w:val="24"/>
          <w:szCs w:val="24"/>
          <w:lang w:eastAsia="en-IN"/>
        </w:rPr>
        <w:t>Maathuis</w:t>
      </w:r>
      <w:proofErr w:type="spellEnd"/>
      <w:r w:rsidRPr="0086101B">
        <w:rPr>
          <w:rFonts w:ascii="Times New Roman" w:eastAsia="Times New Roman" w:hAnsi="Times New Roman" w:cs="Times New Roman"/>
          <w:sz w:val="24"/>
          <w:szCs w:val="24"/>
          <w:lang w:eastAsia="en-IN"/>
        </w:rPr>
        <w:t xml:space="preserve"> et al., 2026).</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Evaluating explanation quality in financial and scholarship systems requires balancing these three dimensions, as optimizing for one often trades off against another (</w:t>
      </w:r>
      <w:proofErr w:type="spellStart"/>
      <w:r w:rsidRPr="0086101B">
        <w:rPr>
          <w:rFonts w:ascii="Times New Roman" w:eastAsia="Times New Roman" w:hAnsi="Times New Roman" w:cs="Times New Roman"/>
          <w:sz w:val="24"/>
          <w:szCs w:val="24"/>
          <w:lang w:eastAsia="en-IN"/>
        </w:rPr>
        <w:t>Dastile</w:t>
      </w:r>
      <w:proofErr w:type="spellEnd"/>
      <w:r w:rsidRPr="0086101B">
        <w:rPr>
          <w:rFonts w:ascii="Times New Roman" w:eastAsia="Times New Roman" w:hAnsi="Times New Roman" w:cs="Times New Roman"/>
          <w:sz w:val="24"/>
          <w:szCs w:val="24"/>
          <w:lang w:eastAsia="en-IN"/>
        </w:rPr>
        <w:t xml:space="preserve"> &amp; </w:t>
      </w:r>
      <w:proofErr w:type="spellStart"/>
      <w:r w:rsidRPr="0086101B">
        <w:rPr>
          <w:rFonts w:ascii="Times New Roman" w:eastAsia="Times New Roman" w:hAnsi="Times New Roman" w:cs="Times New Roman"/>
          <w:sz w:val="24"/>
          <w:szCs w:val="24"/>
          <w:lang w:eastAsia="en-IN"/>
        </w:rPr>
        <w:t>Çelik</w:t>
      </w:r>
      <w:proofErr w:type="spellEnd"/>
      <w:r w:rsidRPr="0086101B">
        <w:rPr>
          <w:rFonts w:ascii="Times New Roman" w:eastAsia="Times New Roman" w:hAnsi="Times New Roman" w:cs="Times New Roman"/>
          <w:sz w:val="24"/>
          <w:szCs w:val="24"/>
          <w:lang w:eastAsia="en-IN"/>
        </w:rPr>
        <w:t xml:space="preserve">, 2024; </w:t>
      </w:r>
      <w:proofErr w:type="spellStart"/>
      <w:r w:rsidRPr="0086101B">
        <w:rPr>
          <w:rFonts w:ascii="Times New Roman" w:eastAsia="Times New Roman" w:hAnsi="Times New Roman" w:cs="Times New Roman"/>
          <w:sz w:val="24"/>
          <w:szCs w:val="24"/>
          <w:lang w:eastAsia="en-IN"/>
        </w:rPr>
        <w:t>Maathuis</w:t>
      </w:r>
      <w:proofErr w:type="spellEnd"/>
      <w:r w:rsidRPr="0086101B">
        <w:rPr>
          <w:rFonts w:ascii="Times New Roman" w:eastAsia="Times New Roman" w:hAnsi="Times New Roman" w:cs="Times New Roman"/>
          <w:sz w:val="24"/>
          <w:szCs w:val="24"/>
          <w:lang w:eastAsia="en-IN"/>
        </w:rPr>
        <w:t xml:space="preserve"> et al., 2026; </w:t>
      </w: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2022).</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i/>
          <w:iCs/>
          <w:sz w:val="24"/>
          <w:szCs w:val="24"/>
          <w:lang w:eastAsia="en-IN"/>
        </w:rPr>
        <w:t xml:space="preserve">These search results were found and </w:t>
      </w:r>
      <w:proofErr w:type="spellStart"/>
      <w:r w:rsidRPr="0086101B">
        <w:rPr>
          <w:rFonts w:ascii="Times New Roman" w:eastAsia="Times New Roman" w:hAnsi="Times New Roman" w:cs="Times New Roman"/>
          <w:i/>
          <w:iCs/>
          <w:sz w:val="24"/>
          <w:szCs w:val="24"/>
          <w:lang w:eastAsia="en-IN"/>
        </w:rPr>
        <w:t>analyzed</w:t>
      </w:r>
      <w:proofErr w:type="spellEnd"/>
      <w:r w:rsidRPr="0086101B">
        <w:rPr>
          <w:rFonts w:ascii="Times New Roman" w:eastAsia="Times New Roman" w:hAnsi="Times New Roman" w:cs="Times New Roman"/>
          <w:i/>
          <w:iCs/>
          <w:sz w:val="24"/>
          <w:szCs w:val="24"/>
          <w:lang w:eastAsia="en-IN"/>
        </w:rPr>
        <w:t xml:space="preserve"> using Consensus, an AI-powered search engine for research. Try it at </w:t>
      </w:r>
      <w:hyperlink r:id="rId124" w:history="1">
        <w:r w:rsidRPr="0086101B">
          <w:rPr>
            <w:rFonts w:ascii="Times New Roman" w:eastAsia="Times New Roman" w:hAnsi="Times New Roman" w:cs="Times New Roman"/>
            <w:i/>
            <w:iCs/>
            <w:color w:val="0000FF"/>
            <w:sz w:val="24"/>
            <w:szCs w:val="24"/>
            <w:u w:val="single"/>
            <w:lang w:eastAsia="en-IN"/>
          </w:rPr>
          <w:t>https://consensus.app</w:t>
        </w:r>
      </w:hyperlink>
      <w:r w:rsidRPr="0086101B">
        <w:rPr>
          <w:rFonts w:ascii="Times New Roman" w:eastAsia="Times New Roman" w:hAnsi="Times New Roman" w:cs="Times New Roman"/>
          <w:i/>
          <w:iCs/>
          <w:sz w:val="24"/>
          <w:szCs w:val="24"/>
          <w:lang w:eastAsia="en-IN"/>
        </w:rPr>
        <w:t>. © 2026 Consensus NLP, Inc. Personal, non-commercial use only; redistribution requires copyright holders’ consent.</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101B">
        <w:rPr>
          <w:rFonts w:ascii="Times New Roman" w:eastAsia="Times New Roman" w:hAnsi="Times New Roman" w:cs="Times New Roman"/>
          <w:b/>
          <w:bCs/>
          <w:sz w:val="36"/>
          <w:szCs w:val="36"/>
          <w:lang w:eastAsia="en-IN"/>
        </w:rPr>
        <w:lastRenderedPageBreak/>
        <w:t>References</w:t>
      </w:r>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Alotaibi</w:t>
      </w:r>
      <w:proofErr w:type="spellEnd"/>
      <w:r w:rsidRPr="0086101B">
        <w:rPr>
          <w:rFonts w:ascii="Times New Roman" w:eastAsia="Times New Roman" w:hAnsi="Times New Roman" w:cs="Times New Roman"/>
          <w:sz w:val="24"/>
          <w:szCs w:val="24"/>
          <w:lang w:eastAsia="en-IN"/>
        </w:rPr>
        <w:t xml:space="preserve">, H., &amp; Singh, R. (2025). Explain to Whom? From User Feedback to Actionable Explanations. </w:t>
      </w:r>
      <w:r w:rsidRPr="0086101B">
        <w:rPr>
          <w:rFonts w:ascii="Times New Roman" w:eastAsia="Times New Roman" w:hAnsi="Times New Roman" w:cs="Times New Roman"/>
          <w:i/>
          <w:iCs/>
          <w:sz w:val="24"/>
          <w:szCs w:val="24"/>
          <w:lang w:eastAsia="en-IN"/>
        </w:rPr>
        <w:t>International Journal of Human–Computer Interaction, 42</w:t>
      </w:r>
      <w:r w:rsidRPr="0086101B">
        <w:rPr>
          <w:rFonts w:ascii="Times New Roman" w:eastAsia="Times New Roman" w:hAnsi="Times New Roman" w:cs="Times New Roman"/>
          <w:sz w:val="24"/>
          <w:szCs w:val="24"/>
          <w:lang w:eastAsia="en-IN"/>
        </w:rPr>
        <w:t xml:space="preserve">, 655 - 667. </w:t>
      </w:r>
      <w:hyperlink r:id="rId125" w:history="1">
        <w:r w:rsidRPr="0086101B">
          <w:rPr>
            <w:rFonts w:ascii="Times New Roman" w:eastAsia="Times New Roman" w:hAnsi="Times New Roman" w:cs="Times New Roman"/>
            <w:color w:val="0000FF"/>
            <w:sz w:val="24"/>
            <w:szCs w:val="24"/>
            <w:u w:val="single"/>
            <w:lang w:eastAsia="en-IN"/>
          </w:rPr>
          <w:t>https://doi.org/10.1080/10447318.2025.2510824</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Balagopalan</w:t>
      </w:r>
      <w:proofErr w:type="spellEnd"/>
      <w:r w:rsidRPr="0086101B">
        <w:rPr>
          <w:rFonts w:ascii="Times New Roman" w:eastAsia="Times New Roman" w:hAnsi="Times New Roman" w:cs="Times New Roman"/>
          <w:sz w:val="24"/>
          <w:szCs w:val="24"/>
          <w:lang w:eastAsia="en-IN"/>
        </w:rPr>
        <w:t xml:space="preserve">, A., Zhang, H., </w:t>
      </w:r>
      <w:proofErr w:type="spellStart"/>
      <w:r w:rsidRPr="0086101B">
        <w:rPr>
          <w:rFonts w:ascii="Times New Roman" w:eastAsia="Times New Roman" w:hAnsi="Times New Roman" w:cs="Times New Roman"/>
          <w:sz w:val="24"/>
          <w:szCs w:val="24"/>
          <w:lang w:eastAsia="en-IN"/>
        </w:rPr>
        <w:t>Hamidieh</w:t>
      </w:r>
      <w:proofErr w:type="spellEnd"/>
      <w:r w:rsidRPr="0086101B">
        <w:rPr>
          <w:rFonts w:ascii="Times New Roman" w:eastAsia="Times New Roman" w:hAnsi="Times New Roman" w:cs="Times New Roman"/>
          <w:sz w:val="24"/>
          <w:szCs w:val="24"/>
          <w:lang w:eastAsia="en-IN"/>
        </w:rPr>
        <w:t xml:space="preserve">, K., </w:t>
      </w:r>
      <w:proofErr w:type="spellStart"/>
      <w:r w:rsidRPr="0086101B">
        <w:rPr>
          <w:rFonts w:ascii="Times New Roman" w:eastAsia="Times New Roman" w:hAnsi="Times New Roman" w:cs="Times New Roman"/>
          <w:sz w:val="24"/>
          <w:szCs w:val="24"/>
          <w:lang w:eastAsia="en-IN"/>
        </w:rPr>
        <w:t>Hartvigsen</w:t>
      </w:r>
      <w:proofErr w:type="spellEnd"/>
      <w:r w:rsidRPr="0086101B">
        <w:rPr>
          <w:rFonts w:ascii="Times New Roman" w:eastAsia="Times New Roman" w:hAnsi="Times New Roman" w:cs="Times New Roman"/>
          <w:sz w:val="24"/>
          <w:szCs w:val="24"/>
          <w:lang w:eastAsia="en-IN"/>
        </w:rPr>
        <w:t xml:space="preserve">, T., </w:t>
      </w:r>
      <w:proofErr w:type="spellStart"/>
      <w:r w:rsidRPr="0086101B">
        <w:rPr>
          <w:rFonts w:ascii="Times New Roman" w:eastAsia="Times New Roman" w:hAnsi="Times New Roman" w:cs="Times New Roman"/>
          <w:sz w:val="24"/>
          <w:szCs w:val="24"/>
          <w:lang w:eastAsia="en-IN"/>
        </w:rPr>
        <w:t>Rudzicz</w:t>
      </w:r>
      <w:proofErr w:type="spellEnd"/>
      <w:r w:rsidRPr="0086101B">
        <w:rPr>
          <w:rFonts w:ascii="Times New Roman" w:eastAsia="Times New Roman" w:hAnsi="Times New Roman" w:cs="Times New Roman"/>
          <w:sz w:val="24"/>
          <w:szCs w:val="24"/>
          <w:lang w:eastAsia="en-IN"/>
        </w:rPr>
        <w:t xml:space="preserve">, F., &amp; </w:t>
      </w:r>
      <w:proofErr w:type="spellStart"/>
      <w:r w:rsidRPr="0086101B">
        <w:rPr>
          <w:rFonts w:ascii="Times New Roman" w:eastAsia="Times New Roman" w:hAnsi="Times New Roman" w:cs="Times New Roman"/>
          <w:sz w:val="24"/>
          <w:szCs w:val="24"/>
          <w:lang w:eastAsia="en-IN"/>
        </w:rPr>
        <w:t>Ghassemi</w:t>
      </w:r>
      <w:proofErr w:type="spellEnd"/>
      <w:r w:rsidRPr="0086101B">
        <w:rPr>
          <w:rFonts w:ascii="Times New Roman" w:eastAsia="Times New Roman" w:hAnsi="Times New Roman" w:cs="Times New Roman"/>
          <w:sz w:val="24"/>
          <w:szCs w:val="24"/>
          <w:lang w:eastAsia="en-IN"/>
        </w:rPr>
        <w:t xml:space="preserve">, M. (2022). The Road to </w:t>
      </w:r>
      <w:proofErr w:type="spellStart"/>
      <w:r w:rsidRPr="0086101B">
        <w:rPr>
          <w:rFonts w:ascii="Times New Roman" w:eastAsia="Times New Roman" w:hAnsi="Times New Roman" w:cs="Times New Roman"/>
          <w:sz w:val="24"/>
          <w:szCs w:val="24"/>
          <w:lang w:eastAsia="en-IN"/>
        </w:rPr>
        <w:t>Explainability</w:t>
      </w:r>
      <w:proofErr w:type="spellEnd"/>
      <w:r w:rsidRPr="0086101B">
        <w:rPr>
          <w:rFonts w:ascii="Times New Roman" w:eastAsia="Times New Roman" w:hAnsi="Times New Roman" w:cs="Times New Roman"/>
          <w:sz w:val="24"/>
          <w:szCs w:val="24"/>
          <w:lang w:eastAsia="en-IN"/>
        </w:rPr>
        <w:t xml:space="preserve"> is Paved with Bias: Measuring the Fairness of Explanations. </w:t>
      </w:r>
      <w:r w:rsidRPr="0086101B">
        <w:rPr>
          <w:rFonts w:ascii="Times New Roman" w:eastAsia="Times New Roman" w:hAnsi="Times New Roman" w:cs="Times New Roman"/>
          <w:i/>
          <w:iCs/>
          <w:sz w:val="24"/>
          <w:szCs w:val="24"/>
          <w:lang w:eastAsia="en-IN"/>
        </w:rPr>
        <w:t>Proceedings of the 2022 ACM Conference on Fairness, Accountability, and Transparency</w:t>
      </w:r>
      <w:r w:rsidRPr="0086101B">
        <w:rPr>
          <w:rFonts w:ascii="Times New Roman" w:eastAsia="Times New Roman" w:hAnsi="Times New Roman" w:cs="Times New Roman"/>
          <w:sz w:val="24"/>
          <w:szCs w:val="24"/>
          <w:lang w:eastAsia="en-IN"/>
        </w:rPr>
        <w:t xml:space="preserve">. </w:t>
      </w:r>
      <w:hyperlink r:id="rId126" w:history="1">
        <w:r w:rsidRPr="0086101B">
          <w:rPr>
            <w:rFonts w:ascii="Times New Roman" w:eastAsia="Times New Roman" w:hAnsi="Times New Roman" w:cs="Times New Roman"/>
            <w:color w:val="0000FF"/>
            <w:sz w:val="24"/>
            <w:szCs w:val="24"/>
            <w:u w:val="single"/>
            <w:lang w:eastAsia="en-IN"/>
          </w:rPr>
          <w:t>https://doi.org/10.1145/3531146.3533179</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Carvalho</w:t>
      </w:r>
      <w:proofErr w:type="spellEnd"/>
      <w:r w:rsidRPr="0086101B">
        <w:rPr>
          <w:rFonts w:ascii="Times New Roman" w:eastAsia="Times New Roman" w:hAnsi="Times New Roman" w:cs="Times New Roman"/>
          <w:sz w:val="24"/>
          <w:szCs w:val="24"/>
          <w:lang w:eastAsia="en-IN"/>
        </w:rPr>
        <w:t xml:space="preserve">, D. V., Pereira, E. M., &amp; Cardoso, J. S. (2019). Machine Learning Interpretability: A Survey on Methods and Metrics. </w:t>
      </w:r>
      <w:r w:rsidRPr="0086101B">
        <w:rPr>
          <w:rFonts w:ascii="Times New Roman" w:eastAsia="Times New Roman" w:hAnsi="Times New Roman" w:cs="Times New Roman"/>
          <w:i/>
          <w:iCs/>
          <w:sz w:val="24"/>
          <w:szCs w:val="24"/>
          <w:lang w:eastAsia="en-IN"/>
        </w:rPr>
        <w:t>Electronics</w:t>
      </w:r>
      <w:r w:rsidRPr="0086101B">
        <w:rPr>
          <w:rFonts w:ascii="Times New Roman" w:eastAsia="Times New Roman" w:hAnsi="Times New Roman" w:cs="Times New Roman"/>
          <w:sz w:val="24"/>
          <w:szCs w:val="24"/>
          <w:lang w:eastAsia="en-IN"/>
        </w:rPr>
        <w:t xml:space="preserve">. </w:t>
      </w:r>
      <w:hyperlink r:id="rId127" w:history="1">
        <w:r w:rsidRPr="0086101B">
          <w:rPr>
            <w:rFonts w:ascii="Times New Roman" w:eastAsia="Times New Roman" w:hAnsi="Times New Roman" w:cs="Times New Roman"/>
            <w:color w:val="0000FF"/>
            <w:sz w:val="24"/>
            <w:szCs w:val="24"/>
            <w:u w:val="single"/>
            <w:lang w:eastAsia="en-IN"/>
          </w:rPr>
          <w:t>https://doi.org/10.3390/electronics8080832</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Dastile</w:t>
      </w:r>
      <w:proofErr w:type="spellEnd"/>
      <w:r w:rsidRPr="0086101B">
        <w:rPr>
          <w:rFonts w:ascii="Times New Roman" w:eastAsia="Times New Roman" w:hAnsi="Times New Roman" w:cs="Times New Roman"/>
          <w:sz w:val="24"/>
          <w:szCs w:val="24"/>
          <w:lang w:eastAsia="en-IN"/>
        </w:rPr>
        <w:t xml:space="preserve">, X., &amp; </w:t>
      </w:r>
      <w:proofErr w:type="spellStart"/>
      <w:r w:rsidRPr="0086101B">
        <w:rPr>
          <w:rFonts w:ascii="Times New Roman" w:eastAsia="Times New Roman" w:hAnsi="Times New Roman" w:cs="Times New Roman"/>
          <w:sz w:val="24"/>
          <w:szCs w:val="24"/>
          <w:lang w:eastAsia="en-IN"/>
        </w:rPr>
        <w:t>Çelik</w:t>
      </w:r>
      <w:proofErr w:type="spellEnd"/>
      <w:r w:rsidRPr="0086101B">
        <w:rPr>
          <w:rFonts w:ascii="Times New Roman" w:eastAsia="Times New Roman" w:hAnsi="Times New Roman" w:cs="Times New Roman"/>
          <w:sz w:val="24"/>
          <w:szCs w:val="24"/>
          <w:lang w:eastAsia="en-IN"/>
        </w:rPr>
        <w:t xml:space="preserve">, T. (2024). Counterfactual Explanations </w:t>
      </w:r>
      <w:proofErr w:type="gramStart"/>
      <w:r w:rsidRPr="0086101B">
        <w:rPr>
          <w:rFonts w:ascii="Times New Roman" w:eastAsia="Times New Roman" w:hAnsi="Times New Roman" w:cs="Times New Roman"/>
          <w:sz w:val="24"/>
          <w:szCs w:val="24"/>
          <w:lang w:eastAsia="en-IN"/>
        </w:rPr>
        <w:t>With</w:t>
      </w:r>
      <w:proofErr w:type="gramEnd"/>
      <w:r w:rsidRPr="0086101B">
        <w:rPr>
          <w:rFonts w:ascii="Times New Roman" w:eastAsia="Times New Roman" w:hAnsi="Times New Roman" w:cs="Times New Roman"/>
          <w:sz w:val="24"/>
          <w:szCs w:val="24"/>
          <w:lang w:eastAsia="en-IN"/>
        </w:rPr>
        <w:t xml:space="preserve"> Multiple Properties in Credit Scoring. </w:t>
      </w:r>
      <w:r w:rsidRPr="0086101B">
        <w:rPr>
          <w:rFonts w:ascii="Times New Roman" w:eastAsia="Times New Roman" w:hAnsi="Times New Roman" w:cs="Times New Roman"/>
          <w:i/>
          <w:iCs/>
          <w:sz w:val="24"/>
          <w:szCs w:val="24"/>
          <w:lang w:eastAsia="en-IN"/>
        </w:rPr>
        <w:t>IEEE Access, 12</w:t>
      </w:r>
      <w:r w:rsidRPr="0086101B">
        <w:rPr>
          <w:rFonts w:ascii="Times New Roman" w:eastAsia="Times New Roman" w:hAnsi="Times New Roman" w:cs="Times New Roman"/>
          <w:sz w:val="24"/>
          <w:szCs w:val="24"/>
          <w:lang w:eastAsia="en-IN"/>
        </w:rPr>
        <w:t xml:space="preserve">, 110713-110728. </w:t>
      </w:r>
      <w:hyperlink r:id="rId128" w:history="1">
        <w:r w:rsidRPr="0086101B">
          <w:rPr>
            <w:rFonts w:ascii="Times New Roman" w:eastAsia="Times New Roman" w:hAnsi="Times New Roman" w:cs="Times New Roman"/>
            <w:color w:val="0000FF"/>
            <w:sz w:val="24"/>
            <w:szCs w:val="24"/>
            <w:u w:val="single"/>
            <w:lang w:eastAsia="en-IN"/>
          </w:rPr>
          <w:t>https://doi.org/10.1109/access.2024.3441037</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R., </w:t>
      </w:r>
      <w:proofErr w:type="spellStart"/>
      <w:r w:rsidRPr="0086101B">
        <w:rPr>
          <w:rFonts w:ascii="Times New Roman" w:eastAsia="Times New Roman" w:hAnsi="Times New Roman" w:cs="Times New Roman"/>
          <w:sz w:val="24"/>
          <w:szCs w:val="24"/>
          <w:lang w:eastAsia="en-IN"/>
        </w:rPr>
        <w:t>Monreale</w:t>
      </w:r>
      <w:proofErr w:type="spellEnd"/>
      <w:r w:rsidRPr="0086101B">
        <w:rPr>
          <w:rFonts w:ascii="Times New Roman" w:eastAsia="Times New Roman" w:hAnsi="Times New Roman" w:cs="Times New Roman"/>
          <w:sz w:val="24"/>
          <w:szCs w:val="24"/>
          <w:lang w:eastAsia="en-IN"/>
        </w:rPr>
        <w:t xml:space="preserve">, A., </w:t>
      </w:r>
      <w:proofErr w:type="spellStart"/>
      <w:r w:rsidRPr="0086101B">
        <w:rPr>
          <w:rFonts w:ascii="Times New Roman" w:eastAsia="Times New Roman" w:hAnsi="Times New Roman" w:cs="Times New Roman"/>
          <w:sz w:val="24"/>
          <w:szCs w:val="24"/>
          <w:lang w:eastAsia="en-IN"/>
        </w:rPr>
        <w:t>Ruggieri</w:t>
      </w:r>
      <w:proofErr w:type="spellEnd"/>
      <w:r w:rsidRPr="0086101B">
        <w:rPr>
          <w:rFonts w:ascii="Times New Roman" w:eastAsia="Times New Roman" w:hAnsi="Times New Roman" w:cs="Times New Roman"/>
          <w:sz w:val="24"/>
          <w:szCs w:val="24"/>
          <w:lang w:eastAsia="en-IN"/>
        </w:rPr>
        <w:t xml:space="preserve">, S., </w:t>
      </w:r>
      <w:proofErr w:type="spellStart"/>
      <w:r w:rsidRPr="0086101B">
        <w:rPr>
          <w:rFonts w:ascii="Times New Roman" w:eastAsia="Times New Roman" w:hAnsi="Times New Roman" w:cs="Times New Roman"/>
          <w:sz w:val="24"/>
          <w:szCs w:val="24"/>
          <w:lang w:eastAsia="en-IN"/>
        </w:rPr>
        <w:t>Naretto</w:t>
      </w:r>
      <w:proofErr w:type="spellEnd"/>
      <w:r w:rsidRPr="0086101B">
        <w:rPr>
          <w:rFonts w:ascii="Times New Roman" w:eastAsia="Times New Roman" w:hAnsi="Times New Roman" w:cs="Times New Roman"/>
          <w:sz w:val="24"/>
          <w:szCs w:val="24"/>
          <w:lang w:eastAsia="en-IN"/>
        </w:rPr>
        <w:t xml:space="preserve">, F., </w:t>
      </w:r>
      <w:proofErr w:type="spellStart"/>
      <w:r w:rsidRPr="0086101B">
        <w:rPr>
          <w:rFonts w:ascii="Times New Roman" w:eastAsia="Times New Roman" w:hAnsi="Times New Roman" w:cs="Times New Roman"/>
          <w:sz w:val="24"/>
          <w:szCs w:val="24"/>
          <w:lang w:eastAsia="en-IN"/>
        </w:rPr>
        <w:t>Turini</w:t>
      </w:r>
      <w:proofErr w:type="spellEnd"/>
      <w:r w:rsidRPr="0086101B">
        <w:rPr>
          <w:rFonts w:ascii="Times New Roman" w:eastAsia="Times New Roman" w:hAnsi="Times New Roman" w:cs="Times New Roman"/>
          <w:sz w:val="24"/>
          <w:szCs w:val="24"/>
          <w:lang w:eastAsia="en-IN"/>
        </w:rPr>
        <w:t xml:space="preserve">, F., </w:t>
      </w:r>
      <w:proofErr w:type="spellStart"/>
      <w:r w:rsidRPr="0086101B">
        <w:rPr>
          <w:rFonts w:ascii="Times New Roman" w:eastAsia="Times New Roman" w:hAnsi="Times New Roman" w:cs="Times New Roman"/>
          <w:sz w:val="24"/>
          <w:szCs w:val="24"/>
          <w:lang w:eastAsia="en-IN"/>
        </w:rPr>
        <w:t>Pedreschi</w:t>
      </w:r>
      <w:proofErr w:type="spellEnd"/>
      <w:r w:rsidRPr="0086101B">
        <w:rPr>
          <w:rFonts w:ascii="Times New Roman" w:eastAsia="Times New Roman" w:hAnsi="Times New Roman" w:cs="Times New Roman"/>
          <w:sz w:val="24"/>
          <w:szCs w:val="24"/>
          <w:lang w:eastAsia="en-IN"/>
        </w:rPr>
        <w:t xml:space="preserve">, D., &amp; Giannotti, F. (2022). Stable and actionable explanations of black-box models through factual and counterfactual rules. </w:t>
      </w:r>
      <w:r w:rsidRPr="0086101B">
        <w:rPr>
          <w:rFonts w:ascii="Times New Roman" w:eastAsia="Times New Roman" w:hAnsi="Times New Roman" w:cs="Times New Roman"/>
          <w:i/>
          <w:iCs/>
          <w:sz w:val="24"/>
          <w:szCs w:val="24"/>
          <w:lang w:eastAsia="en-IN"/>
        </w:rPr>
        <w:t>Data Mining and Knowledge Discovery, 38</w:t>
      </w:r>
      <w:r w:rsidRPr="0086101B">
        <w:rPr>
          <w:rFonts w:ascii="Times New Roman" w:eastAsia="Times New Roman" w:hAnsi="Times New Roman" w:cs="Times New Roman"/>
          <w:sz w:val="24"/>
          <w:szCs w:val="24"/>
          <w:lang w:eastAsia="en-IN"/>
        </w:rPr>
        <w:t xml:space="preserve">, 2825 - 2862. </w:t>
      </w:r>
      <w:hyperlink r:id="rId129" w:history="1">
        <w:r w:rsidRPr="0086101B">
          <w:rPr>
            <w:rFonts w:ascii="Times New Roman" w:eastAsia="Times New Roman" w:hAnsi="Times New Roman" w:cs="Times New Roman"/>
            <w:color w:val="0000FF"/>
            <w:sz w:val="24"/>
            <w:szCs w:val="24"/>
            <w:u w:val="single"/>
            <w:lang w:eastAsia="en-IN"/>
          </w:rPr>
          <w:t>https://doi.org/10.1007/s10618-022-00878-5</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R., </w:t>
      </w:r>
      <w:proofErr w:type="spellStart"/>
      <w:r w:rsidRPr="0086101B">
        <w:rPr>
          <w:rFonts w:ascii="Times New Roman" w:eastAsia="Times New Roman" w:hAnsi="Times New Roman" w:cs="Times New Roman"/>
          <w:sz w:val="24"/>
          <w:szCs w:val="24"/>
          <w:lang w:eastAsia="en-IN"/>
        </w:rPr>
        <w:t>Monreale</w:t>
      </w:r>
      <w:proofErr w:type="spellEnd"/>
      <w:r w:rsidRPr="0086101B">
        <w:rPr>
          <w:rFonts w:ascii="Times New Roman" w:eastAsia="Times New Roman" w:hAnsi="Times New Roman" w:cs="Times New Roman"/>
          <w:sz w:val="24"/>
          <w:szCs w:val="24"/>
          <w:lang w:eastAsia="en-IN"/>
        </w:rPr>
        <w:t xml:space="preserve">, A., Giannotti, F., </w:t>
      </w:r>
      <w:proofErr w:type="spellStart"/>
      <w:r w:rsidRPr="0086101B">
        <w:rPr>
          <w:rFonts w:ascii="Times New Roman" w:eastAsia="Times New Roman" w:hAnsi="Times New Roman" w:cs="Times New Roman"/>
          <w:sz w:val="24"/>
          <w:szCs w:val="24"/>
          <w:lang w:eastAsia="en-IN"/>
        </w:rPr>
        <w:t>Pedreschi</w:t>
      </w:r>
      <w:proofErr w:type="spellEnd"/>
      <w:r w:rsidRPr="0086101B">
        <w:rPr>
          <w:rFonts w:ascii="Times New Roman" w:eastAsia="Times New Roman" w:hAnsi="Times New Roman" w:cs="Times New Roman"/>
          <w:sz w:val="24"/>
          <w:szCs w:val="24"/>
          <w:lang w:eastAsia="en-IN"/>
        </w:rPr>
        <w:t xml:space="preserve">, D., </w:t>
      </w:r>
      <w:proofErr w:type="spellStart"/>
      <w:r w:rsidRPr="0086101B">
        <w:rPr>
          <w:rFonts w:ascii="Times New Roman" w:eastAsia="Times New Roman" w:hAnsi="Times New Roman" w:cs="Times New Roman"/>
          <w:sz w:val="24"/>
          <w:szCs w:val="24"/>
          <w:lang w:eastAsia="en-IN"/>
        </w:rPr>
        <w:t>Ruggieri</w:t>
      </w:r>
      <w:proofErr w:type="spellEnd"/>
      <w:r w:rsidRPr="0086101B">
        <w:rPr>
          <w:rFonts w:ascii="Times New Roman" w:eastAsia="Times New Roman" w:hAnsi="Times New Roman" w:cs="Times New Roman"/>
          <w:sz w:val="24"/>
          <w:szCs w:val="24"/>
          <w:lang w:eastAsia="en-IN"/>
        </w:rPr>
        <w:t xml:space="preserve">, S., &amp; </w:t>
      </w:r>
      <w:proofErr w:type="spellStart"/>
      <w:r w:rsidRPr="0086101B">
        <w:rPr>
          <w:rFonts w:ascii="Times New Roman" w:eastAsia="Times New Roman" w:hAnsi="Times New Roman" w:cs="Times New Roman"/>
          <w:sz w:val="24"/>
          <w:szCs w:val="24"/>
          <w:lang w:eastAsia="en-IN"/>
        </w:rPr>
        <w:t>Turini</w:t>
      </w:r>
      <w:proofErr w:type="spellEnd"/>
      <w:r w:rsidRPr="0086101B">
        <w:rPr>
          <w:rFonts w:ascii="Times New Roman" w:eastAsia="Times New Roman" w:hAnsi="Times New Roman" w:cs="Times New Roman"/>
          <w:sz w:val="24"/>
          <w:szCs w:val="24"/>
          <w:lang w:eastAsia="en-IN"/>
        </w:rPr>
        <w:t xml:space="preserve">, F. (2019). Factual and Counterfactual Explanations for Black Box Decision Making. </w:t>
      </w:r>
      <w:r w:rsidRPr="0086101B">
        <w:rPr>
          <w:rFonts w:ascii="Times New Roman" w:eastAsia="Times New Roman" w:hAnsi="Times New Roman" w:cs="Times New Roman"/>
          <w:i/>
          <w:iCs/>
          <w:sz w:val="24"/>
          <w:szCs w:val="24"/>
          <w:lang w:eastAsia="en-IN"/>
        </w:rPr>
        <w:t>IEEE Intelligent Systems, 34</w:t>
      </w:r>
      <w:r w:rsidRPr="0086101B">
        <w:rPr>
          <w:rFonts w:ascii="Times New Roman" w:eastAsia="Times New Roman" w:hAnsi="Times New Roman" w:cs="Times New Roman"/>
          <w:sz w:val="24"/>
          <w:szCs w:val="24"/>
          <w:lang w:eastAsia="en-IN"/>
        </w:rPr>
        <w:t xml:space="preserve">, 14-23. </w:t>
      </w:r>
      <w:hyperlink r:id="rId130" w:history="1">
        <w:r w:rsidRPr="0086101B">
          <w:rPr>
            <w:rFonts w:ascii="Times New Roman" w:eastAsia="Times New Roman" w:hAnsi="Times New Roman" w:cs="Times New Roman"/>
            <w:color w:val="0000FF"/>
            <w:sz w:val="24"/>
            <w:szCs w:val="24"/>
            <w:u w:val="single"/>
            <w:lang w:eastAsia="en-IN"/>
          </w:rPr>
          <w:t>https://doi.org/10.1109/mis.2019.2957223</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Guidotti</w:t>
      </w:r>
      <w:proofErr w:type="spellEnd"/>
      <w:r w:rsidRPr="0086101B">
        <w:rPr>
          <w:rFonts w:ascii="Times New Roman" w:eastAsia="Times New Roman" w:hAnsi="Times New Roman" w:cs="Times New Roman"/>
          <w:sz w:val="24"/>
          <w:szCs w:val="24"/>
          <w:lang w:eastAsia="en-IN"/>
        </w:rPr>
        <w:t xml:space="preserve">, R. (2022). Counterfactual explanations and how to find them: literature review and benchmarking. </w:t>
      </w:r>
      <w:r w:rsidRPr="0086101B">
        <w:rPr>
          <w:rFonts w:ascii="Times New Roman" w:eastAsia="Times New Roman" w:hAnsi="Times New Roman" w:cs="Times New Roman"/>
          <w:i/>
          <w:iCs/>
          <w:sz w:val="24"/>
          <w:szCs w:val="24"/>
          <w:lang w:eastAsia="en-IN"/>
        </w:rPr>
        <w:t>Data Mining and Knowledge Discovery, 38</w:t>
      </w:r>
      <w:r w:rsidRPr="0086101B">
        <w:rPr>
          <w:rFonts w:ascii="Times New Roman" w:eastAsia="Times New Roman" w:hAnsi="Times New Roman" w:cs="Times New Roman"/>
          <w:sz w:val="24"/>
          <w:szCs w:val="24"/>
          <w:lang w:eastAsia="en-IN"/>
        </w:rPr>
        <w:t xml:space="preserve">, 2770 - 2824. </w:t>
      </w:r>
      <w:hyperlink r:id="rId131" w:history="1">
        <w:r w:rsidRPr="0086101B">
          <w:rPr>
            <w:rFonts w:ascii="Times New Roman" w:eastAsia="Times New Roman" w:hAnsi="Times New Roman" w:cs="Times New Roman"/>
            <w:color w:val="0000FF"/>
            <w:sz w:val="24"/>
            <w:szCs w:val="24"/>
            <w:u w:val="single"/>
            <w:lang w:eastAsia="en-IN"/>
          </w:rPr>
          <w:t>https://doi.org/10.1007/s10618-022-00831-6</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Islam, S. (2023). Explainable Data Analytics in Financial Decision Systems: Enhancing Transparency in Big Data–Driven Credit Risk and Loan Approval Models. </w:t>
      </w:r>
      <w:r w:rsidRPr="0086101B">
        <w:rPr>
          <w:rFonts w:ascii="Times New Roman" w:eastAsia="Times New Roman" w:hAnsi="Times New Roman" w:cs="Times New Roman"/>
          <w:i/>
          <w:iCs/>
          <w:sz w:val="24"/>
          <w:szCs w:val="24"/>
          <w:lang w:eastAsia="en-IN"/>
        </w:rPr>
        <w:t>International Journal of Scientific Interdisciplinary Research</w:t>
      </w:r>
      <w:r w:rsidRPr="0086101B">
        <w:rPr>
          <w:rFonts w:ascii="Times New Roman" w:eastAsia="Times New Roman" w:hAnsi="Times New Roman" w:cs="Times New Roman"/>
          <w:sz w:val="24"/>
          <w:szCs w:val="24"/>
          <w:lang w:eastAsia="en-IN"/>
        </w:rPr>
        <w:t xml:space="preserve">. </w:t>
      </w:r>
      <w:hyperlink r:id="rId132" w:history="1">
        <w:r w:rsidRPr="0086101B">
          <w:rPr>
            <w:rFonts w:ascii="Times New Roman" w:eastAsia="Times New Roman" w:hAnsi="Times New Roman" w:cs="Times New Roman"/>
            <w:color w:val="0000FF"/>
            <w:sz w:val="24"/>
            <w:szCs w:val="24"/>
            <w:u w:val="single"/>
            <w:lang w:eastAsia="en-IN"/>
          </w:rPr>
          <w:t>https://doi.org/10.63125/twq4bw77</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Maathuis</w:t>
      </w:r>
      <w:proofErr w:type="spellEnd"/>
      <w:r w:rsidRPr="0086101B">
        <w:rPr>
          <w:rFonts w:ascii="Times New Roman" w:eastAsia="Times New Roman" w:hAnsi="Times New Roman" w:cs="Times New Roman"/>
          <w:sz w:val="24"/>
          <w:szCs w:val="24"/>
          <w:lang w:eastAsia="en-IN"/>
        </w:rPr>
        <w:t xml:space="preserve">, H., </w:t>
      </w:r>
      <w:proofErr w:type="spellStart"/>
      <w:r w:rsidRPr="0086101B">
        <w:rPr>
          <w:rFonts w:ascii="Times New Roman" w:eastAsia="Times New Roman" w:hAnsi="Times New Roman" w:cs="Times New Roman"/>
          <w:sz w:val="24"/>
          <w:szCs w:val="24"/>
          <w:lang w:eastAsia="en-IN"/>
        </w:rPr>
        <w:t>Stalenhoef</w:t>
      </w:r>
      <w:proofErr w:type="spellEnd"/>
      <w:r w:rsidRPr="0086101B">
        <w:rPr>
          <w:rFonts w:ascii="Times New Roman" w:eastAsia="Times New Roman" w:hAnsi="Times New Roman" w:cs="Times New Roman"/>
          <w:sz w:val="24"/>
          <w:szCs w:val="24"/>
          <w:lang w:eastAsia="en-IN"/>
        </w:rPr>
        <w:t xml:space="preserve">, M., </w:t>
      </w:r>
      <w:proofErr w:type="spellStart"/>
      <w:r w:rsidRPr="0086101B">
        <w:rPr>
          <w:rFonts w:ascii="Times New Roman" w:eastAsia="Times New Roman" w:hAnsi="Times New Roman" w:cs="Times New Roman"/>
          <w:sz w:val="24"/>
          <w:szCs w:val="24"/>
          <w:lang w:eastAsia="en-IN"/>
        </w:rPr>
        <w:t>Otterloo</w:t>
      </w:r>
      <w:proofErr w:type="spellEnd"/>
      <w:r w:rsidRPr="0086101B">
        <w:rPr>
          <w:rFonts w:ascii="Times New Roman" w:eastAsia="Times New Roman" w:hAnsi="Times New Roman" w:cs="Times New Roman"/>
          <w:sz w:val="24"/>
          <w:szCs w:val="24"/>
          <w:lang w:eastAsia="en-IN"/>
        </w:rPr>
        <w:t xml:space="preserve">, S., </w:t>
      </w:r>
      <w:proofErr w:type="spellStart"/>
      <w:r w:rsidRPr="0086101B">
        <w:rPr>
          <w:rFonts w:ascii="Times New Roman" w:eastAsia="Times New Roman" w:hAnsi="Times New Roman" w:cs="Times New Roman"/>
          <w:sz w:val="24"/>
          <w:szCs w:val="24"/>
          <w:lang w:eastAsia="en-IN"/>
        </w:rPr>
        <w:t>Zwaal</w:t>
      </w:r>
      <w:proofErr w:type="spellEnd"/>
      <w:r w:rsidRPr="0086101B">
        <w:rPr>
          <w:rFonts w:ascii="Times New Roman" w:eastAsia="Times New Roman" w:hAnsi="Times New Roman" w:cs="Times New Roman"/>
          <w:sz w:val="24"/>
          <w:szCs w:val="24"/>
          <w:lang w:eastAsia="en-IN"/>
        </w:rPr>
        <w:t>, R., Montfort, K., &amp; Sent, D. (2026). Designing effective explainable AI: a human-</w:t>
      </w:r>
      <w:proofErr w:type="spellStart"/>
      <w:r w:rsidRPr="0086101B">
        <w:rPr>
          <w:rFonts w:ascii="Times New Roman" w:eastAsia="Times New Roman" w:hAnsi="Times New Roman" w:cs="Times New Roman"/>
          <w:sz w:val="24"/>
          <w:szCs w:val="24"/>
          <w:lang w:eastAsia="en-IN"/>
        </w:rPr>
        <w:t>centered</w:t>
      </w:r>
      <w:proofErr w:type="spellEnd"/>
      <w:r w:rsidRPr="0086101B">
        <w:rPr>
          <w:rFonts w:ascii="Times New Roman" w:eastAsia="Times New Roman" w:hAnsi="Times New Roman" w:cs="Times New Roman"/>
          <w:sz w:val="24"/>
          <w:szCs w:val="24"/>
          <w:lang w:eastAsia="en-IN"/>
        </w:rPr>
        <w:t xml:space="preserve"> evaluation of explanation formats in financial decision-making. </w:t>
      </w:r>
      <w:r w:rsidRPr="0086101B">
        <w:rPr>
          <w:rFonts w:ascii="Times New Roman" w:eastAsia="Times New Roman" w:hAnsi="Times New Roman" w:cs="Times New Roman"/>
          <w:i/>
          <w:iCs/>
          <w:sz w:val="24"/>
          <w:szCs w:val="24"/>
          <w:lang w:eastAsia="en-IN"/>
        </w:rPr>
        <w:t>Frontiers in Artificial Intelligence, 9</w:t>
      </w:r>
      <w:r w:rsidRPr="0086101B">
        <w:rPr>
          <w:rFonts w:ascii="Times New Roman" w:eastAsia="Times New Roman" w:hAnsi="Times New Roman" w:cs="Times New Roman"/>
          <w:sz w:val="24"/>
          <w:szCs w:val="24"/>
          <w:lang w:eastAsia="en-IN"/>
        </w:rPr>
        <w:t xml:space="preserve">. </w:t>
      </w:r>
      <w:hyperlink r:id="rId133" w:history="1">
        <w:r w:rsidRPr="0086101B">
          <w:rPr>
            <w:rFonts w:ascii="Times New Roman" w:eastAsia="Times New Roman" w:hAnsi="Times New Roman" w:cs="Times New Roman"/>
            <w:color w:val="0000FF"/>
            <w:sz w:val="24"/>
            <w:szCs w:val="24"/>
            <w:u w:val="single"/>
            <w:lang w:eastAsia="en-IN"/>
          </w:rPr>
          <w:t>https://doi.org/10.3389/frai.2026.1668029</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Nunes</w:t>
      </w:r>
      <w:proofErr w:type="spellEnd"/>
      <w:r w:rsidRPr="0086101B">
        <w:rPr>
          <w:rFonts w:ascii="Times New Roman" w:eastAsia="Times New Roman" w:hAnsi="Times New Roman" w:cs="Times New Roman"/>
          <w:sz w:val="24"/>
          <w:szCs w:val="24"/>
          <w:lang w:eastAsia="en-IN"/>
        </w:rPr>
        <w:t xml:space="preserve">, I., &amp; </w:t>
      </w:r>
      <w:proofErr w:type="spellStart"/>
      <w:r w:rsidRPr="0086101B">
        <w:rPr>
          <w:rFonts w:ascii="Times New Roman" w:eastAsia="Times New Roman" w:hAnsi="Times New Roman" w:cs="Times New Roman"/>
          <w:sz w:val="24"/>
          <w:szCs w:val="24"/>
          <w:lang w:eastAsia="en-IN"/>
        </w:rPr>
        <w:t>Jannach</w:t>
      </w:r>
      <w:proofErr w:type="spellEnd"/>
      <w:r w:rsidRPr="0086101B">
        <w:rPr>
          <w:rFonts w:ascii="Times New Roman" w:eastAsia="Times New Roman" w:hAnsi="Times New Roman" w:cs="Times New Roman"/>
          <w:sz w:val="24"/>
          <w:szCs w:val="24"/>
          <w:lang w:eastAsia="en-IN"/>
        </w:rPr>
        <w:t xml:space="preserve">, D. (2017). A systematic review and taxonomy of explanations in decision support and recommender systems. </w:t>
      </w:r>
      <w:r w:rsidRPr="0086101B">
        <w:rPr>
          <w:rFonts w:ascii="Times New Roman" w:eastAsia="Times New Roman" w:hAnsi="Times New Roman" w:cs="Times New Roman"/>
          <w:i/>
          <w:iCs/>
          <w:sz w:val="24"/>
          <w:szCs w:val="24"/>
          <w:lang w:eastAsia="en-IN"/>
        </w:rPr>
        <w:t xml:space="preserve">User </w:t>
      </w:r>
      <w:proofErr w:type="spellStart"/>
      <w:r w:rsidRPr="0086101B">
        <w:rPr>
          <w:rFonts w:ascii="Times New Roman" w:eastAsia="Times New Roman" w:hAnsi="Times New Roman" w:cs="Times New Roman"/>
          <w:i/>
          <w:iCs/>
          <w:sz w:val="24"/>
          <w:szCs w:val="24"/>
          <w:lang w:eastAsia="en-IN"/>
        </w:rPr>
        <w:t>Modeling</w:t>
      </w:r>
      <w:proofErr w:type="spellEnd"/>
      <w:r w:rsidRPr="0086101B">
        <w:rPr>
          <w:rFonts w:ascii="Times New Roman" w:eastAsia="Times New Roman" w:hAnsi="Times New Roman" w:cs="Times New Roman"/>
          <w:i/>
          <w:iCs/>
          <w:sz w:val="24"/>
          <w:szCs w:val="24"/>
          <w:lang w:eastAsia="en-IN"/>
        </w:rPr>
        <w:t xml:space="preserve"> and User-Adapted Interaction, 27</w:t>
      </w:r>
      <w:r w:rsidRPr="0086101B">
        <w:rPr>
          <w:rFonts w:ascii="Times New Roman" w:eastAsia="Times New Roman" w:hAnsi="Times New Roman" w:cs="Times New Roman"/>
          <w:sz w:val="24"/>
          <w:szCs w:val="24"/>
          <w:lang w:eastAsia="en-IN"/>
        </w:rPr>
        <w:t xml:space="preserve">, 393-444. </w:t>
      </w:r>
      <w:hyperlink r:id="rId134" w:history="1">
        <w:r w:rsidRPr="0086101B">
          <w:rPr>
            <w:rFonts w:ascii="Times New Roman" w:eastAsia="Times New Roman" w:hAnsi="Times New Roman" w:cs="Times New Roman"/>
            <w:color w:val="0000FF"/>
            <w:sz w:val="24"/>
            <w:szCs w:val="24"/>
            <w:u w:val="single"/>
            <w:lang w:eastAsia="en-IN"/>
          </w:rPr>
          <w:t>https://doi.org/10.1007/s11257-017-9195-0</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Peng, C., &amp; He, T. (2025). An Improved Summary–Explanation Method for Promoting Trust Through Greater Support with Application to Credit Evaluation Systems. </w:t>
      </w:r>
      <w:r w:rsidRPr="0086101B">
        <w:rPr>
          <w:rFonts w:ascii="Times New Roman" w:eastAsia="Times New Roman" w:hAnsi="Times New Roman" w:cs="Times New Roman"/>
          <w:i/>
          <w:iCs/>
          <w:sz w:val="24"/>
          <w:szCs w:val="24"/>
          <w:lang w:eastAsia="en-IN"/>
        </w:rPr>
        <w:t>Mathematics</w:t>
      </w:r>
      <w:r w:rsidRPr="0086101B">
        <w:rPr>
          <w:rFonts w:ascii="Times New Roman" w:eastAsia="Times New Roman" w:hAnsi="Times New Roman" w:cs="Times New Roman"/>
          <w:sz w:val="24"/>
          <w:szCs w:val="24"/>
          <w:lang w:eastAsia="en-IN"/>
        </w:rPr>
        <w:t xml:space="preserve">. </w:t>
      </w:r>
      <w:hyperlink r:id="rId135" w:history="1">
        <w:r w:rsidRPr="0086101B">
          <w:rPr>
            <w:rFonts w:ascii="Times New Roman" w:eastAsia="Times New Roman" w:hAnsi="Times New Roman" w:cs="Times New Roman"/>
            <w:color w:val="0000FF"/>
            <w:sz w:val="24"/>
            <w:szCs w:val="24"/>
            <w:u w:val="single"/>
            <w:lang w:eastAsia="en-IN"/>
          </w:rPr>
          <w:t>https://doi.org/10.3390/math13081305</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lastRenderedPageBreak/>
        <w:t>Schoeffer</w:t>
      </w:r>
      <w:proofErr w:type="spellEnd"/>
      <w:r w:rsidRPr="0086101B">
        <w:rPr>
          <w:rFonts w:ascii="Times New Roman" w:eastAsia="Times New Roman" w:hAnsi="Times New Roman" w:cs="Times New Roman"/>
          <w:sz w:val="24"/>
          <w:szCs w:val="24"/>
          <w:lang w:eastAsia="en-IN"/>
        </w:rPr>
        <w:t xml:space="preserve">, J., Kuehl, N., &amp; </w:t>
      </w:r>
      <w:proofErr w:type="spellStart"/>
      <w:r w:rsidRPr="0086101B">
        <w:rPr>
          <w:rFonts w:ascii="Times New Roman" w:eastAsia="Times New Roman" w:hAnsi="Times New Roman" w:cs="Times New Roman"/>
          <w:sz w:val="24"/>
          <w:szCs w:val="24"/>
          <w:lang w:eastAsia="en-IN"/>
        </w:rPr>
        <w:t>Machowski</w:t>
      </w:r>
      <w:proofErr w:type="spellEnd"/>
      <w:r w:rsidRPr="0086101B">
        <w:rPr>
          <w:rFonts w:ascii="Times New Roman" w:eastAsia="Times New Roman" w:hAnsi="Times New Roman" w:cs="Times New Roman"/>
          <w:sz w:val="24"/>
          <w:szCs w:val="24"/>
          <w:lang w:eastAsia="en-IN"/>
        </w:rPr>
        <w:t xml:space="preserve">, Y. (2022). “There Is Not Enough Information”: On the Effects of Explanations on Perceptions of Informational Fairness and Trustworthiness in Automated Decision-Making. </w:t>
      </w:r>
      <w:r w:rsidRPr="0086101B">
        <w:rPr>
          <w:rFonts w:ascii="Times New Roman" w:eastAsia="Times New Roman" w:hAnsi="Times New Roman" w:cs="Times New Roman"/>
          <w:i/>
          <w:iCs/>
          <w:sz w:val="24"/>
          <w:szCs w:val="24"/>
          <w:lang w:eastAsia="en-IN"/>
        </w:rPr>
        <w:t>Proceedings of the 2022 ACM Conference on Fairness, Accountability, and Transparency</w:t>
      </w:r>
      <w:r w:rsidRPr="0086101B">
        <w:rPr>
          <w:rFonts w:ascii="Times New Roman" w:eastAsia="Times New Roman" w:hAnsi="Times New Roman" w:cs="Times New Roman"/>
          <w:sz w:val="24"/>
          <w:szCs w:val="24"/>
          <w:lang w:eastAsia="en-IN"/>
        </w:rPr>
        <w:t xml:space="preserve">. </w:t>
      </w:r>
      <w:hyperlink r:id="rId136" w:history="1">
        <w:r w:rsidRPr="0086101B">
          <w:rPr>
            <w:rFonts w:ascii="Times New Roman" w:eastAsia="Times New Roman" w:hAnsi="Times New Roman" w:cs="Times New Roman"/>
            <w:color w:val="0000FF"/>
            <w:sz w:val="24"/>
            <w:szCs w:val="24"/>
            <w:u w:val="single"/>
            <w:lang w:eastAsia="en-IN"/>
          </w:rPr>
          <w:t>https://doi.org/10.1145/3531146.3533218</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Uth</w:t>
      </w:r>
      <w:proofErr w:type="spellEnd"/>
      <w:r w:rsidRPr="0086101B">
        <w:rPr>
          <w:rFonts w:ascii="Times New Roman" w:eastAsia="Times New Roman" w:hAnsi="Times New Roman" w:cs="Times New Roman"/>
          <w:sz w:val="24"/>
          <w:szCs w:val="24"/>
          <w:lang w:eastAsia="en-IN"/>
        </w:rPr>
        <w:t xml:space="preserve">, R., </w:t>
      </w:r>
      <w:proofErr w:type="spellStart"/>
      <w:r w:rsidRPr="0086101B">
        <w:rPr>
          <w:rFonts w:ascii="Times New Roman" w:eastAsia="Times New Roman" w:hAnsi="Times New Roman" w:cs="Times New Roman"/>
          <w:sz w:val="24"/>
          <w:szCs w:val="24"/>
          <w:lang w:eastAsia="en-IN"/>
        </w:rPr>
        <w:t>Niemitz</w:t>
      </w:r>
      <w:proofErr w:type="spellEnd"/>
      <w:r w:rsidRPr="0086101B">
        <w:rPr>
          <w:rFonts w:ascii="Times New Roman" w:eastAsia="Times New Roman" w:hAnsi="Times New Roman" w:cs="Times New Roman"/>
          <w:sz w:val="24"/>
          <w:szCs w:val="24"/>
          <w:lang w:eastAsia="en-IN"/>
        </w:rPr>
        <w:t>, N., Valera, I., &amp; Langer, M. (2025). Personalizing explanations in AI-based decisions: The effects of personalization and (</w:t>
      </w:r>
      <w:proofErr w:type="spellStart"/>
      <w:r w:rsidRPr="0086101B">
        <w:rPr>
          <w:rFonts w:ascii="Times New Roman" w:eastAsia="Times New Roman" w:hAnsi="Times New Roman" w:cs="Times New Roman"/>
          <w:sz w:val="24"/>
          <w:szCs w:val="24"/>
          <w:lang w:eastAsia="en-IN"/>
        </w:rPr>
        <w:t>mis</w:t>
      </w:r>
      <w:proofErr w:type="spellEnd"/>
      <w:r w:rsidRPr="0086101B">
        <w:rPr>
          <w:rFonts w:ascii="Times New Roman" w:eastAsia="Times New Roman" w:hAnsi="Times New Roman" w:cs="Times New Roman"/>
          <w:sz w:val="24"/>
          <w:szCs w:val="24"/>
          <w:lang w:eastAsia="en-IN"/>
        </w:rPr>
        <w:t xml:space="preserve">)aligning with individual preferences. </w:t>
      </w:r>
      <w:proofErr w:type="spellStart"/>
      <w:r w:rsidRPr="0086101B">
        <w:rPr>
          <w:rFonts w:ascii="Times New Roman" w:eastAsia="Times New Roman" w:hAnsi="Times New Roman" w:cs="Times New Roman"/>
          <w:i/>
          <w:iCs/>
          <w:sz w:val="24"/>
          <w:szCs w:val="24"/>
          <w:lang w:eastAsia="en-IN"/>
        </w:rPr>
        <w:t>Comput</w:t>
      </w:r>
      <w:proofErr w:type="spellEnd"/>
      <w:r w:rsidRPr="0086101B">
        <w:rPr>
          <w:rFonts w:ascii="Times New Roman" w:eastAsia="Times New Roman" w:hAnsi="Times New Roman" w:cs="Times New Roman"/>
          <w:i/>
          <w:iCs/>
          <w:sz w:val="24"/>
          <w:szCs w:val="24"/>
          <w:lang w:eastAsia="en-IN"/>
        </w:rPr>
        <w:t xml:space="preserve">. Hum. </w:t>
      </w:r>
      <w:proofErr w:type="spellStart"/>
      <w:r w:rsidRPr="0086101B">
        <w:rPr>
          <w:rFonts w:ascii="Times New Roman" w:eastAsia="Times New Roman" w:hAnsi="Times New Roman" w:cs="Times New Roman"/>
          <w:i/>
          <w:iCs/>
          <w:sz w:val="24"/>
          <w:szCs w:val="24"/>
          <w:lang w:eastAsia="en-IN"/>
        </w:rPr>
        <w:t>Behav</w:t>
      </w:r>
      <w:proofErr w:type="spellEnd"/>
      <w:r w:rsidRPr="0086101B">
        <w:rPr>
          <w:rFonts w:ascii="Times New Roman" w:eastAsia="Times New Roman" w:hAnsi="Times New Roman" w:cs="Times New Roman"/>
          <w:i/>
          <w:iCs/>
          <w:sz w:val="24"/>
          <w:szCs w:val="24"/>
          <w:lang w:eastAsia="en-IN"/>
        </w:rPr>
        <w:t>., 177</w:t>
      </w:r>
      <w:r w:rsidRPr="0086101B">
        <w:rPr>
          <w:rFonts w:ascii="Times New Roman" w:eastAsia="Times New Roman" w:hAnsi="Times New Roman" w:cs="Times New Roman"/>
          <w:sz w:val="24"/>
          <w:szCs w:val="24"/>
          <w:lang w:eastAsia="en-IN"/>
        </w:rPr>
        <w:t xml:space="preserve">, 108854. </w:t>
      </w:r>
      <w:hyperlink r:id="rId137" w:history="1">
        <w:r w:rsidRPr="0086101B">
          <w:rPr>
            <w:rFonts w:ascii="Times New Roman" w:eastAsia="Times New Roman" w:hAnsi="Times New Roman" w:cs="Times New Roman"/>
            <w:color w:val="0000FF"/>
            <w:sz w:val="24"/>
            <w:szCs w:val="24"/>
            <w:u w:val="single"/>
            <w:lang w:eastAsia="en-IN"/>
          </w:rPr>
          <w:t>https://doi.org/10.1016/j.chb.2025.108854</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VanNostrand</w:t>
      </w:r>
      <w:proofErr w:type="spellEnd"/>
      <w:r w:rsidRPr="0086101B">
        <w:rPr>
          <w:rFonts w:ascii="Times New Roman" w:eastAsia="Times New Roman" w:hAnsi="Times New Roman" w:cs="Times New Roman"/>
          <w:sz w:val="24"/>
          <w:szCs w:val="24"/>
          <w:lang w:eastAsia="en-IN"/>
        </w:rPr>
        <w:t xml:space="preserve">, P. M., Hofmann, D. M., L., &amp; </w:t>
      </w:r>
      <w:proofErr w:type="spellStart"/>
      <w:r w:rsidRPr="0086101B">
        <w:rPr>
          <w:rFonts w:ascii="Times New Roman" w:eastAsia="Times New Roman" w:hAnsi="Times New Roman" w:cs="Times New Roman"/>
          <w:sz w:val="24"/>
          <w:szCs w:val="24"/>
          <w:lang w:eastAsia="en-IN"/>
        </w:rPr>
        <w:t>Rundensteiner</w:t>
      </w:r>
      <w:proofErr w:type="spellEnd"/>
      <w:r w:rsidRPr="0086101B">
        <w:rPr>
          <w:rFonts w:ascii="Times New Roman" w:eastAsia="Times New Roman" w:hAnsi="Times New Roman" w:cs="Times New Roman"/>
          <w:sz w:val="24"/>
          <w:szCs w:val="24"/>
          <w:lang w:eastAsia="en-IN"/>
        </w:rPr>
        <w:t xml:space="preserve">, E. (2024). Actionable Recourse for Automated Decisions: Examining the Effects of Counterfactual Explanation Type and Presentation on Lay User Understanding. </w:t>
      </w:r>
      <w:r w:rsidRPr="0086101B">
        <w:rPr>
          <w:rFonts w:ascii="Times New Roman" w:eastAsia="Times New Roman" w:hAnsi="Times New Roman" w:cs="Times New Roman"/>
          <w:i/>
          <w:iCs/>
          <w:sz w:val="24"/>
          <w:szCs w:val="24"/>
          <w:lang w:eastAsia="en-IN"/>
        </w:rPr>
        <w:t>Proceedings of the 2024 ACM Conference on Fairness, Accountability, and Transparency</w:t>
      </w:r>
      <w:r w:rsidRPr="0086101B">
        <w:rPr>
          <w:rFonts w:ascii="Times New Roman" w:eastAsia="Times New Roman" w:hAnsi="Times New Roman" w:cs="Times New Roman"/>
          <w:sz w:val="24"/>
          <w:szCs w:val="24"/>
          <w:lang w:eastAsia="en-IN"/>
        </w:rPr>
        <w:t xml:space="preserve">. </w:t>
      </w:r>
      <w:hyperlink r:id="rId138" w:history="1">
        <w:r w:rsidRPr="0086101B">
          <w:rPr>
            <w:rFonts w:ascii="Times New Roman" w:eastAsia="Times New Roman" w:hAnsi="Times New Roman" w:cs="Times New Roman"/>
            <w:color w:val="0000FF"/>
            <w:sz w:val="24"/>
            <w:szCs w:val="24"/>
            <w:u w:val="single"/>
            <w:lang w:eastAsia="en-IN"/>
          </w:rPr>
          <w:t>https://doi.org/10.1145/3630106.3658997</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101B">
        <w:rPr>
          <w:rFonts w:ascii="Times New Roman" w:eastAsia="Times New Roman" w:hAnsi="Times New Roman" w:cs="Times New Roman"/>
          <w:sz w:val="24"/>
          <w:szCs w:val="24"/>
          <w:lang w:eastAsia="en-IN"/>
        </w:rPr>
        <w:t>Vinutna</w:t>
      </w:r>
      <w:proofErr w:type="spellEnd"/>
      <w:r w:rsidRPr="0086101B">
        <w:rPr>
          <w:rFonts w:ascii="Times New Roman" w:eastAsia="Times New Roman" w:hAnsi="Times New Roman" w:cs="Times New Roman"/>
          <w:sz w:val="24"/>
          <w:szCs w:val="24"/>
          <w:lang w:eastAsia="en-IN"/>
        </w:rPr>
        <w:t xml:space="preserve">, S., Jo, A. A., </w:t>
      </w:r>
      <w:proofErr w:type="spellStart"/>
      <w:r w:rsidRPr="0086101B">
        <w:rPr>
          <w:rFonts w:ascii="Times New Roman" w:eastAsia="Times New Roman" w:hAnsi="Times New Roman" w:cs="Times New Roman"/>
          <w:sz w:val="24"/>
          <w:szCs w:val="24"/>
          <w:lang w:eastAsia="en-IN"/>
        </w:rPr>
        <w:t>Ebin</w:t>
      </w:r>
      <w:proofErr w:type="spellEnd"/>
      <w:r w:rsidRPr="0086101B">
        <w:rPr>
          <w:rFonts w:ascii="Times New Roman" w:eastAsia="Times New Roman" w:hAnsi="Times New Roman" w:cs="Times New Roman"/>
          <w:sz w:val="24"/>
          <w:szCs w:val="24"/>
          <w:lang w:eastAsia="en-IN"/>
        </w:rPr>
        <w:t xml:space="preserve">, R., &amp; Raj, D. (2026). Auditable Credit Scoring: Explainable Models with Stable Rationales on Tabular Data. </w:t>
      </w:r>
      <w:r w:rsidRPr="0086101B">
        <w:rPr>
          <w:rFonts w:ascii="Times New Roman" w:eastAsia="Times New Roman" w:hAnsi="Times New Roman" w:cs="Times New Roman"/>
          <w:i/>
          <w:iCs/>
          <w:sz w:val="24"/>
          <w:szCs w:val="24"/>
          <w:lang w:eastAsia="en-IN"/>
        </w:rPr>
        <w:t>2026 International Conference on AI-Driven Smart Systems and Ubiquitous Computing (ICAUC)</w:t>
      </w:r>
      <w:r w:rsidRPr="0086101B">
        <w:rPr>
          <w:rFonts w:ascii="Times New Roman" w:eastAsia="Times New Roman" w:hAnsi="Times New Roman" w:cs="Times New Roman"/>
          <w:sz w:val="24"/>
          <w:szCs w:val="24"/>
          <w:lang w:eastAsia="en-IN"/>
        </w:rPr>
        <w:t xml:space="preserve">, 1023-1029. </w:t>
      </w:r>
      <w:hyperlink r:id="rId139" w:history="1">
        <w:r w:rsidRPr="0086101B">
          <w:rPr>
            <w:rFonts w:ascii="Times New Roman" w:eastAsia="Times New Roman" w:hAnsi="Times New Roman" w:cs="Times New Roman"/>
            <w:color w:val="0000FF"/>
            <w:sz w:val="24"/>
            <w:szCs w:val="24"/>
            <w:u w:val="single"/>
            <w:lang w:eastAsia="en-IN"/>
          </w:rPr>
          <w:t>https://doi.org/10.1109/icauc68182.2026.11441016</w:t>
        </w:r>
      </w:hyperlink>
    </w:p>
    <w:p w:rsidR="0086101B" w:rsidRPr="0086101B" w:rsidRDefault="0086101B" w:rsidP="0086101B">
      <w:p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Zhou, J., </w:t>
      </w:r>
      <w:proofErr w:type="spellStart"/>
      <w:r w:rsidRPr="0086101B">
        <w:rPr>
          <w:rFonts w:ascii="Times New Roman" w:eastAsia="Times New Roman" w:hAnsi="Times New Roman" w:cs="Times New Roman"/>
          <w:sz w:val="24"/>
          <w:szCs w:val="24"/>
          <w:lang w:eastAsia="en-IN"/>
        </w:rPr>
        <w:t>Gandomi</w:t>
      </w:r>
      <w:proofErr w:type="spellEnd"/>
      <w:r w:rsidRPr="0086101B">
        <w:rPr>
          <w:rFonts w:ascii="Times New Roman" w:eastAsia="Times New Roman" w:hAnsi="Times New Roman" w:cs="Times New Roman"/>
          <w:sz w:val="24"/>
          <w:szCs w:val="24"/>
          <w:lang w:eastAsia="en-IN"/>
        </w:rPr>
        <w:t xml:space="preserve">, A. H., Chen, F., &amp; </w:t>
      </w:r>
      <w:proofErr w:type="spellStart"/>
      <w:r w:rsidRPr="0086101B">
        <w:rPr>
          <w:rFonts w:ascii="Times New Roman" w:eastAsia="Times New Roman" w:hAnsi="Times New Roman" w:cs="Times New Roman"/>
          <w:sz w:val="24"/>
          <w:szCs w:val="24"/>
          <w:lang w:eastAsia="en-IN"/>
        </w:rPr>
        <w:t>Holzinger</w:t>
      </w:r>
      <w:proofErr w:type="spellEnd"/>
      <w:r w:rsidRPr="0086101B">
        <w:rPr>
          <w:rFonts w:ascii="Times New Roman" w:eastAsia="Times New Roman" w:hAnsi="Times New Roman" w:cs="Times New Roman"/>
          <w:sz w:val="24"/>
          <w:szCs w:val="24"/>
          <w:lang w:eastAsia="en-IN"/>
        </w:rPr>
        <w:t xml:space="preserve">, A. (2021). Evaluating the Quality of Machine Learning Explanations: A Survey on Methods and Metrics. </w:t>
      </w:r>
      <w:r w:rsidRPr="0086101B">
        <w:rPr>
          <w:rFonts w:ascii="Times New Roman" w:eastAsia="Times New Roman" w:hAnsi="Times New Roman" w:cs="Times New Roman"/>
          <w:i/>
          <w:iCs/>
          <w:sz w:val="24"/>
          <w:szCs w:val="24"/>
          <w:lang w:eastAsia="en-IN"/>
        </w:rPr>
        <w:t>Electronics</w:t>
      </w:r>
      <w:r w:rsidRPr="0086101B">
        <w:rPr>
          <w:rFonts w:ascii="Times New Roman" w:eastAsia="Times New Roman" w:hAnsi="Times New Roman" w:cs="Times New Roman"/>
          <w:sz w:val="24"/>
          <w:szCs w:val="24"/>
          <w:lang w:eastAsia="en-IN"/>
        </w:rPr>
        <w:t xml:space="preserve">. </w:t>
      </w:r>
      <w:hyperlink r:id="rId140" w:history="1">
        <w:r w:rsidRPr="0086101B">
          <w:rPr>
            <w:rFonts w:ascii="Times New Roman" w:eastAsia="Times New Roman" w:hAnsi="Times New Roman" w:cs="Times New Roman"/>
            <w:color w:val="0000FF"/>
            <w:sz w:val="24"/>
            <w:szCs w:val="24"/>
            <w:u w:val="single"/>
            <w:lang w:eastAsia="en-IN"/>
          </w:rPr>
          <w:t>https://doi.org/10.3390/electronics10050593</w:t>
        </w:r>
      </w:hyperlink>
    </w:p>
    <w:p w:rsidR="0086101B" w:rsidRPr="0086101B" w:rsidRDefault="0086101B" w:rsidP="0086101B">
      <w:pPr>
        <w:rPr>
          <w:rFonts w:ascii="Times New Roman" w:eastAsia="Times New Roman" w:hAnsi="Times New Roman" w:cs="Times New Roman"/>
          <w:sz w:val="24"/>
          <w:szCs w:val="24"/>
          <w:lang w:eastAsia="en-IN"/>
        </w:rPr>
      </w:pPr>
      <w:r>
        <w:br/>
      </w:r>
      <w:r>
        <w:br/>
      </w:r>
      <w:r>
        <w:br/>
      </w:r>
      <w:r>
        <w:br/>
      </w:r>
      <w:r>
        <w:br/>
      </w:r>
      <w:r w:rsidRPr="0086101B">
        <w:rPr>
          <w:rFonts w:ascii="Times New Roman" w:eastAsia="Times New Roman" w:hAnsi="Times New Roman" w:cs="Times New Roman"/>
          <w:b/>
          <w:bCs/>
          <w:sz w:val="24"/>
          <w:szCs w:val="24"/>
          <w:lang w:eastAsia="en-IN"/>
        </w:rPr>
        <w:t>Yes, extensive industry reference architectures and case studies exist specifically for AI decision explainer prototypes in lending, credit scoring, and educational aid allocation.</w:t>
      </w:r>
      <w:r w:rsidRPr="0086101B">
        <w:rPr>
          <w:rFonts w:ascii="Times New Roman" w:eastAsia="Times New Roman" w:hAnsi="Times New Roman" w:cs="Times New Roman"/>
          <w:sz w:val="24"/>
          <w:szCs w:val="24"/>
          <w:lang w:eastAsia="en-IN"/>
        </w:rPr>
        <w:t xml:space="preserve"> Major enterprise players (including Tata Consultancy Services), global regulators, and top technology firms have established technical blueprints to address regulatory mandates like the US Equal Credit Opportunity Act (ECOA) Adverse Action notices, EU AI Act high-risk classification, and global fairness standards. [1, 2, 3] </w: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86101B">
        <w:rPr>
          <w:rFonts w:ascii="Times New Roman" w:eastAsia="Times New Roman" w:hAnsi="Times New Roman" w:cs="Times New Roman"/>
          <w:b/>
          <w:bCs/>
          <w:sz w:val="30"/>
          <w:szCs w:val="30"/>
          <w:lang w:eastAsia="en-IN"/>
        </w:rPr>
        <w:t>1. Enterprise Reference Architectures &amp; White Papers</w:t>
      </w:r>
    </w:p>
    <w:p w:rsidR="0086101B" w:rsidRPr="0086101B" w:rsidRDefault="0086101B" w:rsidP="008610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
    <w:p w:rsidR="0086101B" w:rsidRPr="0086101B" w:rsidRDefault="0086101B" w:rsidP="008610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TCS Thought Leadership &amp; Architecture:</w:t>
      </w:r>
    </w:p>
    <w:p w:rsidR="0086101B" w:rsidRPr="0086101B" w:rsidRDefault="0086101B" w:rsidP="0086101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Ethical-by-Design Mortgage Underwriting:</w:t>
      </w:r>
      <w:r w:rsidRPr="0086101B">
        <w:rPr>
          <w:rFonts w:ascii="Times New Roman" w:eastAsia="Times New Roman" w:hAnsi="Times New Roman" w:cs="Times New Roman"/>
          <w:sz w:val="24"/>
          <w:szCs w:val="24"/>
          <w:lang w:eastAsia="en-IN"/>
        </w:rPr>
        <w:t xml:space="preserve"> </w:t>
      </w:r>
      <w:hyperlink r:id="rId141" w:history="1">
        <w:r w:rsidRPr="0086101B">
          <w:rPr>
            <w:rFonts w:ascii="Times New Roman" w:eastAsia="Times New Roman" w:hAnsi="Times New Roman" w:cs="Times New Roman"/>
            <w:color w:val="0000FF"/>
            <w:sz w:val="24"/>
            <w:szCs w:val="24"/>
            <w:u w:val="single"/>
            <w:lang w:eastAsia="en-IN"/>
          </w:rPr>
          <w:t>TCS's ethical AI framework for mortgage lending</w:t>
        </w:r>
      </w:hyperlink>
      <w:r w:rsidRPr="0086101B">
        <w:rPr>
          <w:rFonts w:ascii="Times New Roman" w:eastAsia="Times New Roman" w:hAnsi="Times New Roman" w:cs="Times New Roman"/>
          <w:sz w:val="24"/>
          <w:szCs w:val="24"/>
          <w:lang w:eastAsia="en-IN"/>
        </w:rPr>
        <w:t xml:space="preserve"> outlines a multi-tiered architecture addressing </w:t>
      </w:r>
      <w:proofErr w:type="spellStart"/>
      <w:r w:rsidRPr="0086101B">
        <w:rPr>
          <w:rFonts w:ascii="Times New Roman" w:eastAsia="Times New Roman" w:hAnsi="Times New Roman" w:cs="Times New Roman"/>
          <w:sz w:val="24"/>
          <w:szCs w:val="24"/>
          <w:lang w:eastAsia="en-IN"/>
        </w:rPr>
        <w:t>explainability</w:t>
      </w:r>
      <w:proofErr w:type="spellEnd"/>
      <w:r w:rsidRPr="0086101B">
        <w:rPr>
          <w:rFonts w:ascii="Times New Roman" w:eastAsia="Times New Roman" w:hAnsi="Times New Roman" w:cs="Times New Roman"/>
          <w:sz w:val="24"/>
          <w:szCs w:val="24"/>
          <w:lang w:eastAsia="en-IN"/>
        </w:rPr>
        <w:t xml:space="preserve"> at three specific layers: global attribution, local applicant-level explanation, and counterfactual sensitivity.</w:t>
      </w:r>
    </w:p>
    <w:p w:rsidR="0086101B" w:rsidRPr="0086101B" w:rsidRDefault="0086101B" w:rsidP="0086101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Explaining the Explainers (TCS Pace):</w:t>
      </w:r>
      <w:r w:rsidRPr="0086101B">
        <w:rPr>
          <w:rFonts w:ascii="Times New Roman" w:eastAsia="Times New Roman" w:hAnsi="Times New Roman" w:cs="Times New Roman"/>
          <w:sz w:val="24"/>
          <w:szCs w:val="24"/>
          <w:lang w:eastAsia="en-IN"/>
        </w:rPr>
        <w:t xml:space="preserve"> </w:t>
      </w:r>
      <w:hyperlink r:id="rId142" w:history="1">
        <w:r w:rsidRPr="0086101B">
          <w:rPr>
            <w:rFonts w:ascii="Times New Roman" w:eastAsia="Times New Roman" w:hAnsi="Times New Roman" w:cs="Times New Roman"/>
            <w:color w:val="0000FF"/>
            <w:sz w:val="24"/>
            <w:szCs w:val="24"/>
            <w:u w:val="single"/>
            <w:lang w:eastAsia="en-IN"/>
          </w:rPr>
          <w:t>TCS Pace research on explainable AI UX</w:t>
        </w:r>
      </w:hyperlink>
      <w:r w:rsidRPr="0086101B">
        <w:rPr>
          <w:rFonts w:ascii="Times New Roman" w:eastAsia="Times New Roman" w:hAnsi="Times New Roman" w:cs="Times New Roman"/>
          <w:sz w:val="24"/>
          <w:szCs w:val="24"/>
          <w:lang w:eastAsia="en-IN"/>
        </w:rPr>
        <w:t xml:space="preserve"> details a retail banking prototype for home loan rejection, focusing on conversational interfaces and interactive feature perturbation so loan officers and rejected applicants can query the model directly.</w:t>
      </w:r>
    </w:p>
    <w:p w:rsidR="0086101B" w:rsidRPr="0086101B" w:rsidRDefault="0086101B" w:rsidP="0086101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lastRenderedPageBreak/>
        <w:t>Core Banking Integration:</w:t>
      </w:r>
      <w:r w:rsidRPr="0086101B">
        <w:rPr>
          <w:rFonts w:ascii="Times New Roman" w:eastAsia="Times New Roman" w:hAnsi="Times New Roman" w:cs="Times New Roman"/>
          <w:sz w:val="24"/>
          <w:szCs w:val="24"/>
          <w:lang w:eastAsia="en-IN"/>
        </w:rPr>
        <w:t xml:space="preserve"> TCS </w:t>
      </w:r>
      <w:proofErr w:type="spellStart"/>
      <w:r w:rsidRPr="0086101B">
        <w:rPr>
          <w:rFonts w:ascii="Times New Roman" w:eastAsia="Times New Roman" w:hAnsi="Times New Roman" w:cs="Times New Roman"/>
          <w:sz w:val="24"/>
          <w:szCs w:val="24"/>
          <w:lang w:eastAsia="en-IN"/>
        </w:rPr>
        <w:t>BaNCS</w:t>
      </w:r>
      <w:proofErr w:type="spellEnd"/>
      <w:r w:rsidRPr="0086101B">
        <w:rPr>
          <w:rFonts w:ascii="Times New Roman" w:eastAsia="Times New Roman" w:hAnsi="Times New Roman" w:cs="Times New Roman"/>
          <w:sz w:val="24"/>
          <w:szCs w:val="24"/>
          <w:lang w:eastAsia="en-IN"/>
        </w:rPr>
        <w:t xml:space="preserve"> AI Compass includes a reference deployment for credit underwriting agents featuring automated audit logging, lineage tracking, and policy-as-code </w:t>
      </w:r>
      <w:proofErr w:type="spellStart"/>
      <w:r w:rsidRPr="0086101B">
        <w:rPr>
          <w:rFonts w:ascii="Times New Roman" w:eastAsia="Times New Roman" w:hAnsi="Times New Roman" w:cs="Times New Roman"/>
          <w:sz w:val="24"/>
          <w:szCs w:val="24"/>
          <w:lang w:eastAsia="en-IN"/>
        </w:rPr>
        <w:t>explainability</w:t>
      </w:r>
      <w:proofErr w:type="spellEnd"/>
      <w:r w:rsidRPr="0086101B">
        <w:rPr>
          <w:rFonts w:ascii="Times New Roman" w:eastAsia="Times New Roman" w:hAnsi="Times New Roman" w:cs="Times New Roman"/>
          <w:sz w:val="24"/>
          <w:szCs w:val="24"/>
          <w:lang w:eastAsia="en-IN"/>
        </w:rPr>
        <w:t xml:space="preserve"> guardrails. [4, 5, 6, 7, 8] </w:t>
      </w:r>
    </w:p>
    <w:p w:rsidR="0086101B" w:rsidRPr="0086101B" w:rsidRDefault="0086101B" w:rsidP="008610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Monetary Authority of Singapore (MAS) – Project Veritas &amp; FEAT Framework:</w:t>
      </w:r>
    </w:p>
    <w:p w:rsidR="0086101B" w:rsidRPr="0086101B" w:rsidRDefault="0086101B" w:rsidP="0086101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One of the most widely cited real-world reference architectures for AI credit risk is the </w:t>
      </w:r>
      <w:hyperlink r:id="rId143" w:history="1">
        <w:r w:rsidRPr="0086101B">
          <w:rPr>
            <w:rFonts w:ascii="Times New Roman" w:eastAsia="Times New Roman" w:hAnsi="Times New Roman" w:cs="Times New Roman"/>
            <w:color w:val="0000FF"/>
            <w:sz w:val="24"/>
            <w:szCs w:val="24"/>
            <w:u w:val="single"/>
            <w:lang w:eastAsia="en-IN"/>
          </w:rPr>
          <w:t>MAS Veritas Framework</w:t>
        </w:r>
      </w:hyperlink>
      <w:r w:rsidRPr="0086101B">
        <w:rPr>
          <w:rFonts w:ascii="Times New Roman" w:eastAsia="Times New Roman" w:hAnsi="Times New Roman" w:cs="Times New Roman"/>
          <w:sz w:val="24"/>
          <w:szCs w:val="24"/>
          <w:lang w:eastAsia="en-IN"/>
        </w:rPr>
        <w:t xml:space="preserve"> (developed with a consortium including Standard Chartered, HSBC, and PwC).</w:t>
      </w:r>
    </w:p>
    <w:p w:rsidR="0086101B" w:rsidRPr="0086101B" w:rsidRDefault="0086101B" w:rsidP="0086101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It defines a concrete open-source pipeline evaluating credit decisions across Fairness, Ethics, Accountability, and Transparency (FEAT), including open codebases for computing demographic parity and local model-agnostic explanations. [9, 10] </w:t>
      </w:r>
    </w:p>
    <w:p w:rsidR="0086101B" w:rsidRPr="0086101B" w:rsidRDefault="0086101B" w:rsidP="008610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FICO Explainable Machine Learning Challenge:</w:t>
      </w:r>
    </w:p>
    <w:p w:rsidR="0086101B" w:rsidRPr="0086101B" w:rsidRDefault="0086101B" w:rsidP="0086101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hyperlink r:id="rId144" w:history="1">
        <w:r w:rsidRPr="0086101B">
          <w:rPr>
            <w:rFonts w:ascii="Times New Roman" w:eastAsia="Times New Roman" w:hAnsi="Times New Roman" w:cs="Times New Roman"/>
            <w:color w:val="0000FF"/>
            <w:sz w:val="24"/>
            <w:szCs w:val="24"/>
            <w:u w:val="single"/>
            <w:lang w:eastAsia="en-IN"/>
          </w:rPr>
          <w:t>FICO launched the Explainable Machine Learning Challenge</w:t>
        </w:r>
      </w:hyperlink>
      <w:r w:rsidRPr="0086101B">
        <w:rPr>
          <w:rFonts w:ascii="Times New Roman" w:eastAsia="Times New Roman" w:hAnsi="Times New Roman" w:cs="Times New Roman"/>
          <w:sz w:val="24"/>
          <w:szCs w:val="24"/>
          <w:lang w:eastAsia="en-IN"/>
        </w:rPr>
        <w:t xml:space="preserve"> around the Home Equity Line of Credit (HELOC) dataset.</w:t>
      </w:r>
    </w:p>
    <w:p w:rsidR="0086101B" w:rsidRPr="0086101B" w:rsidRDefault="0086101B" w:rsidP="0086101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This initiative led to standard benchmark architectures contrasting "intrinsically interpretable" models (e.g., Explainable Boosting Machines / EBMs) against post-hoc explainers (SHAP/LIME). [11, 12, 13] </w:t>
      </w:r>
    </w:p>
    <w:p w:rsidR="0086101B" w:rsidRPr="0086101B" w:rsidRDefault="0086101B" w:rsidP="008610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pict>
          <v:rect id="_x0000_i1025" style="width:0;height:.75pt" o:hralign="center" o:hrstd="t" o:hr="t" fillcolor="#a0a0a0" stroked="f"/>
        </w:pic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86101B">
        <w:rPr>
          <w:rFonts w:ascii="Times New Roman" w:eastAsia="Times New Roman" w:hAnsi="Times New Roman" w:cs="Times New Roman"/>
          <w:b/>
          <w:bCs/>
          <w:sz w:val="30"/>
          <w:szCs w:val="30"/>
          <w:lang w:eastAsia="en-IN"/>
        </w:rPr>
        <w:t>2. Concrete Architectural Blueprint for a Decision Explainer</w:t>
      </w:r>
    </w:p>
    <w:p w:rsidR="0086101B" w:rsidRPr="0086101B" w:rsidRDefault="0086101B" w:rsidP="0086101B">
      <w:pPr>
        <w:spacing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Most production prototypes for automated loan or scholarship approvals deploy a four-tier architecture:</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Applicant Data / Academic </w:t>
      </w:r>
      <w:proofErr w:type="gramStart"/>
      <w:r w:rsidRPr="0086101B">
        <w:rPr>
          <w:rFonts w:ascii="Courier New" w:eastAsia="Times New Roman" w:hAnsi="Courier New" w:cs="Courier New"/>
          <w:sz w:val="20"/>
          <w:szCs w:val="20"/>
          <w:lang w:eastAsia="en-IN"/>
        </w:rPr>
        <w:t>Records ]</w:t>
      </w:r>
      <w:proofErr w:type="gramEnd"/>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1. Decision &amp; Scoring Core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 Core ML: </w:t>
      </w:r>
      <w:proofErr w:type="spellStart"/>
      <w:r w:rsidRPr="0086101B">
        <w:rPr>
          <w:rFonts w:ascii="Courier New" w:eastAsia="Times New Roman" w:hAnsi="Courier New" w:cs="Courier New"/>
          <w:sz w:val="20"/>
          <w:szCs w:val="20"/>
          <w:lang w:eastAsia="en-IN"/>
        </w:rPr>
        <w:t>LightGBM</w:t>
      </w:r>
      <w:proofErr w:type="spellEnd"/>
      <w:r w:rsidRPr="0086101B">
        <w:rPr>
          <w:rFonts w:ascii="Courier New" w:eastAsia="Times New Roman" w:hAnsi="Courier New" w:cs="Courier New"/>
          <w:sz w:val="20"/>
          <w:szCs w:val="20"/>
          <w:lang w:eastAsia="en-IN"/>
        </w:rPr>
        <w:t xml:space="preserve"> / </w:t>
      </w:r>
      <w:proofErr w:type="spellStart"/>
      <w:r w:rsidRPr="0086101B">
        <w:rPr>
          <w:rFonts w:ascii="Courier New" w:eastAsia="Times New Roman" w:hAnsi="Courier New" w:cs="Courier New"/>
          <w:sz w:val="20"/>
          <w:szCs w:val="20"/>
          <w:lang w:eastAsia="en-IN"/>
        </w:rPr>
        <w:t>XGBoost</w:t>
      </w:r>
      <w:proofErr w:type="spellEnd"/>
      <w:r w:rsidRPr="0086101B">
        <w:rPr>
          <w:rFonts w:ascii="Courier New" w:eastAsia="Times New Roman" w:hAnsi="Courier New" w:cs="Courier New"/>
          <w:sz w:val="20"/>
          <w:szCs w:val="20"/>
          <w:lang w:eastAsia="en-IN"/>
        </w:rPr>
        <w:t xml:space="preserve"> / EBM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 Output: Probability score / </w:t>
      </w:r>
      <w:proofErr w:type="gramStart"/>
      <w:r w:rsidRPr="0086101B">
        <w:rPr>
          <w:rFonts w:ascii="Courier New" w:eastAsia="Times New Roman" w:hAnsi="Courier New" w:cs="Courier New"/>
          <w:sz w:val="20"/>
          <w:szCs w:val="20"/>
          <w:lang w:eastAsia="en-IN"/>
        </w:rPr>
        <w:t>Tier  │</w:t>
      </w:r>
      <w:proofErr w:type="gramEnd"/>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2. Dual </w:t>
      </w:r>
      <w:proofErr w:type="spellStart"/>
      <w:r w:rsidRPr="0086101B">
        <w:rPr>
          <w:rFonts w:ascii="Courier New" w:eastAsia="Times New Roman" w:hAnsi="Courier New" w:cs="Courier New"/>
          <w:sz w:val="20"/>
          <w:szCs w:val="20"/>
          <w:lang w:eastAsia="en-IN"/>
        </w:rPr>
        <w:t>Explainability</w:t>
      </w:r>
      <w:proofErr w:type="spellEnd"/>
      <w:r w:rsidRPr="0086101B">
        <w:rPr>
          <w:rFonts w:ascii="Courier New" w:eastAsia="Times New Roman" w:hAnsi="Courier New" w:cs="Courier New"/>
          <w:sz w:val="20"/>
          <w:szCs w:val="20"/>
          <w:lang w:eastAsia="en-IN"/>
        </w:rPr>
        <w:t xml:space="preserve"> Engine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 Local Attribution: </w:t>
      </w:r>
      <w:proofErr w:type="spellStart"/>
      <w:r w:rsidRPr="0086101B">
        <w:rPr>
          <w:rFonts w:ascii="Courier New" w:eastAsia="Times New Roman" w:hAnsi="Courier New" w:cs="Courier New"/>
          <w:sz w:val="20"/>
          <w:szCs w:val="20"/>
          <w:lang w:eastAsia="en-IN"/>
        </w:rPr>
        <w:t>TreeSHAP</w:t>
      </w:r>
      <w:proofErr w:type="spellEnd"/>
      <w:r w:rsidRPr="0086101B">
        <w:rPr>
          <w:rFonts w:ascii="Courier New" w:eastAsia="Times New Roman" w:hAnsi="Courier New" w:cs="Courier New"/>
          <w:sz w:val="20"/>
          <w:szCs w:val="20"/>
          <w:lang w:eastAsia="en-IN"/>
        </w:rPr>
        <w:t xml:space="preserve"> /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LIME (Feature importance ranking)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 </w:t>
      </w:r>
      <w:proofErr w:type="spellStart"/>
      <w:r w:rsidRPr="0086101B">
        <w:rPr>
          <w:rFonts w:ascii="Courier New" w:eastAsia="Times New Roman" w:hAnsi="Courier New" w:cs="Courier New"/>
          <w:sz w:val="20"/>
          <w:szCs w:val="20"/>
          <w:lang w:eastAsia="en-IN"/>
        </w:rPr>
        <w:t>Actionability</w:t>
      </w:r>
      <w:proofErr w:type="spellEnd"/>
      <w:r w:rsidRPr="0086101B">
        <w:rPr>
          <w:rFonts w:ascii="Courier New" w:eastAsia="Times New Roman" w:hAnsi="Courier New" w:cs="Courier New"/>
          <w:sz w:val="20"/>
          <w:szCs w:val="20"/>
          <w:lang w:eastAsia="en-IN"/>
        </w:rPr>
        <w:t xml:space="preserve">: </w:t>
      </w:r>
      <w:proofErr w:type="spellStart"/>
      <w:r w:rsidRPr="0086101B">
        <w:rPr>
          <w:rFonts w:ascii="Courier New" w:eastAsia="Times New Roman" w:hAnsi="Courier New" w:cs="Courier New"/>
          <w:sz w:val="20"/>
          <w:szCs w:val="20"/>
          <w:lang w:eastAsia="en-IN"/>
        </w:rPr>
        <w:t>DiCE</w:t>
      </w:r>
      <w:proofErr w:type="spellEnd"/>
      <w:r w:rsidRPr="0086101B">
        <w:rPr>
          <w:rFonts w:ascii="Courier New" w:eastAsia="Times New Roman" w:hAnsi="Courier New" w:cs="Courier New"/>
          <w:sz w:val="20"/>
          <w:szCs w:val="20"/>
          <w:lang w:eastAsia="en-IN"/>
        </w:rPr>
        <w:t xml:space="preserve"> / NICE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roofErr w:type="gramStart"/>
      <w:r w:rsidRPr="0086101B">
        <w:rPr>
          <w:rFonts w:ascii="Courier New" w:eastAsia="Times New Roman" w:hAnsi="Courier New" w:cs="Courier New"/>
          <w:sz w:val="20"/>
          <w:szCs w:val="20"/>
          <w:lang w:eastAsia="en-IN"/>
        </w:rPr>
        <w:t xml:space="preserve">   (</w:t>
      </w:r>
      <w:proofErr w:type="gramEnd"/>
      <w:r w:rsidRPr="0086101B">
        <w:rPr>
          <w:rFonts w:ascii="Courier New" w:eastAsia="Times New Roman" w:hAnsi="Courier New" w:cs="Courier New"/>
          <w:sz w:val="20"/>
          <w:szCs w:val="20"/>
          <w:lang w:eastAsia="en-IN"/>
        </w:rPr>
        <w:t>Counterfactual scenarios)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 Fairness Guard: AIF360 / </w:t>
      </w:r>
      <w:proofErr w:type="spellStart"/>
      <w:r w:rsidRPr="0086101B">
        <w:rPr>
          <w:rFonts w:ascii="Courier New" w:eastAsia="Times New Roman" w:hAnsi="Courier New" w:cs="Courier New"/>
          <w:sz w:val="20"/>
          <w:szCs w:val="20"/>
          <w:lang w:eastAsia="en-IN"/>
        </w:rPr>
        <w:t>Fairlearn</w:t>
      </w:r>
      <w:proofErr w:type="spellEnd"/>
      <w:r w:rsidRPr="0086101B">
        <w:rPr>
          <w:rFonts w:ascii="Courier New" w:eastAsia="Times New Roman" w:hAnsi="Courier New" w:cs="Courier New"/>
          <w:sz w:val="20"/>
          <w:szCs w:val="20"/>
          <w:lang w:eastAsia="en-IN"/>
        </w:rPr>
        <w:t>│</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roofErr w:type="gramStart"/>
      <w:r w:rsidRPr="0086101B">
        <w:rPr>
          <w:rFonts w:ascii="Courier New" w:eastAsia="Times New Roman" w:hAnsi="Courier New" w:cs="Courier New"/>
          <w:sz w:val="20"/>
          <w:szCs w:val="20"/>
          <w:lang w:eastAsia="en-IN"/>
        </w:rPr>
        <w:t xml:space="preserve">   (</w:t>
      </w:r>
      <w:proofErr w:type="gramEnd"/>
      <w:r w:rsidRPr="0086101B">
        <w:rPr>
          <w:rFonts w:ascii="Courier New" w:eastAsia="Times New Roman" w:hAnsi="Courier New" w:cs="Courier New"/>
          <w:sz w:val="20"/>
          <w:szCs w:val="20"/>
          <w:lang w:eastAsia="en-IN"/>
        </w:rPr>
        <w:t>Protected attribute checks)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3. Policy &amp; Translation Layer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 Adverse Action Reason Generator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 Feasible Recourse Rule Filter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roofErr w:type="gramStart"/>
      <w:r w:rsidRPr="0086101B">
        <w:rPr>
          <w:rFonts w:ascii="Courier New" w:eastAsia="Times New Roman" w:hAnsi="Courier New" w:cs="Courier New"/>
          <w:sz w:val="20"/>
          <w:szCs w:val="20"/>
          <w:lang w:eastAsia="en-IN"/>
        </w:rPr>
        <w:t xml:space="preserve">   (</w:t>
      </w:r>
      <w:proofErr w:type="gramEnd"/>
      <w:r w:rsidRPr="0086101B">
        <w:rPr>
          <w:rFonts w:ascii="Courier New" w:eastAsia="Times New Roman" w:hAnsi="Courier New" w:cs="Courier New"/>
          <w:sz w:val="20"/>
          <w:szCs w:val="20"/>
          <w:lang w:eastAsia="en-IN"/>
        </w:rPr>
        <w:t>e.g., age/race cannot change;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GPA or debt-ratio can </w:t>
      </w:r>
      <w:proofErr w:type="gramStart"/>
      <w:r w:rsidRPr="0086101B">
        <w:rPr>
          <w:rFonts w:ascii="Courier New" w:eastAsia="Times New Roman" w:hAnsi="Courier New" w:cs="Courier New"/>
          <w:sz w:val="20"/>
          <w:szCs w:val="20"/>
          <w:lang w:eastAsia="en-IN"/>
        </w:rPr>
        <w:t xml:space="preserve">change)   </w:t>
      </w:r>
      <w:proofErr w:type="gramEnd"/>
      <w:r w:rsidRPr="0086101B">
        <w:rPr>
          <w:rFonts w:ascii="Courier New" w:eastAsia="Times New Roman" w:hAnsi="Courier New" w:cs="Courier New"/>
          <w:sz w:val="20"/>
          <w:szCs w:val="20"/>
          <w:lang w:eastAsia="en-IN"/>
        </w:rPr>
        <w:t xml:space="preserv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xml:space="preserv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lastRenderedPageBreak/>
        <w:t>┌────────────────────────────────────────┐</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4. Stakeholder Presentation Tier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 Applicant: Actionable recourse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 Underwriter: Audit drill-down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    • Auditor: Bias metrics dashboard   │</w:t>
      </w:r>
    </w:p>
    <w:p w:rsidR="0086101B" w:rsidRPr="0086101B" w:rsidRDefault="0086101B" w:rsidP="0086101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6101B">
        <w:rPr>
          <w:rFonts w:ascii="Courier New" w:eastAsia="Times New Roman" w:hAnsi="Courier New" w:cs="Courier New"/>
          <w:sz w:val="20"/>
          <w:szCs w:val="20"/>
          <w:lang w:eastAsia="en-IN"/>
        </w:rPr>
        <w:t>└────────────────────────────────────────┘</w:t>
      </w:r>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pict>
          <v:rect id="_x0000_i1026" style="width:0;height:.75pt" o:hralign="center" o:hrstd="t" o:hr="t" fillcolor="#a0a0a0" stroked="f"/>
        </w:pic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86101B">
        <w:rPr>
          <w:rFonts w:ascii="Times New Roman" w:eastAsia="Times New Roman" w:hAnsi="Times New Roman" w:cs="Times New Roman"/>
          <w:b/>
          <w:bCs/>
          <w:sz w:val="30"/>
          <w:szCs w:val="30"/>
          <w:lang w:eastAsia="en-IN"/>
        </w:rPr>
        <w:t>3. Case Studies: Loans vs. Scholarships</w:t>
      </w:r>
    </w:p>
    <w:tbl>
      <w:tblPr>
        <w:tblW w:w="5000" w:type="pct"/>
        <w:tblCellMar>
          <w:top w:w="15" w:type="dxa"/>
          <w:left w:w="15" w:type="dxa"/>
          <w:bottom w:w="15" w:type="dxa"/>
          <w:right w:w="15" w:type="dxa"/>
        </w:tblCellMar>
        <w:tblLook w:val="04A0" w:firstRow="1" w:lastRow="0" w:firstColumn="1" w:lastColumn="0" w:noHBand="0" w:noVBand="1"/>
      </w:tblPr>
      <w:tblGrid>
        <w:gridCol w:w="2251"/>
        <w:gridCol w:w="3425"/>
        <w:gridCol w:w="3330"/>
      </w:tblGrid>
      <w:tr w:rsidR="0086101B" w:rsidRPr="0086101B" w:rsidTr="0086101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b/>
                <w:bCs/>
                <w:sz w:val="24"/>
                <w:szCs w:val="24"/>
                <w:lang w:eastAsia="en-IN"/>
              </w:rPr>
            </w:pPr>
            <w:r w:rsidRPr="0086101B">
              <w:rPr>
                <w:rFonts w:ascii="Times New Roman" w:eastAsia="Times New Roman" w:hAnsi="Times New Roman" w:cs="Times New Roman"/>
                <w:b/>
                <w:bCs/>
                <w:sz w:val="24"/>
                <w:szCs w:val="24"/>
                <w:lang w:eastAsia="en-IN"/>
              </w:rPr>
              <w:t>Dimension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b/>
                <w:bCs/>
                <w:sz w:val="24"/>
                <w:szCs w:val="24"/>
                <w:lang w:eastAsia="en-IN"/>
              </w:rPr>
            </w:pPr>
            <w:r w:rsidRPr="0086101B">
              <w:rPr>
                <w:rFonts w:ascii="Times New Roman" w:eastAsia="Times New Roman" w:hAnsi="Times New Roman" w:cs="Times New Roman"/>
                <w:b/>
                <w:bCs/>
                <w:sz w:val="24"/>
                <w:szCs w:val="24"/>
                <w:lang w:eastAsia="en-IN"/>
              </w:rPr>
              <w:t>Loan Approval Explainer Case Studies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b/>
                <w:bCs/>
                <w:sz w:val="24"/>
                <w:szCs w:val="24"/>
                <w:lang w:eastAsia="en-IN"/>
              </w:rPr>
            </w:pPr>
            <w:r w:rsidRPr="0086101B">
              <w:rPr>
                <w:rFonts w:ascii="Times New Roman" w:eastAsia="Times New Roman" w:hAnsi="Times New Roman" w:cs="Times New Roman"/>
                <w:b/>
                <w:bCs/>
                <w:sz w:val="24"/>
                <w:szCs w:val="24"/>
                <w:lang w:eastAsia="en-IN"/>
              </w:rPr>
              <w:t>Scholarship / Grant Approval Prototypes</w:t>
            </w:r>
          </w:p>
        </w:tc>
      </w:tr>
      <w:tr w:rsidR="0086101B" w:rsidRPr="0086101B" w:rsidTr="0086101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Typical Data 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Debt-to-income (DTI), credit score, cash-flow stability, collateral value, employment history.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Household income (EFC/SAI), GPA, standardized test percentiles, first-generation status, course rigor.</w:t>
            </w:r>
          </w:p>
        </w:tc>
      </w:tr>
      <w:tr w:rsidR="0086101B" w:rsidRPr="0086101B" w:rsidTr="0086101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Primary Methodologies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SHAP / Integrated Gradients</w:t>
            </w:r>
            <w:r w:rsidRPr="0086101B">
              <w:rPr>
                <w:rFonts w:ascii="Times New Roman" w:eastAsia="Times New Roman" w:hAnsi="Times New Roman" w:cs="Times New Roman"/>
                <w:sz w:val="24"/>
                <w:szCs w:val="24"/>
                <w:lang w:eastAsia="en-IN"/>
              </w:rPr>
              <w:t xml:space="preserve"> for feature contribution; </w:t>
            </w:r>
            <w:proofErr w:type="spellStart"/>
            <w:r w:rsidRPr="0086101B">
              <w:rPr>
                <w:rFonts w:ascii="Times New Roman" w:eastAsia="Times New Roman" w:hAnsi="Times New Roman" w:cs="Times New Roman"/>
                <w:b/>
                <w:bCs/>
                <w:sz w:val="24"/>
                <w:szCs w:val="24"/>
                <w:lang w:eastAsia="en-IN"/>
              </w:rPr>
              <w:t>DiCE</w:t>
            </w:r>
            <w:proofErr w:type="spellEnd"/>
            <w:r w:rsidRPr="0086101B">
              <w:rPr>
                <w:rFonts w:ascii="Times New Roman" w:eastAsia="Times New Roman" w:hAnsi="Times New Roman" w:cs="Times New Roman"/>
                <w:b/>
                <w:bCs/>
                <w:sz w:val="24"/>
                <w:szCs w:val="24"/>
                <w:lang w:eastAsia="en-IN"/>
              </w:rPr>
              <w:t xml:space="preserve"> (Diverse Counterfactuals)</w:t>
            </w:r>
            <w:r w:rsidRPr="0086101B">
              <w:rPr>
                <w:rFonts w:ascii="Times New Roman" w:eastAsia="Times New Roman" w:hAnsi="Times New Roman" w:cs="Times New Roman"/>
                <w:sz w:val="24"/>
                <w:szCs w:val="24"/>
                <w:lang w:eastAsia="en-IN"/>
              </w:rPr>
              <w:t xml:space="preserve"> for recourse recommendations.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Belief-Rule-Base (BRB)</w:t>
            </w:r>
            <w:r w:rsidRPr="0086101B">
              <w:rPr>
                <w:rFonts w:ascii="Times New Roman" w:eastAsia="Times New Roman" w:hAnsi="Times New Roman" w:cs="Times New Roman"/>
                <w:sz w:val="24"/>
                <w:szCs w:val="24"/>
                <w:lang w:eastAsia="en-IN"/>
              </w:rPr>
              <w:t xml:space="preserve"> or </w:t>
            </w:r>
            <w:r w:rsidRPr="0086101B">
              <w:rPr>
                <w:rFonts w:ascii="Times New Roman" w:eastAsia="Times New Roman" w:hAnsi="Times New Roman" w:cs="Times New Roman"/>
                <w:b/>
                <w:bCs/>
                <w:sz w:val="24"/>
                <w:szCs w:val="24"/>
                <w:lang w:eastAsia="en-IN"/>
              </w:rPr>
              <w:t>Explainable Boosting Machines (EBM)</w:t>
            </w:r>
            <w:r w:rsidRPr="0086101B">
              <w:rPr>
                <w:rFonts w:ascii="Times New Roman" w:eastAsia="Times New Roman" w:hAnsi="Times New Roman" w:cs="Times New Roman"/>
                <w:sz w:val="24"/>
                <w:szCs w:val="24"/>
                <w:lang w:eastAsia="en-IN"/>
              </w:rPr>
              <w:t xml:space="preserve"> to ensure explicit human-readable heuristic rules.</w:t>
            </w:r>
          </w:p>
        </w:tc>
      </w:tr>
      <w:tr w:rsidR="0086101B" w:rsidRPr="0086101B" w:rsidTr="0086101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Explanation Output (User-Facing)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i/>
                <w:iCs/>
                <w:sz w:val="24"/>
                <w:szCs w:val="24"/>
                <w:lang w:eastAsia="en-IN"/>
              </w:rPr>
              <w:t>"Rejected due to high DTI (48%). If debt is reduced by $4,200, qualification threshold is met."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i/>
                <w:iCs/>
                <w:sz w:val="24"/>
                <w:szCs w:val="24"/>
                <w:lang w:eastAsia="en-IN"/>
              </w:rPr>
              <w:t>"Candidate placed in Tier 2 due to course rigor vs. target tier; eligible for reconsideration upon semester-end credit verification."</w:t>
            </w:r>
          </w:p>
        </w:tc>
      </w:tr>
      <w:tr w:rsidR="0086101B" w:rsidRPr="0086101B" w:rsidTr="0086101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Regulatory Guardrails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Fair Credit Reporting Act (FCRA), CFPB Circular on AI Adverse Actions, RBI FREE-AI guidelines.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Title VI (Civil Rights Act), Family Educational Rights and Privacy Act (FERPA), state affirmative action policies.</w:t>
            </w:r>
          </w:p>
        </w:tc>
      </w:tr>
      <w:tr w:rsidR="0086101B" w:rsidRPr="0086101B" w:rsidTr="0086101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Leading Real-World Implementations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hyperlink r:id="rId145" w:history="1">
              <w:r w:rsidRPr="0086101B">
                <w:rPr>
                  <w:rFonts w:ascii="Times New Roman" w:eastAsia="Times New Roman" w:hAnsi="Times New Roman" w:cs="Times New Roman"/>
                  <w:color w:val="0000FF"/>
                  <w:sz w:val="24"/>
                  <w:szCs w:val="24"/>
                  <w:u w:val="single"/>
                  <w:lang w:eastAsia="en-IN"/>
                </w:rPr>
                <w:t>Nucleus Software lending modules</w:t>
              </w:r>
            </w:hyperlink>
            <w:r w:rsidRPr="0086101B">
              <w:rPr>
                <w:rFonts w:ascii="Times New Roman" w:eastAsia="Times New Roman" w:hAnsi="Times New Roman" w:cs="Times New Roman"/>
                <w:sz w:val="24"/>
                <w:szCs w:val="24"/>
                <w:lang w:eastAsia="en-IN"/>
              </w:rPr>
              <w:t xml:space="preserve">, </w:t>
            </w:r>
            <w:hyperlink r:id="rId146" w:history="1">
              <w:r w:rsidRPr="0086101B">
                <w:rPr>
                  <w:rFonts w:ascii="Times New Roman" w:eastAsia="Times New Roman" w:hAnsi="Times New Roman" w:cs="Times New Roman"/>
                  <w:color w:val="0000FF"/>
                  <w:sz w:val="24"/>
                  <w:szCs w:val="24"/>
                  <w:u w:val="single"/>
                  <w:lang w:eastAsia="en-IN"/>
                </w:rPr>
                <w:t>Carrington Labs cash-flow underwriting</w:t>
              </w:r>
            </w:hyperlink>
            <w:r w:rsidRPr="0086101B">
              <w:rPr>
                <w:rFonts w:ascii="Times New Roman" w:eastAsia="Times New Roman" w:hAnsi="Times New Roman" w:cs="Times New Roman"/>
                <w:sz w:val="24"/>
                <w:szCs w:val="24"/>
                <w:lang w:eastAsia="en-IN"/>
              </w:rPr>
              <w:t xml:space="preserve">, TCS </w:t>
            </w:r>
            <w:proofErr w:type="spellStart"/>
            <w:r w:rsidRPr="0086101B">
              <w:rPr>
                <w:rFonts w:ascii="Times New Roman" w:eastAsia="Times New Roman" w:hAnsi="Times New Roman" w:cs="Times New Roman"/>
                <w:sz w:val="24"/>
                <w:szCs w:val="24"/>
                <w:lang w:eastAsia="en-IN"/>
              </w:rPr>
              <w:t>BaNCS</w:t>
            </w:r>
            <w:proofErr w:type="spellEnd"/>
            <w:r w:rsidRPr="0086101B">
              <w:rPr>
                <w:rFonts w:ascii="Times New Roman" w:eastAsia="Times New Roman" w:hAnsi="Times New Roman" w:cs="Times New Roman"/>
                <w:sz w:val="24"/>
                <w:szCs w:val="24"/>
                <w:lang w:eastAsia="en-IN"/>
              </w:rPr>
              <w:t xml:space="preserve"> loan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Higher-education </w:t>
            </w:r>
            <w:proofErr w:type="spellStart"/>
            <w:r w:rsidRPr="0086101B">
              <w:rPr>
                <w:rFonts w:ascii="Times New Roman" w:eastAsia="Times New Roman" w:hAnsi="Times New Roman" w:cs="Times New Roman"/>
                <w:sz w:val="24"/>
                <w:szCs w:val="24"/>
                <w:lang w:eastAsia="en-IN"/>
              </w:rPr>
              <w:t>enrollment</w:t>
            </w:r>
            <w:proofErr w:type="spellEnd"/>
            <w:r w:rsidRPr="0086101B">
              <w:rPr>
                <w:rFonts w:ascii="Times New Roman" w:eastAsia="Times New Roman" w:hAnsi="Times New Roman" w:cs="Times New Roman"/>
                <w:sz w:val="24"/>
                <w:szCs w:val="24"/>
                <w:lang w:eastAsia="en-IN"/>
              </w:rPr>
              <w:t xml:space="preserve"> management prototypes (using </w:t>
            </w:r>
            <w:proofErr w:type="spellStart"/>
            <w:r w:rsidRPr="0086101B">
              <w:rPr>
                <w:rFonts w:ascii="Times New Roman" w:eastAsia="Times New Roman" w:hAnsi="Times New Roman" w:cs="Times New Roman"/>
                <w:sz w:val="24"/>
                <w:szCs w:val="24"/>
                <w:lang w:eastAsia="en-IN"/>
              </w:rPr>
              <w:t>InterpretML</w:t>
            </w:r>
            <w:proofErr w:type="spellEnd"/>
            <w:r w:rsidRPr="0086101B">
              <w:rPr>
                <w:rFonts w:ascii="Times New Roman" w:eastAsia="Times New Roman" w:hAnsi="Times New Roman" w:cs="Times New Roman"/>
                <w:sz w:val="24"/>
                <w:szCs w:val="24"/>
                <w:lang w:eastAsia="en-IN"/>
              </w:rPr>
              <w:t>) and government financial aid grant prototypes.</w:t>
            </w:r>
          </w:p>
        </w:tc>
      </w:tr>
    </w:tbl>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pict>
          <v:rect id="_x0000_i1027" style="width:0;height:.75pt" o:hralign="center" o:hrstd="t" o:hr="t" fillcolor="#a0a0a0" stroked="f"/>
        </w:pict>
      </w:r>
    </w:p>
    <w:p w:rsidR="0086101B" w:rsidRPr="0086101B" w:rsidRDefault="0086101B" w:rsidP="0086101B">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86101B">
        <w:rPr>
          <w:rFonts w:ascii="Times New Roman" w:eastAsia="Times New Roman" w:hAnsi="Times New Roman" w:cs="Times New Roman"/>
          <w:b/>
          <w:bCs/>
          <w:sz w:val="30"/>
          <w:szCs w:val="30"/>
          <w:lang w:eastAsia="en-IN"/>
        </w:rPr>
        <w:t>4. Key Open-Source Toolkits for Building Prototypes</w:t>
      </w:r>
    </w:p>
    <w:p w:rsidR="0086101B" w:rsidRPr="0086101B" w:rsidRDefault="0086101B" w:rsidP="0086101B">
      <w:pPr>
        <w:spacing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To construct a runnable prototype for either use case, industry proofs-of-concept frequently use:</w:t>
      </w:r>
    </w:p>
    <w:p w:rsidR="0086101B" w:rsidRPr="0086101B" w:rsidRDefault="0086101B" w:rsidP="008610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
    <w:p w:rsidR="0086101B" w:rsidRPr="0086101B" w:rsidRDefault="0086101B" w:rsidP="008610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Counterfactual Explanations:</w:t>
      </w:r>
      <w:r w:rsidRPr="0086101B">
        <w:rPr>
          <w:rFonts w:ascii="Times New Roman" w:eastAsia="Times New Roman" w:hAnsi="Times New Roman" w:cs="Times New Roman"/>
          <w:sz w:val="24"/>
          <w:szCs w:val="24"/>
          <w:lang w:eastAsia="en-IN"/>
        </w:rPr>
        <w:t xml:space="preserve"> </w:t>
      </w:r>
      <w:hyperlink r:id="rId147" w:history="1">
        <w:r w:rsidRPr="0086101B">
          <w:rPr>
            <w:rFonts w:ascii="Times New Roman" w:eastAsia="Times New Roman" w:hAnsi="Times New Roman" w:cs="Times New Roman"/>
            <w:color w:val="0000FF"/>
            <w:sz w:val="24"/>
            <w:szCs w:val="24"/>
            <w:u w:val="single"/>
            <w:lang w:eastAsia="en-IN"/>
          </w:rPr>
          <w:t xml:space="preserve">Microsoft </w:t>
        </w:r>
        <w:proofErr w:type="spellStart"/>
        <w:r w:rsidRPr="0086101B">
          <w:rPr>
            <w:rFonts w:ascii="Times New Roman" w:eastAsia="Times New Roman" w:hAnsi="Times New Roman" w:cs="Times New Roman"/>
            <w:color w:val="0000FF"/>
            <w:sz w:val="24"/>
            <w:szCs w:val="24"/>
            <w:u w:val="single"/>
            <w:lang w:eastAsia="en-IN"/>
          </w:rPr>
          <w:t>DiCE</w:t>
        </w:r>
        <w:proofErr w:type="spellEnd"/>
        <w:r w:rsidRPr="0086101B">
          <w:rPr>
            <w:rFonts w:ascii="Times New Roman" w:eastAsia="Times New Roman" w:hAnsi="Times New Roman" w:cs="Times New Roman"/>
            <w:color w:val="0000FF"/>
            <w:sz w:val="24"/>
            <w:szCs w:val="24"/>
            <w:u w:val="single"/>
            <w:lang w:eastAsia="en-IN"/>
          </w:rPr>
          <w:t xml:space="preserve"> (Diverse Counterfactual Explanations)</w:t>
        </w:r>
      </w:hyperlink>
      <w:r w:rsidRPr="0086101B">
        <w:rPr>
          <w:rFonts w:ascii="Times New Roman" w:eastAsia="Times New Roman" w:hAnsi="Times New Roman" w:cs="Times New Roman"/>
          <w:sz w:val="24"/>
          <w:szCs w:val="24"/>
          <w:lang w:eastAsia="en-IN"/>
        </w:rPr>
        <w:t xml:space="preserve"> to compute actionable pathways showing the exact adjustments an applicant must make to flip a rejection into an approval. [1, 14] </w:t>
      </w:r>
    </w:p>
    <w:p w:rsidR="0086101B" w:rsidRPr="0086101B" w:rsidRDefault="0086101B" w:rsidP="008610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lastRenderedPageBreak/>
        <w:t>Intrinsic Interpretability:</w:t>
      </w:r>
      <w:r w:rsidRPr="0086101B">
        <w:rPr>
          <w:rFonts w:ascii="Times New Roman" w:eastAsia="Times New Roman" w:hAnsi="Times New Roman" w:cs="Times New Roman"/>
          <w:sz w:val="24"/>
          <w:szCs w:val="24"/>
          <w:lang w:eastAsia="en-IN"/>
        </w:rPr>
        <w:t xml:space="preserve"> </w:t>
      </w:r>
      <w:proofErr w:type="spellStart"/>
      <w:r w:rsidRPr="0086101B">
        <w:rPr>
          <w:rFonts w:ascii="Times New Roman" w:eastAsia="Times New Roman" w:hAnsi="Times New Roman" w:cs="Times New Roman"/>
          <w:sz w:val="24"/>
          <w:szCs w:val="24"/>
          <w:lang w:eastAsia="en-IN"/>
        </w:rPr>
        <w:t>InterpretML</w:t>
      </w:r>
      <w:proofErr w:type="spellEnd"/>
      <w:r w:rsidRPr="0086101B">
        <w:rPr>
          <w:rFonts w:ascii="Times New Roman" w:eastAsia="Times New Roman" w:hAnsi="Times New Roman" w:cs="Times New Roman"/>
          <w:sz w:val="24"/>
          <w:szCs w:val="24"/>
          <w:lang w:eastAsia="en-IN"/>
        </w:rPr>
        <w:t xml:space="preserve"> (</w:t>
      </w:r>
      <w:proofErr w:type="spellStart"/>
      <w:r w:rsidRPr="0086101B">
        <w:rPr>
          <w:rFonts w:ascii="Times New Roman" w:eastAsia="Times New Roman" w:hAnsi="Times New Roman" w:cs="Times New Roman"/>
          <w:sz w:val="24"/>
          <w:szCs w:val="24"/>
          <w:lang w:eastAsia="en-IN"/>
        </w:rPr>
        <w:t>Glassbox</w:t>
      </w:r>
      <w:proofErr w:type="spellEnd"/>
      <w:r w:rsidRPr="0086101B">
        <w:rPr>
          <w:rFonts w:ascii="Times New Roman" w:eastAsia="Times New Roman" w:hAnsi="Times New Roman" w:cs="Times New Roman"/>
          <w:sz w:val="24"/>
          <w:szCs w:val="24"/>
          <w:lang w:eastAsia="en-IN"/>
        </w:rPr>
        <w:t xml:space="preserve"> models) for exact mathematical interpretability without needing post-hoc approximations. [12] </w:t>
      </w:r>
    </w:p>
    <w:p w:rsidR="0086101B" w:rsidRPr="0086101B" w:rsidRDefault="0086101B" w:rsidP="008610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b/>
          <w:bCs/>
          <w:sz w:val="24"/>
          <w:szCs w:val="24"/>
          <w:lang w:eastAsia="en-IN"/>
        </w:rPr>
        <w:t>Fairness Auditing:</w:t>
      </w:r>
      <w:r w:rsidRPr="0086101B">
        <w:rPr>
          <w:rFonts w:ascii="Times New Roman" w:eastAsia="Times New Roman" w:hAnsi="Times New Roman" w:cs="Times New Roman"/>
          <w:sz w:val="24"/>
          <w:szCs w:val="24"/>
          <w:lang w:eastAsia="en-IN"/>
        </w:rPr>
        <w:t xml:space="preserve"> IBM AI Fairness 360 (AIF360) and </w:t>
      </w:r>
      <w:hyperlink r:id="rId148" w:history="1">
        <w:proofErr w:type="spellStart"/>
        <w:r w:rsidRPr="0086101B">
          <w:rPr>
            <w:rFonts w:ascii="Times New Roman" w:eastAsia="Times New Roman" w:hAnsi="Times New Roman" w:cs="Times New Roman"/>
            <w:color w:val="0000FF"/>
            <w:sz w:val="24"/>
            <w:szCs w:val="24"/>
            <w:u w:val="single"/>
            <w:lang w:eastAsia="en-IN"/>
          </w:rPr>
          <w:t>Fairlearn</w:t>
        </w:r>
        <w:proofErr w:type="spellEnd"/>
      </w:hyperlink>
      <w:r w:rsidRPr="0086101B">
        <w:rPr>
          <w:rFonts w:ascii="Times New Roman" w:eastAsia="Times New Roman" w:hAnsi="Times New Roman" w:cs="Times New Roman"/>
          <w:sz w:val="24"/>
          <w:szCs w:val="24"/>
          <w:lang w:eastAsia="en-IN"/>
        </w:rPr>
        <w:t xml:space="preserve"> to quantify disparities across protected demographic groups. [15] </w:t>
      </w:r>
    </w:p>
    <w:p w:rsidR="0086101B" w:rsidRPr="0086101B" w:rsidRDefault="0086101B" w:rsidP="008610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
    <w:p w:rsidR="0086101B" w:rsidRPr="0086101B" w:rsidRDefault="0086101B" w:rsidP="0086101B">
      <w:pPr>
        <w:spacing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Would you like to explore a </w:t>
      </w:r>
      <w:r w:rsidRPr="0086101B">
        <w:rPr>
          <w:rFonts w:ascii="Times New Roman" w:eastAsia="Times New Roman" w:hAnsi="Times New Roman" w:cs="Times New Roman"/>
          <w:b/>
          <w:bCs/>
          <w:sz w:val="24"/>
          <w:szCs w:val="24"/>
          <w:lang w:eastAsia="en-IN"/>
        </w:rPr>
        <w:t>Python-based reference implementation</w:t>
      </w:r>
      <w:r w:rsidRPr="0086101B">
        <w:rPr>
          <w:rFonts w:ascii="Times New Roman" w:eastAsia="Times New Roman" w:hAnsi="Times New Roman" w:cs="Times New Roman"/>
          <w:sz w:val="24"/>
          <w:szCs w:val="24"/>
          <w:lang w:eastAsia="en-IN"/>
        </w:rPr>
        <w:t xml:space="preserve"> (e.g., using </w:t>
      </w:r>
      <w:proofErr w:type="spellStart"/>
      <w:r w:rsidRPr="0086101B">
        <w:rPr>
          <w:rFonts w:ascii="Times New Roman" w:eastAsia="Times New Roman" w:hAnsi="Times New Roman" w:cs="Times New Roman"/>
          <w:sz w:val="24"/>
          <w:szCs w:val="24"/>
          <w:lang w:eastAsia="en-IN"/>
        </w:rPr>
        <w:t>LightGBM</w:t>
      </w:r>
      <w:proofErr w:type="spellEnd"/>
      <w:r w:rsidRPr="0086101B">
        <w:rPr>
          <w:rFonts w:ascii="Times New Roman" w:eastAsia="Times New Roman" w:hAnsi="Times New Roman" w:cs="Times New Roman"/>
          <w:sz w:val="24"/>
          <w:szCs w:val="24"/>
          <w:lang w:eastAsia="en-IN"/>
        </w:rPr>
        <w:t xml:space="preserve"> + </w:t>
      </w:r>
      <w:proofErr w:type="spellStart"/>
      <w:r w:rsidRPr="0086101B">
        <w:rPr>
          <w:rFonts w:ascii="Times New Roman" w:eastAsia="Times New Roman" w:hAnsi="Times New Roman" w:cs="Times New Roman"/>
          <w:sz w:val="24"/>
          <w:szCs w:val="24"/>
          <w:lang w:eastAsia="en-IN"/>
        </w:rPr>
        <w:t>DiCE</w:t>
      </w:r>
      <w:proofErr w:type="spellEnd"/>
      <w:r w:rsidRPr="0086101B">
        <w:rPr>
          <w:rFonts w:ascii="Times New Roman" w:eastAsia="Times New Roman" w:hAnsi="Times New Roman" w:cs="Times New Roman"/>
          <w:sz w:val="24"/>
          <w:szCs w:val="24"/>
          <w:lang w:eastAsia="en-IN"/>
        </w:rPr>
        <w:t xml:space="preserve">/SHAP on synthetic financial aid/loan data), or examine the </w:t>
      </w:r>
      <w:r w:rsidRPr="0086101B">
        <w:rPr>
          <w:rFonts w:ascii="Times New Roman" w:eastAsia="Times New Roman" w:hAnsi="Times New Roman" w:cs="Times New Roman"/>
          <w:b/>
          <w:bCs/>
          <w:sz w:val="24"/>
          <w:szCs w:val="24"/>
          <w:lang w:eastAsia="en-IN"/>
        </w:rPr>
        <w:t>regulatory compliance mapping</w:t>
      </w:r>
      <w:r w:rsidRPr="0086101B">
        <w:rPr>
          <w:rFonts w:ascii="Times New Roman" w:eastAsia="Times New Roman" w:hAnsi="Times New Roman" w:cs="Times New Roman"/>
          <w:sz w:val="24"/>
          <w:szCs w:val="24"/>
          <w:lang w:eastAsia="en-IN"/>
        </w:rPr>
        <w:t xml:space="preserve"> (such as CFPB or EU AI Act mandates) for adverse action notices?</w:t>
      </w:r>
    </w:p>
    <w:p w:rsidR="0086101B" w:rsidRPr="0086101B" w:rsidRDefault="0086101B" w:rsidP="0086101B">
      <w:pPr>
        <w:spacing w:after="0" w:line="240" w:lineRule="auto"/>
        <w:rPr>
          <w:rFonts w:ascii="Times New Roman" w:eastAsia="Times New Roman" w:hAnsi="Times New Roman" w:cs="Times New Roman"/>
          <w:sz w:val="24"/>
          <w:szCs w:val="24"/>
          <w:lang w:eastAsia="en-IN"/>
        </w:rPr>
      </w:pPr>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[1] </w:t>
      </w:r>
      <w:hyperlink r:id="rId149" w:history="1">
        <w:r w:rsidRPr="0086101B">
          <w:rPr>
            <w:rFonts w:ascii="Times New Roman" w:eastAsia="Times New Roman" w:hAnsi="Times New Roman" w:cs="Times New Roman"/>
            <w:color w:val="0000FF"/>
            <w:sz w:val="24"/>
            <w:szCs w:val="24"/>
            <w:u w:val="single"/>
            <w:lang w:eastAsia="en-IN"/>
          </w:rPr>
          <w:t>https://link.springer.com</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[2] </w:t>
      </w:r>
      <w:hyperlink r:id="rId150" w:history="1">
        <w:r w:rsidRPr="0086101B">
          <w:rPr>
            <w:rFonts w:ascii="Times New Roman" w:eastAsia="Times New Roman" w:hAnsi="Times New Roman" w:cs="Times New Roman"/>
            <w:color w:val="0000FF"/>
            <w:sz w:val="24"/>
            <w:szCs w:val="24"/>
            <w:u w:val="single"/>
            <w:lang w:eastAsia="en-IN"/>
          </w:rPr>
          <w:t>https://www.carringtonlabs.com</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[3] </w:t>
      </w:r>
      <w:hyperlink r:id="rId151" w:history="1">
        <w:r w:rsidRPr="0086101B">
          <w:rPr>
            <w:rFonts w:ascii="Times New Roman" w:eastAsia="Times New Roman" w:hAnsi="Times New Roman" w:cs="Times New Roman"/>
            <w:color w:val="0000FF"/>
            <w:sz w:val="24"/>
            <w:szCs w:val="24"/>
            <w:u w:val="single"/>
            <w:lang w:eastAsia="en-IN"/>
          </w:rPr>
          <w:t>https://link.springer.com</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[4] </w:t>
      </w:r>
      <w:hyperlink r:id="rId152" w:history="1">
        <w:r w:rsidRPr="0086101B">
          <w:rPr>
            <w:rFonts w:ascii="Times New Roman" w:eastAsia="Times New Roman" w:hAnsi="Times New Roman" w:cs="Times New Roman"/>
            <w:color w:val="0000FF"/>
            <w:sz w:val="24"/>
            <w:szCs w:val="24"/>
            <w:u w:val="single"/>
            <w:lang w:eastAsia="en-IN"/>
          </w:rPr>
          <w:t>https://www.tcs.com</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[5] </w:t>
      </w:r>
      <w:hyperlink r:id="rId153" w:history="1">
        <w:r w:rsidRPr="0086101B">
          <w:rPr>
            <w:rFonts w:ascii="Times New Roman" w:eastAsia="Times New Roman" w:hAnsi="Times New Roman" w:cs="Times New Roman"/>
            <w:color w:val="0000FF"/>
            <w:sz w:val="24"/>
            <w:szCs w:val="24"/>
            <w:u w:val="single"/>
            <w:lang w:eastAsia="en-IN"/>
          </w:rPr>
          <w:t>https://www.tcs.com</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[6] </w:t>
      </w:r>
      <w:hyperlink r:id="rId154" w:history="1">
        <w:r w:rsidRPr="0086101B">
          <w:rPr>
            <w:rFonts w:ascii="Times New Roman" w:eastAsia="Times New Roman" w:hAnsi="Times New Roman" w:cs="Times New Roman"/>
            <w:color w:val="0000FF"/>
            <w:sz w:val="24"/>
            <w:szCs w:val="24"/>
            <w:u w:val="single"/>
            <w:lang w:eastAsia="en-IN"/>
          </w:rPr>
          <w:t>https://www.tcs.com</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[7] </w:t>
      </w:r>
      <w:hyperlink r:id="rId155" w:history="1">
        <w:r w:rsidRPr="0086101B">
          <w:rPr>
            <w:rFonts w:ascii="Times New Roman" w:eastAsia="Times New Roman" w:hAnsi="Times New Roman" w:cs="Times New Roman"/>
            <w:color w:val="0000FF"/>
            <w:sz w:val="24"/>
            <w:szCs w:val="24"/>
            <w:u w:val="single"/>
            <w:lang w:eastAsia="en-IN"/>
          </w:rPr>
          <w:t>https://www.tcs.com</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[8] </w:t>
      </w:r>
      <w:hyperlink r:id="rId156" w:history="1">
        <w:r w:rsidRPr="0086101B">
          <w:rPr>
            <w:rFonts w:ascii="Times New Roman" w:eastAsia="Times New Roman" w:hAnsi="Times New Roman" w:cs="Times New Roman"/>
            <w:color w:val="0000FF"/>
            <w:sz w:val="24"/>
            <w:szCs w:val="24"/>
            <w:u w:val="single"/>
            <w:lang w:eastAsia="en-IN"/>
          </w:rPr>
          <w:t>https://enterpriseai.economictimes.indiatimes.com</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[9] </w:t>
      </w:r>
      <w:hyperlink r:id="rId157" w:history="1">
        <w:r w:rsidRPr="0086101B">
          <w:rPr>
            <w:rFonts w:ascii="Times New Roman" w:eastAsia="Times New Roman" w:hAnsi="Times New Roman" w:cs="Times New Roman"/>
            <w:color w:val="0000FF"/>
            <w:sz w:val="24"/>
            <w:szCs w:val="24"/>
            <w:u w:val="single"/>
            <w:lang w:eastAsia="en-IN"/>
          </w:rPr>
          <w:t>https://www.pertamapartners.com</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[10] </w:t>
      </w:r>
      <w:hyperlink r:id="rId158" w:history="1">
        <w:r w:rsidRPr="0086101B">
          <w:rPr>
            <w:rFonts w:ascii="Times New Roman" w:eastAsia="Times New Roman" w:hAnsi="Times New Roman" w:cs="Times New Roman"/>
            <w:color w:val="0000FF"/>
            <w:sz w:val="24"/>
            <w:szCs w:val="24"/>
            <w:u w:val="single"/>
            <w:lang w:eastAsia="en-IN"/>
          </w:rPr>
          <w:t>https://www.letsaskclaire.com</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[11] </w:t>
      </w:r>
      <w:hyperlink r:id="rId159" w:history="1">
        <w:r w:rsidRPr="0086101B">
          <w:rPr>
            <w:rFonts w:ascii="Times New Roman" w:eastAsia="Times New Roman" w:hAnsi="Times New Roman" w:cs="Times New Roman"/>
            <w:color w:val="0000FF"/>
            <w:sz w:val="24"/>
            <w:szCs w:val="24"/>
            <w:u w:val="single"/>
            <w:lang w:eastAsia="en-IN"/>
          </w:rPr>
          <w:t>https://arxiv.org</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[12] </w:t>
      </w:r>
      <w:hyperlink r:id="rId160" w:history="1">
        <w:r w:rsidRPr="0086101B">
          <w:rPr>
            <w:rFonts w:ascii="Times New Roman" w:eastAsia="Times New Roman" w:hAnsi="Times New Roman" w:cs="Times New Roman"/>
            <w:color w:val="0000FF"/>
            <w:sz w:val="24"/>
            <w:szCs w:val="24"/>
            <w:u w:val="single"/>
            <w:lang w:eastAsia="en-IN"/>
          </w:rPr>
          <w:t>https://arxiv.org</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[13] </w:t>
      </w:r>
      <w:hyperlink r:id="rId161" w:history="1">
        <w:r w:rsidRPr="0086101B">
          <w:rPr>
            <w:rFonts w:ascii="Times New Roman" w:eastAsia="Times New Roman" w:hAnsi="Times New Roman" w:cs="Times New Roman"/>
            <w:color w:val="0000FF"/>
            <w:sz w:val="24"/>
            <w:szCs w:val="24"/>
            <w:u w:val="single"/>
            <w:lang w:eastAsia="en-IN"/>
          </w:rPr>
          <w:t>https://www.researchgate.net</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[14] </w:t>
      </w:r>
      <w:hyperlink r:id="rId162" w:history="1">
        <w:r w:rsidRPr="0086101B">
          <w:rPr>
            <w:rFonts w:ascii="Times New Roman" w:eastAsia="Times New Roman" w:hAnsi="Times New Roman" w:cs="Times New Roman"/>
            <w:color w:val="0000FF"/>
            <w:sz w:val="24"/>
            <w:szCs w:val="24"/>
            <w:u w:val="single"/>
            <w:lang w:eastAsia="en-IN"/>
          </w:rPr>
          <w:t>https://rjwave.org</w:t>
        </w:r>
      </w:hyperlink>
    </w:p>
    <w:p w:rsidR="0086101B" w:rsidRPr="0086101B" w:rsidRDefault="0086101B" w:rsidP="0086101B">
      <w:pPr>
        <w:spacing w:after="0" w:line="240" w:lineRule="auto"/>
        <w:rPr>
          <w:rFonts w:ascii="Times New Roman" w:eastAsia="Times New Roman" w:hAnsi="Times New Roman" w:cs="Times New Roman"/>
          <w:sz w:val="24"/>
          <w:szCs w:val="24"/>
          <w:lang w:eastAsia="en-IN"/>
        </w:rPr>
      </w:pPr>
      <w:r w:rsidRPr="0086101B">
        <w:rPr>
          <w:rFonts w:ascii="Times New Roman" w:eastAsia="Times New Roman" w:hAnsi="Times New Roman" w:cs="Times New Roman"/>
          <w:sz w:val="24"/>
          <w:szCs w:val="24"/>
          <w:lang w:eastAsia="en-IN"/>
        </w:rPr>
        <w:t xml:space="preserve">[15] </w:t>
      </w:r>
      <w:hyperlink r:id="rId163" w:history="1">
        <w:r w:rsidRPr="0086101B">
          <w:rPr>
            <w:rFonts w:ascii="Times New Roman" w:eastAsia="Times New Roman" w:hAnsi="Times New Roman" w:cs="Times New Roman"/>
            <w:color w:val="0000FF"/>
            <w:sz w:val="24"/>
            <w:szCs w:val="24"/>
            <w:u w:val="single"/>
            <w:lang w:eastAsia="en-IN"/>
          </w:rPr>
          <w:t>https://www.researchgate.net</w:t>
        </w:r>
      </w:hyperlink>
    </w:p>
    <w:p w:rsidR="0086101B" w:rsidRDefault="0086101B">
      <w:bookmarkStart w:id="0" w:name="_GoBack"/>
      <w:bookmarkEnd w:id="0"/>
      <w:r>
        <w:br/>
      </w:r>
      <w:r>
        <w:br/>
      </w:r>
      <w:r>
        <w:br/>
      </w:r>
      <w:r>
        <w:br/>
      </w:r>
    </w:p>
    <w:p w:rsidR="0086101B" w:rsidRDefault="0086101B">
      <w:r>
        <w:br/>
      </w:r>
      <w:r>
        <w:br/>
      </w:r>
    </w:p>
    <w:sectPr w:rsidR="008610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47F6E"/>
    <w:multiLevelType w:val="multilevel"/>
    <w:tmpl w:val="EF24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0244"/>
    <w:multiLevelType w:val="multilevel"/>
    <w:tmpl w:val="235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19A4"/>
    <w:multiLevelType w:val="multilevel"/>
    <w:tmpl w:val="A818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52618"/>
    <w:multiLevelType w:val="multilevel"/>
    <w:tmpl w:val="5E28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B0FE8"/>
    <w:multiLevelType w:val="multilevel"/>
    <w:tmpl w:val="F9A8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4158A"/>
    <w:multiLevelType w:val="multilevel"/>
    <w:tmpl w:val="124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46076"/>
    <w:multiLevelType w:val="multilevel"/>
    <w:tmpl w:val="A3D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84695"/>
    <w:multiLevelType w:val="multilevel"/>
    <w:tmpl w:val="FF88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77569"/>
    <w:multiLevelType w:val="multilevel"/>
    <w:tmpl w:val="346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20965"/>
    <w:multiLevelType w:val="multilevel"/>
    <w:tmpl w:val="51EE6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0"/>
  </w:num>
  <w:num w:numId="5">
    <w:abstractNumId w:val="6"/>
  </w:num>
  <w:num w:numId="6">
    <w:abstractNumId w:val="3"/>
  </w:num>
  <w:num w:numId="7">
    <w:abstractNumId w:val="7"/>
  </w:num>
  <w:num w:numId="8">
    <w:abstractNumId w:val="8"/>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01B"/>
    <w:rsid w:val="00861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F3E5D"/>
  <w15:chartTrackingRefBased/>
  <w15:docId w15:val="{499B81C5-6D77-4742-974D-0B5381AA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610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6101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610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01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6101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610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6101B"/>
    <w:rPr>
      <w:b/>
      <w:bCs/>
    </w:rPr>
  </w:style>
  <w:style w:type="character" w:styleId="Emphasis">
    <w:name w:val="Emphasis"/>
    <w:basedOn w:val="DefaultParagraphFont"/>
    <w:uiPriority w:val="20"/>
    <w:qFormat/>
    <w:rsid w:val="0086101B"/>
    <w:rPr>
      <w:i/>
      <w:iCs/>
    </w:rPr>
  </w:style>
  <w:style w:type="character" w:styleId="Hyperlink">
    <w:name w:val="Hyperlink"/>
    <w:basedOn w:val="DefaultParagraphFont"/>
    <w:uiPriority w:val="99"/>
    <w:semiHidden/>
    <w:unhideWhenUsed/>
    <w:rsid w:val="0086101B"/>
    <w:rPr>
      <w:color w:val="0000FF"/>
      <w:u w:val="single"/>
    </w:rPr>
  </w:style>
  <w:style w:type="character" w:customStyle="1" w:styleId="Heading3Char">
    <w:name w:val="Heading 3 Char"/>
    <w:basedOn w:val="DefaultParagraphFont"/>
    <w:link w:val="Heading3"/>
    <w:uiPriority w:val="9"/>
    <w:semiHidden/>
    <w:rsid w:val="0086101B"/>
    <w:rPr>
      <w:rFonts w:asciiTheme="majorHAnsi" w:eastAsiaTheme="majorEastAsia" w:hAnsiTheme="majorHAnsi" w:cstheme="majorBidi"/>
      <w:color w:val="1F4D78" w:themeColor="accent1" w:themeShade="7F"/>
      <w:sz w:val="24"/>
      <w:szCs w:val="24"/>
    </w:rPr>
  </w:style>
  <w:style w:type="paragraph" w:customStyle="1" w:styleId="typebaseuybk">
    <w:name w:val="type_base__uyb_k"/>
    <w:basedOn w:val="Normal"/>
    <w:rsid w:val="0086101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61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6101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610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360664">
      <w:bodyDiv w:val="1"/>
      <w:marLeft w:val="0"/>
      <w:marRight w:val="0"/>
      <w:marTop w:val="0"/>
      <w:marBottom w:val="0"/>
      <w:divBdr>
        <w:top w:val="none" w:sz="0" w:space="0" w:color="auto"/>
        <w:left w:val="none" w:sz="0" w:space="0" w:color="auto"/>
        <w:bottom w:val="none" w:sz="0" w:space="0" w:color="auto"/>
        <w:right w:val="none" w:sz="0" w:space="0" w:color="auto"/>
      </w:divBdr>
    </w:div>
    <w:div w:id="132450302">
      <w:bodyDiv w:val="1"/>
      <w:marLeft w:val="0"/>
      <w:marRight w:val="0"/>
      <w:marTop w:val="0"/>
      <w:marBottom w:val="0"/>
      <w:divBdr>
        <w:top w:val="none" w:sz="0" w:space="0" w:color="auto"/>
        <w:left w:val="none" w:sz="0" w:space="0" w:color="auto"/>
        <w:bottom w:val="none" w:sz="0" w:space="0" w:color="auto"/>
        <w:right w:val="none" w:sz="0" w:space="0" w:color="auto"/>
      </w:divBdr>
    </w:div>
    <w:div w:id="542518404">
      <w:bodyDiv w:val="1"/>
      <w:marLeft w:val="0"/>
      <w:marRight w:val="0"/>
      <w:marTop w:val="0"/>
      <w:marBottom w:val="0"/>
      <w:divBdr>
        <w:top w:val="none" w:sz="0" w:space="0" w:color="auto"/>
        <w:left w:val="none" w:sz="0" w:space="0" w:color="auto"/>
        <w:bottom w:val="none" w:sz="0" w:space="0" w:color="auto"/>
        <w:right w:val="none" w:sz="0" w:space="0" w:color="auto"/>
      </w:divBdr>
    </w:div>
    <w:div w:id="709182873">
      <w:bodyDiv w:val="1"/>
      <w:marLeft w:val="0"/>
      <w:marRight w:val="0"/>
      <w:marTop w:val="0"/>
      <w:marBottom w:val="0"/>
      <w:divBdr>
        <w:top w:val="none" w:sz="0" w:space="0" w:color="auto"/>
        <w:left w:val="none" w:sz="0" w:space="0" w:color="auto"/>
        <w:bottom w:val="none" w:sz="0" w:space="0" w:color="auto"/>
        <w:right w:val="none" w:sz="0" w:space="0" w:color="auto"/>
      </w:divBdr>
    </w:div>
    <w:div w:id="907232303">
      <w:bodyDiv w:val="1"/>
      <w:marLeft w:val="0"/>
      <w:marRight w:val="0"/>
      <w:marTop w:val="0"/>
      <w:marBottom w:val="0"/>
      <w:divBdr>
        <w:top w:val="none" w:sz="0" w:space="0" w:color="auto"/>
        <w:left w:val="none" w:sz="0" w:space="0" w:color="auto"/>
        <w:bottom w:val="none" w:sz="0" w:space="0" w:color="auto"/>
        <w:right w:val="none" w:sz="0" w:space="0" w:color="auto"/>
      </w:divBdr>
      <w:divsChild>
        <w:div w:id="2046711247">
          <w:marLeft w:val="0"/>
          <w:marRight w:val="0"/>
          <w:marTop w:val="240"/>
          <w:marBottom w:val="240"/>
          <w:divBdr>
            <w:top w:val="none" w:sz="0" w:space="0" w:color="auto"/>
            <w:left w:val="none" w:sz="0" w:space="0" w:color="auto"/>
            <w:bottom w:val="none" w:sz="0" w:space="0" w:color="auto"/>
            <w:right w:val="none" w:sz="0" w:space="0" w:color="auto"/>
          </w:divBdr>
        </w:div>
        <w:div w:id="948396396">
          <w:marLeft w:val="0"/>
          <w:marRight w:val="0"/>
          <w:marTop w:val="0"/>
          <w:marBottom w:val="0"/>
          <w:divBdr>
            <w:top w:val="none" w:sz="0" w:space="0" w:color="auto"/>
            <w:left w:val="none" w:sz="0" w:space="0" w:color="auto"/>
            <w:bottom w:val="none" w:sz="0" w:space="0" w:color="auto"/>
            <w:right w:val="none" w:sz="0" w:space="0" w:color="auto"/>
          </w:divBdr>
          <w:divsChild>
            <w:div w:id="1313681228">
              <w:marLeft w:val="0"/>
              <w:marRight w:val="0"/>
              <w:marTop w:val="0"/>
              <w:marBottom w:val="0"/>
              <w:divBdr>
                <w:top w:val="none" w:sz="0" w:space="0" w:color="auto"/>
                <w:left w:val="none" w:sz="0" w:space="0" w:color="auto"/>
                <w:bottom w:val="none" w:sz="0" w:space="0" w:color="auto"/>
                <w:right w:val="none" w:sz="0" w:space="0" w:color="auto"/>
              </w:divBdr>
            </w:div>
            <w:div w:id="62260595">
              <w:marLeft w:val="0"/>
              <w:marRight w:val="0"/>
              <w:marTop w:val="0"/>
              <w:marBottom w:val="0"/>
              <w:divBdr>
                <w:top w:val="none" w:sz="0" w:space="0" w:color="auto"/>
                <w:left w:val="none" w:sz="0" w:space="0" w:color="auto"/>
                <w:bottom w:val="none" w:sz="0" w:space="0" w:color="auto"/>
                <w:right w:val="none" w:sz="0" w:space="0" w:color="auto"/>
              </w:divBdr>
            </w:div>
            <w:div w:id="53361976">
              <w:marLeft w:val="0"/>
              <w:marRight w:val="0"/>
              <w:marTop w:val="0"/>
              <w:marBottom w:val="0"/>
              <w:divBdr>
                <w:top w:val="none" w:sz="0" w:space="0" w:color="auto"/>
                <w:left w:val="none" w:sz="0" w:space="0" w:color="auto"/>
                <w:bottom w:val="none" w:sz="0" w:space="0" w:color="auto"/>
                <w:right w:val="none" w:sz="0" w:space="0" w:color="auto"/>
              </w:divBdr>
            </w:div>
          </w:divsChild>
        </w:div>
        <w:div w:id="143351881">
          <w:marLeft w:val="0"/>
          <w:marRight w:val="0"/>
          <w:marTop w:val="240"/>
          <w:marBottom w:val="240"/>
          <w:divBdr>
            <w:top w:val="none" w:sz="0" w:space="0" w:color="auto"/>
            <w:left w:val="none" w:sz="0" w:space="0" w:color="auto"/>
            <w:bottom w:val="none" w:sz="0" w:space="0" w:color="auto"/>
            <w:right w:val="none" w:sz="0" w:space="0" w:color="auto"/>
          </w:divBdr>
        </w:div>
        <w:div w:id="2013364184">
          <w:marLeft w:val="0"/>
          <w:marRight w:val="0"/>
          <w:marTop w:val="0"/>
          <w:marBottom w:val="0"/>
          <w:divBdr>
            <w:top w:val="none" w:sz="0" w:space="0" w:color="auto"/>
            <w:left w:val="none" w:sz="0" w:space="0" w:color="auto"/>
            <w:bottom w:val="none" w:sz="0" w:space="0" w:color="auto"/>
            <w:right w:val="none" w:sz="0" w:space="0" w:color="auto"/>
          </w:divBdr>
        </w:div>
        <w:div w:id="896209906">
          <w:marLeft w:val="0"/>
          <w:marRight w:val="0"/>
          <w:marTop w:val="240"/>
          <w:marBottom w:val="240"/>
          <w:divBdr>
            <w:top w:val="none" w:sz="0" w:space="0" w:color="auto"/>
            <w:left w:val="none" w:sz="0" w:space="0" w:color="auto"/>
            <w:bottom w:val="none" w:sz="0" w:space="0" w:color="auto"/>
            <w:right w:val="none" w:sz="0" w:space="0" w:color="auto"/>
          </w:divBdr>
        </w:div>
        <w:div w:id="1411731333">
          <w:marLeft w:val="0"/>
          <w:marRight w:val="0"/>
          <w:marTop w:val="0"/>
          <w:marBottom w:val="0"/>
          <w:divBdr>
            <w:top w:val="none" w:sz="0" w:space="0" w:color="auto"/>
            <w:left w:val="none" w:sz="0" w:space="0" w:color="auto"/>
            <w:bottom w:val="none" w:sz="0" w:space="0" w:color="auto"/>
            <w:right w:val="none" w:sz="0" w:space="0" w:color="auto"/>
          </w:divBdr>
        </w:div>
        <w:div w:id="801576744">
          <w:marLeft w:val="0"/>
          <w:marRight w:val="0"/>
          <w:marTop w:val="240"/>
          <w:marBottom w:val="240"/>
          <w:divBdr>
            <w:top w:val="none" w:sz="0" w:space="0" w:color="auto"/>
            <w:left w:val="none" w:sz="0" w:space="0" w:color="auto"/>
            <w:bottom w:val="none" w:sz="0" w:space="0" w:color="auto"/>
            <w:right w:val="none" w:sz="0" w:space="0" w:color="auto"/>
          </w:divBdr>
        </w:div>
        <w:div w:id="894582112">
          <w:marLeft w:val="0"/>
          <w:marRight w:val="0"/>
          <w:marTop w:val="0"/>
          <w:marBottom w:val="0"/>
          <w:divBdr>
            <w:top w:val="none" w:sz="0" w:space="0" w:color="auto"/>
            <w:left w:val="none" w:sz="0" w:space="0" w:color="auto"/>
            <w:bottom w:val="none" w:sz="0" w:space="0" w:color="auto"/>
            <w:right w:val="none" w:sz="0" w:space="0" w:color="auto"/>
          </w:divBdr>
          <w:divsChild>
            <w:div w:id="1775320692">
              <w:marLeft w:val="0"/>
              <w:marRight w:val="0"/>
              <w:marTop w:val="0"/>
              <w:marBottom w:val="0"/>
              <w:divBdr>
                <w:top w:val="none" w:sz="0" w:space="0" w:color="auto"/>
                <w:left w:val="none" w:sz="0" w:space="0" w:color="auto"/>
                <w:bottom w:val="none" w:sz="0" w:space="0" w:color="auto"/>
                <w:right w:val="none" w:sz="0" w:space="0" w:color="auto"/>
              </w:divBdr>
            </w:div>
            <w:div w:id="346324221">
              <w:marLeft w:val="0"/>
              <w:marRight w:val="0"/>
              <w:marTop w:val="0"/>
              <w:marBottom w:val="0"/>
              <w:divBdr>
                <w:top w:val="none" w:sz="0" w:space="0" w:color="auto"/>
                <w:left w:val="none" w:sz="0" w:space="0" w:color="auto"/>
                <w:bottom w:val="none" w:sz="0" w:space="0" w:color="auto"/>
                <w:right w:val="none" w:sz="0" w:space="0" w:color="auto"/>
              </w:divBdr>
            </w:div>
            <w:div w:id="848063368">
              <w:marLeft w:val="0"/>
              <w:marRight w:val="0"/>
              <w:marTop w:val="0"/>
              <w:marBottom w:val="0"/>
              <w:divBdr>
                <w:top w:val="none" w:sz="0" w:space="0" w:color="auto"/>
                <w:left w:val="none" w:sz="0" w:space="0" w:color="auto"/>
                <w:bottom w:val="none" w:sz="0" w:space="0" w:color="auto"/>
                <w:right w:val="none" w:sz="0" w:space="0" w:color="auto"/>
              </w:divBdr>
            </w:div>
            <w:div w:id="1561941732">
              <w:marLeft w:val="0"/>
              <w:marRight w:val="0"/>
              <w:marTop w:val="0"/>
              <w:marBottom w:val="0"/>
              <w:divBdr>
                <w:top w:val="none" w:sz="0" w:space="0" w:color="auto"/>
                <w:left w:val="none" w:sz="0" w:space="0" w:color="auto"/>
                <w:bottom w:val="none" w:sz="0" w:space="0" w:color="auto"/>
                <w:right w:val="none" w:sz="0" w:space="0" w:color="auto"/>
              </w:divBdr>
            </w:div>
            <w:div w:id="59793612">
              <w:marLeft w:val="0"/>
              <w:marRight w:val="0"/>
              <w:marTop w:val="0"/>
              <w:marBottom w:val="0"/>
              <w:divBdr>
                <w:top w:val="none" w:sz="0" w:space="0" w:color="auto"/>
                <w:left w:val="none" w:sz="0" w:space="0" w:color="auto"/>
                <w:bottom w:val="none" w:sz="0" w:space="0" w:color="auto"/>
                <w:right w:val="none" w:sz="0" w:space="0" w:color="auto"/>
              </w:divBdr>
            </w:div>
            <w:div w:id="448740702">
              <w:marLeft w:val="0"/>
              <w:marRight w:val="0"/>
              <w:marTop w:val="0"/>
              <w:marBottom w:val="0"/>
              <w:divBdr>
                <w:top w:val="none" w:sz="0" w:space="0" w:color="auto"/>
                <w:left w:val="none" w:sz="0" w:space="0" w:color="auto"/>
                <w:bottom w:val="none" w:sz="0" w:space="0" w:color="auto"/>
                <w:right w:val="none" w:sz="0" w:space="0" w:color="auto"/>
              </w:divBdr>
            </w:div>
            <w:div w:id="1329551248">
              <w:marLeft w:val="0"/>
              <w:marRight w:val="0"/>
              <w:marTop w:val="0"/>
              <w:marBottom w:val="0"/>
              <w:divBdr>
                <w:top w:val="none" w:sz="0" w:space="0" w:color="auto"/>
                <w:left w:val="none" w:sz="0" w:space="0" w:color="auto"/>
                <w:bottom w:val="none" w:sz="0" w:space="0" w:color="auto"/>
                <w:right w:val="none" w:sz="0" w:space="0" w:color="auto"/>
              </w:divBdr>
            </w:div>
            <w:div w:id="1132286907">
              <w:marLeft w:val="0"/>
              <w:marRight w:val="0"/>
              <w:marTop w:val="0"/>
              <w:marBottom w:val="0"/>
              <w:divBdr>
                <w:top w:val="none" w:sz="0" w:space="0" w:color="auto"/>
                <w:left w:val="none" w:sz="0" w:space="0" w:color="auto"/>
                <w:bottom w:val="none" w:sz="0" w:space="0" w:color="auto"/>
                <w:right w:val="none" w:sz="0" w:space="0" w:color="auto"/>
              </w:divBdr>
            </w:div>
            <w:div w:id="1219131028">
              <w:marLeft w:val="0"/>
              <w:marRight w:val="0"/>
              <w:marTop w:val="0"/>
              <w:marBottom w:val="0"/>
              <w:divBdr>
                <w:top w:val="none" w:sz="0" w:space="0" w:color="auto"/>
                <w:left w:val="none" w:sz="0" w:space="0" w:color="auto"/>
                <w:bottom w:val="none" w:sz="0" w:space="0" w:color="auto"/>
                <w:right w:val="none" w:sz="0" w:space="0" w:color="auto"/>
              </w:divBdr>
            </w:div>
            <w:div w:id="1176068965">
              <w:marLeft w:val="0"/>
              <w:marRight w:val="0"/>
              <w:marTop w:val="0"/>
              <w:marBottom w:val="0"/>
              <w:divBdr>
                <w:top w:val="none" w:sz="0" w:space="0" w:color="auto"/>
                <w:left w:val="none" w:sz="0" w:space="0" w:color="auto"/>
                <w:bottom w:val="none" w:sz="0" w:space="0" w:color="auto"/>
                <w:right w:val="none" w:sz="0" w:space="0" w:color="auto"/>
              </w:divBdr>
            </w:div>
            <w:div w:id="1200703692">
              <w:marLeft w:val="0"/>
              <w:marRight w:val="0"/>
              <w:marTop w:val="0"/>
              <w:marBottom w:val="0"/>
              <w:divBdr>
                <w:top w:val="none" w:sz="0" w:space="0" w:color="auto"/>
                <w:left w:val="none" w:sz="0" w:space="0" w:color="auto"/>
                <w:bottom w:val="none" w:sz="0" w:space="0" w:color="auto"/>
                <w:right w:val="none" w:sz="0" w:space="0" w:color="auto"/>
              </w:divBdr>
            </w:div>
            <w:div w:id="1340933501">
              <w:marLeft w:val="0"/>
              <w:marRight w:val="0"/>
              <w:marTop w:val="0"/>
              <w:marBottom w:val="0"/>
              <w:divBdr>
                <w:top w:val="none" w:sz="0" w:space="0" w:color="auto"/>
                <w:left w:val="none" w:sz="0" w:space="0" w:color="auto"/>
                <w:bottom w:val="none" w:sz="0" w:space="0" w:color="auto"/>
                <w:right w:val="none" w:sz="0" w:space="0" w:color="auto"/>
              </w:divBdr>
            </w:div>
            <w:div w:id="347869947">
              <w:marLeft w:val="0"/>
              <w:marRight w:val="0"/>
              <w:marTop w:val="0"/>
              <w:marBottom w:val="0"/>
              <w:divBdr>
                <w:top w:val="none" w:sz="0" w:space="0" w:color="auto"/>
                <w:left w:val="none" w:sz="0" w:space="0" w:color="auto"/>
                <w:bottom w:val="none" w:sz="0" w:space="0" w:color="auto"/>
                <w:right w:val="none" w:sz="0" w:space="0" w:color="auto"/>
              </w:divBdr>
            </w:div>
            <w:div w:id="992829148">
              <w:marLeft w:val="0"/>
              <w:marRight w:val="0"/>
              <w:marTop w:val="0"/>
              <w:marBottom w:val="0"/>
              <w:divBdr>
                <w:top w:val="none" w:sz="0" w:space="0" w:color="auto"/>
                <w:left w:val="none" w:sz="0" w:space="0" w:color="auto"/>
                <w:bottom w:val="none" w:sz="0" w:space="0" w:color="auto"/>
                <w:right w:val="none" w:sz="0" w:space="0" w:color="auto"/>
              </w:divBdr>
            </w:div>
            <w:div w:id="11815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5111">
      <w:bodyDiv w:val="1"/>
      <w:marLeft w:val="0"/>
      <w:marRight w:val="0"/>
      <w:marTop w:val="0"/>
      <w:marBottom w:val="0"/>
      <w:divBdr>
        <w:top w:val="none" w:sz="0" w:space="0" w:color="auto"/>
        <w:left w:val="none" w:sz="0" w:space="0" w:color="auto"/>
        <w:bottom w:val="none" w:sz="0" w:space="0" w:color="auto"/>
        <w:right w:val="none" w:sz="0" w:space="0" w:color="auto"/>
      </w:divBdr>
    </w:div>
    <w:div w:id="1759595720">
      <w:bodyDiv w:val="1"/>
      <w:marLeft w:val="0"/>
      <w:marRight w:val="0"/>
      <w:marTop w:val="0"/>
      <w:marBottom w:val="0"/>
      <w:divBdr>
        <w:top w:val="none" w:sz="0" w:space="0" w:color="auto"/>
        <w:left w:val="none" w:sz="0" w:space="0" w:color="auto"/>
        <w:bottom w:val="none" w:sz="0" w:space="0" w:color="auto"/>
        <w:right w:val="none" w:sz="0" w:space="0" w:color="auto"/>
      </w:divBdr>
      <w:divsChild>
        <w:div w:id="137722606">
          <w:marLeft w:val="0"/>
          <w:marRight w:val="0"/>
          <w:marTop w:val="0"/>
          <w:marBottom w:val="0"/>
          <w:divBdr>
            <w:top w:val="single" w:sz="2" w:space="0" w:color="E4E4E7"/>
            <w:left w:val="single" w:sz="2" w:space="0" w:color="E4E4E7"/>
            <w:bottom w:val="single" w:sz="2" w:space="0" w:color="E4E4E7"/>
            <w:right w:val="single" w:sz="2" w:space="0" w:color="E4E4E7"/>
          </w:divBdr>
        </w:div>
        <w:div w:id="503591863">
          <w:marLeft w:val="0"/>
          <w:marRight w:val="0"/>
          <w:marTop w:val="0"/>
          <w:marBottom w:val="0"/>
          <w:divBdr>
            <w:top w:val="single" w:sz="2" w:space="0" w:color="E4E4E7"/>
            <w:left w:val="single" w:sz="2" w:space="0" w:color="E4E4E7"/>
            <w:bottom w:val="single" w:sz="2" w:space="0" w:color="E4E4E7"/>
            <w:right w:val="single" w:sz="2" w:space="0" w:color="E4E4E7"/>
          </w:divBdr>
        </w:div>
        <w:div w:id="2035183643">
          <w:marLeft w:val="0"/>
          <w:marRight w:val="0"/>
          <w:marTop w:val="0"/>
          <w:marBottom w:val="0"/>
          <w:divBdr>
            <w:top w:val="single" w:sz="2" w:space="0" w:color="E4E4E7"/>
            <w:left w:val="single" w:sz="2" w:space="0" w:color="E4E4E7"/>
            <w:bottom w:val="single" w:sz="2" w:space="0" w:color="E4E4E7"/>
            <w:right w:val="single" w:sz="2" w:space="0" w:color="E4E4E7"/>
          </w:divBdr>
        </w:div>
        <w:div w:id="1714305652">
          <w:marLeft w:val="0"/>
          <w:marRight w:val="0"/>
          <w:marTop w:val="0"/>
          <w:marBottom w:val="0"/>
          <w:divBdr>
            <w:top w:val="single" w:sz="2" w:space="0" w:color="E4E4E7"/>
            <w:left w:val="single" w:sz="2" w:space="0" w:color="E4E4E7"/>
            <w:bottom w:val="single" w:sz="2" w:space="0" w:color="E4E4E7"/>
            <w:right w:val="single" w:sz="2" w:space="0" w:color="E4E4E7"/>
          </w:divBdr>
        </w:div>
        <w:div w:id="93214582">
          <w:marLeft w:val="0"/>
          <w:marRight w:val="0"/>
          <w:marTop w:val="0"/>
          <w:marBottom w:val="0"/>
          <w:divBdr>
            <w:top w:val="single" w:sz="2" w:space="0" w:color="E4E4E7"/>
            <w:left w:val="single" w:sz="2" w:space="0" w:color="E4E4E7"/>
            <w:bottom w:val="single" w:sz="2" w:space="0" w:color="E4E4E7"/>
            <w:right w:val="single" w:sz="2" w:space="0" w:color="E4E4E7"/>
          </w:divBdr>
        </w:div>
        <w:div w:id="2115586908">
          <w:marLeft w:val="0"/>
          <w:marRight w:val="0"/>
          <w:marTop w:val="0"/>
          <w:marBottom w:val="0"/>
          <w:divBdr>
            <w:top w:val="single" w:sz="2" w:space="0" w:color="E4E4E7"/>
            <w:left w:val="single" w:sz="2" w:space="0" w:color="E4E4E7"/>
            <w:bottom w:val="single" w:sz="2" w:space="0" w:color="E4E4E7"/>
            <w:right w:val="single" w:sz="2" w:space="0" w:color="E4E4E7"/>
          </w:divBdr>
        </w:div>
        <w:div w:id="773552747">
          <w:marLeft w:val="0"/>
          <w:marRight w:val="0"/>
          <w:marTop w:val="0"/>
          <w:marBottom w:val="0"/>
          <w:divBdr>
            <w:top w:val="single" w:sz="2" w:space="0" w:color="E4E4E7"/>
            <w:left w:val="single" w:sz="2" w:space="0" w:color="E4E4E7"/>
            <w:bottom w:val="single" w:sz="2" w:space="0" w:color="E4E4E7"/>
            <w:right w:val="single" w:sz="2" w:space="0" w:color="E4E4E7"/>
          </w:divBdr>
        </w:div>
        <w:div w:id="2057968947">
          <w:marLeft w:val="0"/>
          <w:marRight w:val="0"/>
          <w:marTop w:val="0"/>
          <w:marBottom w:val="0"/>
          <w:divBdr>
            <w:top w:val="single" w:sz="2" w:space="0" w:color="E4E4E7"/>
            <w:left w:val="single" w:sz="2" w:space="0" w:color="E4E4E7"/>
            <w:bottom w:val="single" w:sz="2" w:space="0" w:color="E4E4E7"/>
            <w:right w:val="single" w:sz="2" w:space="0" w:color="E4E4E7"/>
          </w:divBdr>
        </w:div>
        <w:div w:id="933051998">
          <w:marLeft w:val="0"/>
          <w:marRight w:val="0"/>
          <w:marTop w:val="0"/>
          <w:marBottom w:val="0"/>
          <w:divBdr>
            <w:top w:val="single" w:sz="2" w:space="0" w:color="E4E4E7"/>
            <w:left w:val="single" w:sz="2" w:space="0" w:color="E4E4E7"/>
            <w:bottom w:val="single" w:sz="2" w:space="0" w:color="E4E4E7"/>
            <w:right w:val="single" w:sz="2" w:space="0" w:color="E4E4E7"/>
          </w:divBdr>
        </w:div>
        <w:div w:id="838037213">
          <w:marLeft w:val="0"/>
          <w:marRight w:val="0"/>
          <w:marTop w:val="0"/>
          <w:marBottom w:val="0"/>
          <w:divBdr>
            <w:top w:val="single" w:sz="2" w:space="0" w:color="E4E4E7"/>
            <w:left w:val="single" w:sz="2" w:space="0" w:color="E4E4E7"/>
            <w:bottom w:val="single" w:sz="2" w:space="0" w:color="E4E4E7"/>
            <w:right w:val="single" w:sz="2" w:space="0" w:color="E4E4E7"/>
          </w:divBdr>
        </w:div>
        <w:div w:id="1158812395">
          <w:marLeft w:val="0"/>
          <w:marRight w:val="0"/>
          <w:marTop w:val="0"/>
          <w:marBottom w:val="0"/>
          <w:divBdr>
            <w:top w:val="single" w:sz="2" w:space="0" w:color="E4E4E7"/>
            <w:left w:val="single" w:sz="2" w:space="0" w:color="E4E4E7"/>
            <w:bottom w:val="single" w:sz="2" w:space="0" w:color="E4E4E7"/>
            <w:right w:val="single" w:sz="2" w:space="0" w:color="E4E4E7"/>
          </w:divBdr>
        </w:div>
        <w:div w:id="1596203545">
          <w:marLeft w:val="0"/>
          <w:marRight w:val="0"/>
          <w:marTop w:val="0"/>
          <w:marBottom w:val="0"/>
          <w:divBdr>
            <w:top w:val="single" w:sz="2" w:space="0" w:color="E4E4E7"/>
            <w:left w:val="single" w:sz="2" w:space="0" w:color="E4E4E7"/>
            <w:bottom w:val="single" w:sz="2" w:space="0" w:color="E4E4E7"/>
            <w:right w:val="single" w:sz="2" w:space="0" w:color="E4E4E7"/>
          </w:divBdr>
        </w:div>
        <w:div w:id="425346251">
          <w:marLeft w:val="0"/>
          <w:marRight w:val="0"/>
          <w:marTop w:val="0"/>
          <w:marBottom w:val="0"/>
          <w:divBdr>
            <w:top w:val="single" w:sz="2" w:space="0" w:color="E4E4E7"/>
            <w:left w:val="single" w:sz="2" w:space="0" w:color="E4E4E7"/>
            <w:bottom w:val="single" w:sz="2" w:space="0" w:color="E4E4E7"/>
            <w:right w:val="single" w:sz="2" w:space="0" w:color="E4E4E7"/>
          </w:divBdr>
        </w:div>
        <w:div w:id="1037848338">
          <w:marLeft w:val="0"/>
          <w:marRight w:val="0"/>
          <w:marTop w:val="0"/>
          <w:marBottom w:val="0"/>
          <w:divBdr>
            <w:top w:val="single" w:sz="2" w:space="0" w:color="E4E4E7"/>
            <w:left w:val="single" w:sz="2" w:space="0" w:color="E4E4E7"/>
            <w:bottom w:val="single" w:sz="2" w:space="0" w:color="E4E4E7"/>
            <w:right w:val="single" w:sz="2" w:space="0" w:color="E4E4E7"/>
          </w:divBdr>
        </w:div>
        <w:div w:id="298416194">
          <w:marLeft w:val="0"/>
          <w:marRight w:val="0"/>
          <w:marTop w:val="0"/>
          <w:marBottom w:val="0"/>
          <w:divBdr>
            <w:top w:val="single" w:sz="2" w:space="0" w:color="E4E4E7"/>
            <w:left w:val="single" w:sz="2" w:space="0" w:color="E4E4E7"/>
            <w:bottom w:val="single" w:sz="2" w:space="0" w:color="E4E4E7"/>
            <w:right w:val="single" w:sz="2" w:space="0" w:color="E4E4E7"/>
          </w:divBdr>
        </w:div>
        <w:div w:id="793791817">
          <w:marLeft w:val="0"/>
          <w:marRight w:val="0"/>
          <w:marTop w:val="0"/>
          <w:marBottom w:val="0"/>
          <w:divBdr>
            <w:top w:val="single" w:sz="2" w:space="0" w:color="E4E4E7"/>
            <w:left w:val="single" w:sz="2" w:space="0" w:color="E4E4E7"/>
            <w:bottom w:val="single" w:sz="2" w:space="0" w:color="E4E4E7"/>
            <w:right w:val="single" w:sz="2" w:space="0" w:color="E4E4E7"/>
          </w:divBdr>
        </w:div>
        <w:div w:id="36510616">
          <w:marLeft w:val="0"/>
          <w:marRight w:val="0"/>
          <w:marTop w:val="0"/>
          <w:marBottom w:val="0"/>
          <w:divBdr>
            <w:top w:val="single" w:sz="2" w:space="0" w:color="E4E4E7"/>
            <w:left w:val="single" w:sz="2" w:space="0" w:color="E4E4E7"/>
            <w:bottom w:val="single" w:sz="2" w:space="0" w:color="E4E4E7"/>
            <w:right w:val="single" w:sz="2" w:space="0" w:color="E4E4E7"/>
          </w:divBdr>
        </w:div>
        <w:div w:id="443232972">
          <w:marLeft w:val="0"/>
          <w:marRight w:val="0"/>
          <w:marTop w:val="0"/>
          <w:marBottom w:val="0"/>
          <w:divBdr>
            <w:top w:val="single" w:sz="2" w:space="0" w:color="E4E4E7"/>
            <w:left w:val="single" w:sz="2" w:space="0" w:color="E4E4E7"/>
            <w:bottom w:val="single" w:sz="2" w:space="0" w:color="E4E4E7"/>
            <w:right w:val="single" w:sz="2" w:space="0" w:color="E4E4E7"/>
          </w:divBdr>
        </w:div>
        <w:div w:id="1688287425">
          <w:marLeft w:val="0"/>
          <w:marRight w:val="0"/>
          <w:marTop w:val="0"/>
          <w:marBottom w:val="0"/>
          <w:divBdr>
            <w:top w:val="single" w:sz="2" w:space="0" w:color="E4E4E7"/>
            <w:left w:val="single" w:sz="2" w:space="0" w:color="E4E4E7"/>
            <w:bottom w:val="single" w:sz="2" w:space="0" w:color="E4E4E7"/>
            <w:right w:val="single" w:sz="2" w:space="0" w:color="E4E4E7"/>
          </w:divBdr>
        </w:div>
        <w:div w:id="1774593746">
          <w:marLeft w:val="0"/>
          <w:marRight w:val="0"/>
          <w:marTop w:val="0"/>
          <w:marBottom w:val="0"/>
          <w:divBdr>
            <w:top w:val="single" w:sz="2" w:space="0" w:color="E4E4E7"/>
            <w:left w:val="single" w:sz="2" w:space="0" w:color="E4E4E7"/>
            <w:bottom w:val="single" w:sz="2" w:space="0" w:color="E4E4E7"/>
            <w:right w:val="single" w:sz="2" w:space="0" w:color="E4E4E7"/>
          </w:divBdr>
        </w:div>
        <w:div w:id="1415712275">
          <w:marLeft w:val="0"/>
          <w:marRight w:val="0"/>
          <w:marTop w:val="0"/>
          <w:marBottom w:val="0"/>
          <w:divBdr>
            <w:top w:val="single" w:sz="2" w:space="0" w:color="E4E4E7"/>
            <w:left w:val="single" w:sz="2" w:space="0" w:color="E4E4E7"/>
            <w:bottom w:val="single" w:sz="2" w:space="0" w:color="E4E4E7"/>
            <w:right w:val="single" w:sz="2" w:space="0" w:color="E4E4E7"/>
          </w:divBdr>
        </w:div>
        <w:div w:id="1758331862">
          <w:marLeft w:val="0"/>
          <w:marRight w:val="0"/>
          <w:marTop w:val="0"/>
          <w:marBottom w:val="0"/>
          <w:divBdr>
            <w:top w:val="single" w:sz="2" w:space="0" w:color="E4E4E7"/>
            <w:left w:val="single" w:sz="2" w:space="0" w:color="E4E4E7"/>
            <w:bottom w:val="single" w:sz="2" w:space="0" w:color="E4E4E7"/>
            <w:right w:val="single" w:sz="2" w:space="0" w:color="E4E4E7"/>
          </w:divBdr>
        </w:div>
        <w:div w:id="778261988">
          <w:marLeft w:val="0"/>
          <w:marRight w:val="0"/>
          <w:marTop w:val="0"/>
          <w:marBottom w:val="0"/>
          <w:divBdr>
            <w:top w:val="single" w:sz="2" w:space="0" w:color="E4E4E7"/>
            <w:left w:val="single" w:sz="2" w:space="0" w:color="E4E4E7"/>
            <w:bottom w:val="single" w:sz="2" w:space="0" w:color="E4E4E7"/>
            <w:right w:val="single" w:sz="2" w:space="0" w:color="E4E4E7"/>
          </w:divBdr>
        </w:div>
        <w:div w:id="464543486">
          <w:marLeft w:val="0"/>
          <w:marRight w:val="0"/>
          <w:marTop w:val="0"/>
          <w:marBottom w:val="0"/>
          <w:divBdr>
            <w:top w:val="single" w:sz="2" w:space="0" w:color="E4E4E7"/>
            <w:left w:val="single" w:sz="2" w:space="0" w:color="E4E4E7"/>
            <w:bottom w:val="single" w:sz="2" w:space="0" w:color="E4E4E7"/>
            <w:right w:val="single" w:sz="2" w:space="0" w:color="E4E4E7"/>
          </w:divBdr>
        </w:div>
        <w:div w:id="145732978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2624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07/s44163-026-01373-2" TargetMode="External"/><Relationship Id="rId21" Type="http://schemas.openxmlformats.org/officeDocument/2006/relationships/hyperlink" Target="https://doi.org/10.1109/icauc68182.2026.11441016" TargetMode="External"/><Relationship Id="rId42" Type="http://schemas.openxmlformats.org/officeDocument/2006/relationships/hyperlink" Target="https://doi.org/10.69987/jacs.2024.40307" TargetMode="External"/><Relationship Id="rId63" Type="http://schemas.openxmlformats.org/officeDocument/2006/relationships/hyperlink" Target="https://doi.org/10.1109/tvcg.2018.2864889" TargetMode="External"/><Relationship Id="rId84" Type="http://schemas.openxmlformats.org/officeDocument/2006/relationships/hyperlink" Target="https://doi.org/10.1109/tvcg.2025.3554969" TargetMode="External"/><Relationship Id="rId138" Type="http://schemas.openxmlformats.org/officeDocument/2006/relationships/hyperlink" Target="https://doi.org/10.1145/3630106.3658997" TargetMode="External"/><Relationship Id="rId159" Type="http://schemas.openxmlformats.org/officeDocument/2006/relationships/hyperlink" Target="https://arxiv.org/html/2506.19383v1" TargetMode="External"/><Relationship Id="rId107" Type="http://schemas.openxmlformats.org/officeDocument/2006/relationships/hyperlink" Target="https://doi.org/10.1080/03461238.2024.2364741" TargetMode="External"/><Relationship Id="rId11" Type="http://schemas.openxmlformats.org/officeDocument/2006/relationships/hyperlink" Target="https://doi.org/10.1109/access.2022.3177783" TargetMode="External"/><Relationship Id="rId32" Type="http://schemas.openxmlformats.org/officeDocument/2006/relationships/hyperlink" Target="https://doi.org/10.5121/ijaia.2021.12102" TargetMode="External"/><Relationship Id="rId53" Type="http://schemas.openxmlformats.org/officeDocument/2006/relationships/hyperlink" Target="https://doi.org/10.1016/j.chb.2021.107018" TargetMode="External"/><Relationship Id="rId74" Type="http://schemas.openxmlformats.org/officeDocument/2006/relationships/hyperlink" Target="https://doi.org/10.1145/3593013.3594001" TargetMode="External"/><Relationship Id="rId128" Type="http://schemas.openxmlformats.org/officeDocument/2006/relationships/hyperlink" Target="https://doi.org/10.1109/access.2024.3441037" TargetMode="External"/><Relationship Id="rId149" Type="http://schemas.openxmlformats.org/officeDocument/2006/relationships/hyperlink" Target="https://link.springer.com/article/10.1007/s10614-026-11353-4" TargetMode="External"/><Relationship Id="rId5" Type="http://schemas.openxmlformats.org/officeDocument/2006/relationships/hyperlink" Target="https://consensus.app/" TargetMode="External"/><Relationship Id="rId95" Type="http://schemas.openxmlformats.org/officeDocument/2006/relationships/hyperlink" Target="https://consensus.app/" TargetMode="External"/><Relationship Id="rId160" Type="http://schemas.openxmlformats.org/officeDocument/2006/relationships/hyperlink" Target="https://arxiv.org/abs/1811.05245" TargetMode="External"/><Relationship Id="rId22" Type="http://schemas.openxmlformats.org/officeDocument/2006/relationships/hyperlink" Target="https://doi.org/10.1609/aaai.v34i08.7055" TargetMode="External"/><Relationship Id="rId43" Type="http://schemas.openxmlformats.org/officeDocument/2006/relationships/hyperlink" Target="https://consensus.app/" TargetMode="External"/><Relationship Id="rId64" Type="http://schemas.openxmlformats.org/officeDocument/2006/relationships/hyperlink" Target="https://doi.org/10.14569/ijacsa.2025.01612122" TargetMode="External"/><Relationship Id="rId118" Type="http://schemas.openxmlformats.org/officeDocument/2006/relationships/hyperlink" Target="https://doi.org/10.1038/s41598-026-40637-w" TargetMode="External"/><Relationship Id="rId139" Type="http://schemas.openxmlformats.org/officeDocument/2006/relationships/hyperlink" Target="https://doi.org/10.1109/icauc68182.2026.11441016" TargetMode="External"/><Relationship Id="rId85" Type="http://schemas.openxmlformats.org/officeDocument/2006/relationships/hyperlink" Target="https://doi.org/10.1016/j.patter.2020.100049" TargetMode="External"/><Relationship Id="rId150" Type="http://schemas.openxmlformats.org/officeDocument/2006/relationships/hyperlink" Target="https://www.carringtonlabs.com/blog/a-practical-guide-to-explainability-in-lending" TargetMode="External"/><Relationship Id="rId12" Type="http://schemas.openxmlformats.org/officeDocument/2006/relationships/hyperlink" Target="https://doi.org/10.2139/ssrn.4006840" TargetMode="External"/><Relationship Id="rId17" Type="http://schemas.openxmlformats.org/officeDocument/2006/relationships/hyperlink" Target="https://doi.org/10.2139/ssrn.3795322" TargetMode="External"/><Relationship Id="rId33" Type="http://schemas.openxmlformats.org/officeDocument/2006/relationships/hyperlink" Target="https://doi.org/10.1016/j.ejor.2021.06.053" TargetMode="External"/><Relationship Id="rId38" Type="http://schemas.openxmlformats.org/officeDocument/2006/relationships/hyperlink" Target="https://doi.org/10.2139/ssrn.6659002" TargetMode="External"/><Relationship Id="rId59" Type="http://schemas.openxmlformats.org/officeDocument/2006/relationships/hyperlink" Target="https://doi.org/10.1136/amiajnl-2011-000089" TargetMode="External"/><Relationship Id="rId103" Type="http://schemas.openxmlformats.org/officeDocument/2006/relationships/hyperlink" Target="https://doi.org/10.1145/3677175" TargetMode="External"/><Relationship Id="rId108" Type="http://schemas.openxmlformats.org/officeDocument/2006/relationships/hyperlink" Target="https://doi.org/10.1007/978-3-030-43883-8_7" TargetMode="External"/><Relationship Id="rId124" Type="http://schemas.openxmlformats.org/officeDocument/2006/relationships/hyperlink" Target="https://consensus.app/" TargetMode="External"/><Relationship Id="rId129" Type="http://schemas.openxmlformats.org/officeDocument/2006/relationships/hyperlink" Target="https://doi.org/10.1007/s10618-022-00878-5" TargetMode="External"/><Relationship Id="rId54" Type="http://schemas.openxmlformats.org/officeDocument/2006/relationships/hyperlink" Target="https://doi.org/10.48550/arxiv.2601.04486" TargetMode="External"/><Relationship Id="rId70" Type="http://schemas.openxmlformats.org/officeDocument/2006/relationships/hyperlink" Target="https://doi.org/10.48550/arxiv.2402.07632" TargetMode="External"/><Relationship Id="rId75" Type="http://schemas.openxmlformats.org/officeDocument/2006/relationships/hyperlink" Target="https://doi.org/10.1109/haxd70072.2026.11620907" TargetMode="External"/><Relationship Id="rId91" Type="http://schemas.openxmlformats.org/officeDocument/2006/relationships/hyperlink" Target="https://doi.org/10.48550/arxiv.2412.14737" TargetMode="External"/><Relationship Id="rId96" Type="http://schemas.openxmlformats.org/officeDocument/2006/relationships/hyperlink" Target="https://doi.org/10.1145/3287560.3287594" TargetMode="External"/><Relationship Id="rId140" Type="http://schemas.openxmlformats.org/officeDocument/2006/relationships/hyperlink" Target="https://doi.org/10.3390/electronics10050593" TargetMode="External"/><Relationship Id="rId145" Type="http://schemas.openxmlformats.org/officeDocument/2006/relationships/hyperlink" Target="https://www.nucleussoftware.com/blog/explainable-ai-in-lending/" TargetMode="External"/><Relationship Id="rId161" Type="http://schemas.openxmlformats.org/officeDocument/2006/relationships/hyperlink" Target="https://www.researchgate.net/publication/404265491_Explainable_AI_For_Loan_Approval" TargetMode="External"/><Relationship Id="rId1" Type="http://schemas.openxmlformats.org/officeDocument/2006/relationships/numbering" Target="numbering.xml"/><Relationship Id="rId6" Type="http://schemas.openxmlformats.org/officeDocument/2006/relationships/hyperlink" Target="https://doi.org/10.1080/01605682.2021.1922098" TargetMode="External"/><Relationship Id="rId23" Type="http://schemas.openxmlformats.org/officeDocument/2006/relationships/hyperlink" Target="https://doi.org/10.32664/j-intech.v14i02.2228" TargetMode="External"/><Relationship Id="rId28" Type="http://schemas.openxmlformats.org/officeDocument/2006/relationships/hyperlink" Target="https://doi.org/10.48550/arxiv.2304.00731" TargetMode="External"/><Relationship Id="rId49" Type="http://schemas.openxmlformats.org/officeDocument/2006/relationships/hyperlink" Target="https://doi.org/10.1109/ichi.2015.26" TargetMode="External"/><Relationship Id="rId114" Type="http://schemas.openxmlformats.org/officeDocument/2006/relationships/hyperlink" Target="https://doi.org/10.3390/technologies14060359" TargetMode="External"/><Relationship Id="rId119" Type="http://schemas.openxmlformats.org/officeDocument/2006/relationships/hyperlink" Target="https://doi.org/10.1007/978-3-031-70368-3_25" TargetMode="External"/><Relationship Id="rId44" Type="http://schemas.openxmlformats.org/officeDocument/2006/relationships/hyperlink" Target="https://doi.org/10.1145/3613904.3642671" TargetMode="External"/><Relationship Id="rId60" Type="http://schemas.openxmlformats.org/officeDocument/2006/relationships/hyperlink" Target="https://doi.org/10.1145/3830235" TargetMode="External"/><Relationship Id="rId65" Type="http://schemas.openxmlformats.org/officeDocument/2006/relationships/hyperlink" Target="https://doi.org/10.1016/j.ejrai.2025.100046" TargetMode="External"/><Relationship Id="rId81" Type="http://schemas.openxmlformats.org/officeDocument/2006/relationships/hyperlink" Target="https://doi.org/10.1038/s42256-024-00976-7" TargetMode="External"/><Relationship Id="rId86" Type="http://schemas.openxmlformats.org/officeDocument/2006/relationships/hyperlink" Target="https://doi.org/10.1145/3805689.3812329" TargetMode="External"/><Relationship Id="rId130" Type="http://schemas.openxmlformats.org/officeDocument/2006/relationships/hyperlink" Target="https://doi.org/10.1109/mis.2019.2957223" TargetMode="External"/><Relationship Id="rId135" Type="http://schemas.openxmlformats.org/officeDocument/2006/relationships/hyperlink" Target="https://doi.org/10.3390/math13081305" TargetMode="External"/><Relationship Id="rId151" Type="http://schemas.openxmlformats.org/officeDocument/2006/relationships/hyperlink" Target="https://link.springer.com/article/10.1007/s10462-024-11077-7" TargetMode="External"/><Relationship Id="rId156" Type="http://schemas.openxmlformats.org/officeDocument/2006/relationships/hyperlink" Target="https://enterpriseai.economictimes.indiatimes.com/news/industry/tcs-unveils-ai-compass-for-enhanced-banking-efficiency/126073859" TargetMode="External"/><Relationship Id="rId13" Type="http://schemas.openxmlformats.org/officeDocument/2006/relationships/hyperlink" Target="https://doi.org/10.5121/csit.2020.101516" TargetMode="External"/><Relationship Id="rId18" Type="http://schemas.openxmlformats.org/officeDocument/2006/relationships/hyperlink" Target="https://doi.org/10.2139/ssrn.3395422" TargetMode="External"/><Relationship Id="rId39" Type="http://schemas.openxmlformats.org/officeDocument/2006/relationships/hyperlink" Target="https://doi.org/10.1109/icauc68182.2026.11441016" TargetMode="External"/><Relationship Id="rId109" Type="http://schemas.openxmlformats.org/officeDocument/2006/relationships/hyperlink" Target="https://doi.org/10.1177/2053951717743530" TargetMode="External"/><Relationship Id="rId34" Type="http://schemas.openxmlformats.org/officeDocument/2006/relationships/hyperlink" Target="https://doi.org/10.12732/ijam.v38i5s.380" TargetMode="External"/><Relationship Id="rId50" Type="http://schemas.openxmlformats.org/officeDocument/2006/relationships/hyperlink" Target="https://doi.org/10.1007/978-3-032-08317-3_11" TargetMode="External"/><Relationship Id="rId55" Type="http://schemas.openxmlformats.org/officeDocument/2006/relationships/hyperlink" Target="https://doi.org/10.48550/arxiv.2603.09309" TargetMode="External"/><Relationship Id="rId76" Type="http://schemas.openxmlformats.org/officeDocument/2006/relationships/hyperlink" Target="https://doi.org/10.31274/td-20240617-199" TargetMode="External"/><Relationship Id="rId97" Type="http://schemas.openxmlformats.org/officeDocument/2006/relationships/hyperlink" Target="https://doi.org/10.1016/j.ipm.2022.103224" TargetMode="External"/><Relationship Id="rId104" Type="http://schemas.openxmlformats.org/officeDocument/2006/relationships/hyperlink" Target="https://doi.org/10.1145/3757887.3763007" TargetMode="External"/><Relationship Id="rId120" Type="http://schemas.openxmlformats.org/officeDocument/2006/relationships/hyperlink" Target="https://doi.org/10.2139/ssrn.6592940" TargetMode="External"/><Relationship Id="rId125" Type="http://schemas.openxmlformats.org/officeDocument/2006/relationships/hyperlink" Target="https://doi.org/10.1080/10447318.2025.2510824" TargetMode="External"/><Relationship Id="rId141" Type="http://schemas.openxmlformats.org/officeDocument/2006/relationships/hyperlink" Target="https://www.tcs.com/what-we-do/industries/banking/white-paper/ethical-by-design-ai-framework-fair-mortgage-lending" TargetMode="External"/><Relationship Id="rId146" Type="http://schemas.openxmlformats.org/officeDocument/2006/relationships/hyperlink" Target="https://www.carringtonlabs.com/blog/a-practical-guide-to-explainability-in-lending" TargetMode="External"/><Relationship Id="rId7" Type="http://schemas.openxmlformats.org/officeDocument/2006/relationships/hyperlink" Target="https://doi.org/10.1007/s10462-024-10854-8" TargetMode="External"/><Relationship Id="rId71" Type="http://schemas.openxmlformats.org/officeDocument/2006/relationships/hyperlink" Target="https://doi.org/10.1145/3706598.3713336" TargetMode="External"/><Relationship Id="rId92" Type="http://schemas.openxmlformats.org/officeDocument/2006/relationships/hyperlink" Target="https://doi.org/10.3390/diagnostics15172204" TargetMode="External"/><Relationship Id="rId162" Type="http://schemas.openxmlformats.org/officeDocument/2006/relationships/hyperlink" Target="https://rjwave.org/ijedr/viewpaperforall.php?paper=IJEDR2602286" TargetMode="External"/><Relationship Id="rId2" Type="http://schemas.openxmlformats.org/officeDocument/2006/relationships/styles" Target="styles.xml"/><Relationship Id="rId29" Type="http://schemas.openxmlformats.org/officeDocument/2006/relationships/hyperlink" Target="https://doi.org/10.61173/jap4ag43" TargetMode="External"/><Relationship Id="rId24" Type="http://schemas.openxmlformats.org/officeDocument/2006/relationships/hyperlink" Target="https://doi.org/10.69987/jacs.2024.40307" TargetMode="External"/><Relationship Id="rId40" Type="http://schemas.openxmlformats.org/officeDocument/2006/relationships/hyperlink" Target="https://doi.org/10.1609/aaai.v34i08.7055" TargetMode="External"/><Relationship Id="rId45" Type="http://schemas.openxmlformats.org/officeDocument/2006/relationships/hyperlink" Target="https://doi.org/10.48550/arxiv.2306.00074" TargetMode="External"/><Relationship Id="rId66" Type="http://schemas.openxmlformats.org/officeDocument/2006/relationships/hyperlink" Target="https://doi.org/10.1287/isre.7.2.215" TargetMode="External"/><Relationship Id="rId87" Type="http://schemas.openxmlformats.org/officeDocument/2006/relationships/hyperlink" Target="https://doi.org/10.1016/j.ijhcs.2020.102493" TargetMode="External"/><Relationship Id="rId110" Type="http://schemas.openxmlformats.org/officeDocument/2006/relationships/hyperlink" Target="https://doi.org/10.54254/2977-3903/2026.31838" TargetMode="External"/><Relationship Id="rId115" Type="http://schemas.openxmlformats.org/officeDocument/2006/relationships/hyperlink" Target="https://doi.org/10.52202/085713-0388" TargetMode="External"/><Relationship Id="rId131" Type="http://schemas.openxmlformats.org/officeDocument/2006/relationships/hyperlink" Target="https://doi.org/10.1007/s10618-022-00831-6" TargetMode="External"/><Relationship Id="rId136" Type="http://schemas.openxmlformats.org/officeDocument/2006/relationships/hyperlink" Target="https://doi.org/10.1145/3531146.3533218" TargetMode="External"/><Relationship Id="rId157" Type="http://schemas.openxmlformats.org/officeDocument/2006/relationships/hyperlink" Target="https://www.pertamapartners.com/insights/singapore-mas-ai-risk-management-guidelines-financial-services" TargetMode="External"/><Relationship Id="rId61" Type="http://schemas.openxmlformats.org/officeDocument/2006/relationships/hyperlink" Target="https://doi.org/10.1145/3811427.3811445" TargetMode="External"/><Relationship Id="rId82" Type="http://schemas.openxmlformats.org/officeDocument/2006/relationships/hyperlink" Target="https://doi.org/10.48550/arxiv.2409.18645" TargetMode="External"/><Relationship Id="rId152" Type="http://schemas.openxmlformats.org/officeDocument/2006/relationships/hyperlink" Target="https://www.tcs.com/insights/blogs/explainable-ai-banking-business-agility" TargetMode="External"/><Relationship Id="rId19" Type="http://schemas.openxmlformats.org/officeDocument/2006/relationships/hyperlink" Target="https://doi.org/10.1016/j.eswa.2019.113100" TargetMode="External"/><Relationship Id="rId14" Type="http://schemas.openxmlformats.org/officeDocument/2006/relationships/hyperlink" Target="https://doi.org/10.1016/j.ejor.2021.06.053" TargetMode="External"/><Relationship Id="rId30" Type="http://schemas.openxmlformats.org/officeDocument/2006/relationships/hyperlink" Target="https://doi.org/10.1109/access.2021.3068854" TargetMode="External"/><Relationship Id="rId35" Type="http://schemas.openxmlformats.org/officeDocument/2006/relationships/hyperlink" Target="https://doi.org/10.2139/ssrn.3795322" TargetMode="External"/><Relationship Id="rId56" Type="http://schemas.openxmlformats.org/officeDocument/2006/relationships/hyperlink" Target="https://doi.org/10.1080/12460125.2025.2593251" TargetMode="External"/><Relationship Id="rId77" Type="http://schemas.openxmlformats.org/officeDocument/2006/relationships/hyperlink" Target="https://doi.org/10.1177/15553434251324537" TargetMode="External"/><Relationship Id="rId100" Type="http://schemas.openxmlformats.org/officeDocument/2006/relationships/hyperlink" Target="https://doi.org/10.1007/s12599-020-00650-3" TargetMode="External"/><Relationship Id="rId105" Type="http://schemas.openxmlformats.org/officeDocument/2006/relationships/hyperlink" Target="https://doi.org/10.48550/arxiv.1806.03281" TargetMode="External"/><Relationship Id="rId126" Type="http://schemas.openxmlformats.org/officeDocument/2006/relationships/hyperlink" Target="https://doi.org/10.1145/3531146.3533179" TargetMode="External"/><Relationship Id="rId147" Type="http://schemas.openxmlformats.org/officeDocument/2006/relationships/hyperlink" Target="https://rjwave.org/ijedr/viewpaperforall.php?paper=IJEDR2602286" TargetMode="External"/><Relationship Id="rId8" Type="http://schemas.openxmlformats.org/officeDocument/2006/relationships/hyperlink" Target="https://doi.org/10.48550/arxiv.2304.00731" TargetMode="External"/><Relationship Id="rId51" Type="http://schemas.openxmlformats.org/officeDocument/2006/relationships/hyperlink" Target="https://doi.org/10.48550/arxiv.2604.22215" TargetMode="External"/><Relationship Id="rId72" Type="http://schemas.openxmlformats.org/officeDocument/2006/relationships/hyperlink" Target="https://doi.org/10.1145/3531146.3533182" TargetMode="External"/><Relationship Id="rId93" Type="http://schemas.openxmlformats.org/officeDocument/2006/relationships/hyperlink" Target="https://doi.org/10.1145/3351095.3372852" TargetMode="External"/><Relationship Id="rId98" Type="http://schemas.openxmlformats.org/officeDocument/2006/relationships/hyperlink" Target="https://doi.org/10.48550/arxiv.2302.08204" TargetMode="External"/><Relationship Id="rId121" Type="http://schemas.openxmlformats.org/officeDocument/2006/relationships/hyperlink" Target="https://doi.org/10.1109/haxd70072.2026.11620907" TargetMode="External"/><Relationship Id="rId142" Type="http://schemas.openxmlformats.org/officeDocument/2006/relationships/hyperlink" Target="https://www.tcs.com/what-we-do/pace-innovation/blog/explainable-ai-solutions-user-experience" TargetMode="External"/><Relationship Id="rId163" Type="http://schemas.openxmlformats.org/officeDocument/2006/relationships/hyperlink" Target="https://www.researchgate.net/publication/404265491_Explainable_AI_For_Loan_Approval" TargetMode="External"/><Relationship Id="rId3" Type="http://schemas.openxmlformats.org/officeDocument/2006/relationships/settings" Target="settings.xml"/><Relationship Id="rId25" Type="http://schemas.openxmlformats.org/officeDocument/2006/relationships/hyperlink" Target="https://consensus.app/" TargetMode="External"/><Relationship Id="rId46" Type="http://schemas.openxmlformats.org/officeDocument/2006/relationships/hyperlink" Target="https://doi.org/10.1186/s13040-026-00518-4" TargetMode="External"/><Relationship Id="rId67" Type="http://schemas.openxmlformats.org/officeDocument/2006/relationships/hyperlink" Target="https://doi.org/10.48550/arxiv.2606.29490" TargetMode="External"/><Relationship Id="rId116" Type="http://schemas.openxmlformats.org/officeDocument/2006/relationships/hyperlink" Target="https://doi.org/10.1186/s12911-021-01655-y" TargetMode="External"/><Relationship Id="rId137" Type="http://schemas.openxmlformats.org/officeDocument/2006/relationships/hyperlink" Target="https://doi.org/10.1016/j.chb.2025.108854" TargetMode="External"/><Relationship Id="rId158" Type="http://schemas.openxmlformats.org/officeDocument/2006/relationships/hyperlink" Target="https://www.letsaskclaire.com/finance/singapore-mas-ai-guidelines" TargetMode="External"/><Relationship Id="rId20" Type="http://schemas.openxmlformats.org/officeDocument/2006/relationships/hyperlink" Target="https://doi.org/10.2139/ssrn.6659002" TargetMode="External"/><Relationship Id="rId41" Type="http://schemas.openxmlformats.org/officeDocument/2006/relationships/hyperlink" Target="https://doi.org/10.32664/j-intech.v14i02.2228" TargetMode="External"/><Relationship Id="rId62" Type="http://schemas.openxmlformats.org/officeDocument/2006/relationships/hyperlink" Target="https://doi.org/10.48550/arxiv.2503.11709" TargetMode="External"/><Relationship Id="rId83" Type="http://schemas.openxmlformats.org/officeDocument/2006/relationships/hyperlink" Target="https://doi.org/10.1186/s41235-024-00599-x" TargetMode="External"/><Relationship Id="rId88" Type="http://schemas.openxmlformats.org/officeDocument/2006/relationships/hyperlink" Target="https://doi.org/10.48550/arxiv.2306.13063" TargetMode="External"/><Relationship Id="rId111" Type="http://schemas.openxmlformats.org/officeDocument/2006/relationships/hyperlink" Target="https://doi.org/10.48550/arxiv.2210.03175" TargetMode="External"/><Relationship Id="rId132" Type="http://schemas.openxmlformats.org/officeDocument/2006/relationships/hyperlink" Target="https://doi.org/10.63125/twq4bw77" TargetMode="External"/><Relationship Id="rId153" Type="http://schemas.openxmlformats.org/officeDocument/2006/relationships/hyperlink" Target="https://www.tcs.com/what-we-do/industries/banking/white-paper/ethical-by-design-ai-framework-fair-mortgage-lending" TargetMode="External"/><Relationship Id="rId15" Type="http://schemas.openxmlformats.org/officeDocument/2006/relationships/hyperlink" Target="https://doi.org/10.48550/arxiv.2210.17071" TargetMode="External"/><Relationship Id="rId36" Type="http://schemas.openxmlformats.org/officeDocument/2006/relationships/hyperlink" Target="https://doi.org/10.2139/ssrn.3395422" TargetMode="External"/><Relationship Id="rId57" Type="http://schemas.openxmlformats.org/officeDocument/2006/relationships/hyperlink" Target="https://doi.org/10.1609/aaai.v40i21.38798" TargetMode="External"/><Relationship Id="rId106" Type="http://schemas.openxmlformats.org/officeDocument/2006/relationships/hyperlink" Target="https://doi.org/10.1109/icst69053.2026.00077" TargetMode="External"/><Relationship Id="rId127" Type="http://schemas.openxmlformats.org/officeDocument/2006/relationships/hyperlink" Target="https://doi.org/10.3390/electronics8080832" TargetMode="External"/><Relationship Id="rId10" Type="http://schemas.openxmlformats.org/officeDocument/2006/relationships/hyperlink" Target="https://doi.org/10.1109/access.2021.3068854" TargetMode="External"/><Relationship Id="rId31" Type="http://schemas.openxmlformats.org/officeDocument/2006/relationships/hyperlink" Target="https://doi.org/10.5121/csit.2020.101516" TargetMode="External"/><Relationship Id="rId52" Type="http://schemas.openxmlformats.org/officeDocument/2006/relationships/hyperlink" Target="https://doi.org/10.1145/3637318" TargetMode="External"/><Relationship Id="rId73" Type="http://schemas.openxmlformats.org/officeDocument/2006/relationships/hyperlink" Target="https://doi.org/10.48550/arxiv.2607.10604" TargetMode="External"/><Relationship Id="rId78" Type="http://schemas.openxmlformats.org/officeDocument/2006/relationships/hyperlink" Target="https://doi.org/10.3389/fcomp.2025.1464348" TargetMode="External"/><Relationship Id="rId94" Type="http://schemas.openxmlformats.org/officeDocument/2006/relationships/hyperlink" Target="https://doi.org/10.1109/tvcg.2023.3251950" TargetMode="External"/><Relationship Id="rId99" Type="http://schemas.openxmlformats.org/officeDocument/2006/relationships/hyperlink" Target="https://doi.org/10.1613/jair.1.14033" TargetMode="External"/><Relationship Id="rId101" Type="http://schemas.openxmlformats.org/officeDocument/2006/relationships/hyperlink" Target="https://doi.org/10.3390/e23121571" TargetMode="External"/><Relationship Id="rId122" Type="http://schemas.openxmlformats.org/officeDocument/2006/relationships/hyperlink" Target="https://doi.org/10.48550/arxiv.2508.07872" TargetMode="External"/><Relationship Id="rId143" Type="http://schemas.openxmlformats.org/officeDocument/2006/relationships/hyperlink" Target="https://www.letsaskclaire.com/finance/singapore-mas-ai-guidelines" TargetMode="External"/><Relationship Id="rId148" Type="http://schemas.openxmlformats.org/officeDocument/2006/relationships/hyperlink" Target="https://www.researchgate.net/publication/404265491_Explainable_AI_For_Loan_Approval" TargetMode="External"/><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61173/jap4ag43" TargetMode="External"/><Relationship Id="rId26" Type="http://schemas.openxmlformats.org/officeDocument/2006/relationships/hyperlink" Target="https://doi.org/10.1080/01605682.2021.1922098" TargetMode="External"/><Relationship Id="rId47" Type="http://schemas.openxmlformats.org/officeDocument/2006/relationships/hyperlink" Target="https://doi.org/10.1177/1555343411415793" TargetMode="External"/><Relationship Id="rId68" Type="http://schemas.openxmlformats.org/officeDocument/2006/relationships/hyperlink" Target="https://doi.org/10.2196/58660" TargetMode="External"/><Relationship Id="rId89" Type="http://schemas.openxmlformats.org/officeDocument/2006/relationships/hyperlink" Target="https://doi.org/10.3390/informatics12040135" TargetMode="External"/><Relationship Id="rId112" Type="http://schemas.openxmlformats.org/officeDocument/2006/relationships/hyperlink" Target="https://doi.org/10.48550/arxiv.2210.03175" TargetMode="External"/><Relationship Id="rId133" Type="http://schemas.openxmlformats.org/officeDocument/2006/relationships/hyperlink" Target="https://doi.org/10.3389/frai.2026.1668029" TargetMode="External"/><Relationship Id="rId154" Type="http://schemas.openxmlformats.org/officeDocument/2006/relationships/hyperlink" Target="https://www.tcs.com/what-we-do/pace-innovation/blog/explainable-ai-solutions-user-experience" TargetMode="External"/><Relationship Id="rId16" Type="http://schemas.openxmlformats.org/officeDocument/2006/relationships/hyperlink" Target="https://doi.org/10.12732/ijam.v38i5s.380" TargetMode="External"/><Relationship Id="rId37" Type="http://schemas.openxmlformats.org/officeDocument/2006/relationships/hyperlink" Target="https://doi.org/10.1016/j.eswa.2019.113100" TargetMode="External"/><Relationship Id="rId58" Type="http://schemas.openxmlformats.org/officeDocument/2006/relationships/hyperlink" Target="https://doi.org/10.1007/s41233-022-00053-0" TargetMode="External"/><Relationship Id="rId79" Type="http://schemas.openxmlformats.org/officeDocument/2006/relationships/hyperlink" Target="https://doi.org/10.1080/10447318.2025.2539458" TargetMode="External"/><Relationship Id="rId102" Type="http://schemas.openxmlformats.org/officeDocument/2006/relationships/hyperlink" Target="https://doi.org/10.1007/s10994-023-06319-8" TargetMode="External"/><Relationship Id="rId123" Type="http://schemas.openxmlformats.org/officeDocument/2006/relationships/hyperlink" Target="https://doi.org/10.48550/arxiv.2606.19812" TargetMode="External"/><Relationship Id="rId144" Type="http://schemas.openxmlformats.org/officeDocument/2006/relationships/hyperlink" Target="https://inria.hal.science/hal-01934915/document?utm_source=consensus" TargetMode="External"/><Relationship Id="rId90" Type="http://schemas.openxmlformats.org/officeDocument/2006/relationships/hyperlink" Target="https://doi.org/10.1177/00187208241277158" TargetMode="External"/><Relationship Id="rId165" Type="http://schemas.openxmlformats.org/officeDocument/2006/relationships/theme" Target="theme/theme1.xml"/><Relationship Id="rId27" Type="http://schemas.openxmlformats.org/officeDocument/2006/relationships/hyperlink" Target="https://doi.org/10.1007/s10462-024-10854-8" TargetMode="External"/><Relationship Id="rId48" Type="http://schemas.openxmlformats.org/officeDocument/2006/relationships/hyperlink" Target="https://doi.org/10.3390/s21113834" TargetMode="External"/><Relationship Id="rId69" Type="http://schemas.openxmlformats.org/officeDocument/2006/relationships/hyperlink" Target="https://doi.org/10.1080/10447318.2024.2348216" TargetMode="External"/><Relationship Id="rId113" Type="http://schemas.openxmlformats.org/officeDocument/2006/relationships/hyperlink" Target="https://consensus.app/" TargetMode="External"/><Relationship Id="rId134" Type="http://schemas.openxmlformats.org/officeDocument/2006/relationships/hyperlink" Target="https://doi.org/10.1007/s11257-017-9195-0" TargetMode="External"/><Relationship Id="rId80" Type="http://schemas.openxmlformats.org/officeDocument/2006/relationships/hyperlink" Target="https://doi.org/10.1145/3816046.3816231" TargetMode="External"/><Relationship Id="rId155" Type="http://schemas.openxmlformats.org/officeDocument/2006/relationships/hyperlink" Target="https://www.tcs.com/what-we-do/products-platforms/tcs-hobs/white-papers/strategic-measurable-approach-to-build-ai-enterpr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33</Pages>
  <Words>13424</Words>
  <Characters>76519</Characters>
  <Application>Microsoft Office Word</Application>
  <DocSecurity>0</DocSecurity>
  <Lines>637</Lines>
  <Paragraphs>179</Paragraphs>
  <ScaleCrop>false</ScaleCrop>
  <Company/>
  <LinksUpToDate>false</LinksUpToDate>
  <CharactersWithSpaces>89764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MHATRE SANIL SAMIR</dc:creator>
  <cp:keywords/>
  <dc:description/>
  <cp:lastModifiedBy>MHATRE SANIL SAMIR </cp:lastModifiedBy>
  <cp:revision>1</cp:revision>
  <dcterms:created xsi:type="dcterms:W3CDTF">2026-09-03T08:31:00Z</dcterms:created>
  <dcterms:modified xsi:type="dcterms:W3CDTF">2026-09-03T08:48:00Z</dcterms:modified>
</cp:coreProperties>
</file>