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Fed Challenge presentation script</w:t>
      </w:r>
    </w:p>
    <w:p>
      <w:pPr>
        <w:pStyle w:val="Subtitle"/>
      </w:pPr>
      <w:r>
        <w:t>Mock FOMC meeting on October 4 2026</w:t>
      </w:r>
    </w:p>
    <w:p>
      <w:r>
        <w:t>A slide-by-slide rehearsal script for a 15-minute recording. The committee recommends a 25-basis-point increase to a 4.00–4.25 percent target range, with ample reserves and conditional future decisions.</w:t>
      </w:r>
    </w:p>
    <w:p>
      <w:r>
        <w:t>Five speakers use role labels: Chair, Growth, Inflation, Labor, and Markets. Assign one person to each role. Read only the speaker paragraphs aloud. Cues, source references, and all material after slide 28 are for preparation.</w:t>
      </w:r>
    </w:p>
    <w:p>
      <w:pPr>
        <w:pStyle w:val="Heading2"/>
      </w:pPr>
      <w:r>
        <w:t>Timing and handoffs</w:t>
      </w:r>
    </w:p>
    <w:p>
      <w:r>
        <w:t>The main script contains approximately 1,634 spoken words, counting numerical phrases and expanded initialisms. At 125 words per minute, the timing model is 14:34, including about 90 seconds for names, transitions, and pauses. Aim for 14:00–14:35 in a full team rehearsal; the hard stop is 15:00.</w:t>
      </w:r>
    </w:p>
    <w:tbl>
      <w:tblPr>
        <w:tblW w:type="auto" w:w="0"/>
        <w:jc w:val="center"/>
        <w:tblLayout w:type="fixed"/>
        <w:tblLook w:firstColumn="1" w:firstRow="1" w:lastColumn="0" w:lastRow="0" w:noHBand="0" w:noVBand="1" w:val="04A0"/>
      </w:tblPr>
      <w:tblGrid>
        <w:gridCol w:w="1008"/>
        <w:gridCol w:w="6840"/>
        <w:gridCol w:w="1800"/>
      </w:tblGrid>
      <w:tr>
        <w:trPr>
          <w:tblHeader/>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F"/>
          </w:tcPr>
          <w:p>
            <w:pPr>
              <w:spacing w:after="20" w:line="240" w:lineRule="auto"/>
            </w:pPr>
            <w:r>
              <w:rPr>
                <w:b/>
                <w:sz w:val="19"/>
              </w:rPr>
              <w:t>Slides</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F"/>
          </w:tcPr>
          <w:p>
            <w:pPr>
              <w:spacing w:after="20" w:line="240" w:lineRule="auto"/>
            </w:pPr>
            <w:r>
              <w:rPr>
                <w:b/>
                <w:sz w:val="19"/>
              </w:rPr>
              <w:t>Section</w:t>
            </w:r>
          </w:p>
        </w:tc>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DE7EF"/>
          </w:tcPr>
          <w:p>
            <w:pPr>
              <w:spacing w:after="20" w:line="240" w:lineRule="auto"/>
            </w:pPr>
            <w:r>
              <w:rPr>
                <w:b/>
                <w:sz w:val="19"/>
              </w:rPr>
              <w:t>Finish by</w:t>
            </w:r>
          </w:p>
        </w:tc>
      </w:tr>
      <w:t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0" w:lineRule="auto"/>
            </w:pPr>
            <w:r>
              <w:rPr>
                <w:b w:val="0"/>
                <w:sz w:val="19"/>
              </w:rPr>
              <w:t>1–7</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0" w:lineRule="auto"/>
            </w:pPr>
            <w:r>
              <w:rPr>
                <w:b w:val="0"/>
                <w:sz w:val="19"/>
              </w:rPr>
              <w:t>Opening and growth</w:t>
            </w:r>
          </w:p>
        </w:tc>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0" w:lineRule="auto"/>
            </w:pPr>
            <w:r>
              <w:rPr>
                <w:b w:val="0"/>
                <w:sz w:val="19"/>
              </w:rPr>
              <w:t>3:18</w:t>
            </w:r>
          </w:p>
        </w:tc>
      </w:tr>
      <w:t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20" w:line="240" w:lineRule="auto"/>
            </w:pPr>
            <w:r>
              <w:rPr>
                <w:b w:val="0"/>
                <w:sz w:val="19"/>
              </w:rPr>
              <w:t>8–13</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20" w:line="240" w:lineRule="auto"/>
            </w:pPr>
            <w:r>
              <w:rPr>
                <w:b w:val="0"/>
                <w:sz w:val="19"/>
              </w:rPr>
              <w:t>Inflation and wages</w:t>
            </w:r>
          </w:p>
        </w:tc>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20" w:line="240" w:lineRule="auto"/>
            </w:pPr>
            <w:r>
              <w:rPr>
                <w:b w:val="0"/>
                <w:sz w:val="19"/>
              </w:rPr>
              <w:t>5:55</w:t>
            </w:r>
          </w:p>
        </w:tc>
      </w:tr>
      <w:t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0" w:lineRule="auto"/>
            </w:pPr>
            <w:r>
              <w:rPr>
                <w:b w:val="0"/>
                <w:sz w:val="19"/>
              </w:rPr>
              <w:t>14–18</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0" w:lineRule="auto"/>
            </w:pPr>
            <w:r>
              <w:rPr>
                <w:b w:val="0"/>
                <w:sz w:val="19"/>
              </w:rPr>
              <w:t>Labor market</w:t>
            </w:r>
          </w:p>
        </w:tc>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0" w:lineRule="auto"/>
            </w:pPr>
            <w:r>
              <w:rPr>
                <w:b w:val="0"/>
                <w:sz w:val="19"/>
              </w:rPr>
              <w:t>7:50</w:t>
            </w:r>
          </w:p>
        </w:tc>
      </w:tr>
      <w:t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20" w:line="240" w:lineRule="auto"/>
            </w:pPr>
            <w:r>
              <w:rPr>
                <w:b w:val="0"/>
                <w:sz w:val="19"/>
              </w:rPr>
              <w:t>19–22</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20" w:line="240" w:lineRule="auto"/>
            </w:pPr>
            <w:r>
              <w:rPr>
                <w:b w:val="0"/>
                <w:sz w:val="19"/>
              </w:rPr>
              <w:t>Financial conditions</w:t>
            </w:r>
          </w:p>
        </w:tc>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20" w:line="240" w:lineRule="auto"/>
            </w:pPr>
            <w:r>
              <w:rPr>
                <w:b w:val="0"/>
                <w:sz w:val="19"/>
              </w:rPr>
              <w:t>9:21</w:t>
            </w:r>
          </w:p>
        </w:tc>
      </w:tr>
      <w:t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0" w:lineRule="auto"/>
            </w:pPr>
            <w:r>
              <w:rPr>
                <w:b w:val="0"/>
                <w:sz w:val="19"/>
              </w:rPr>
              <w:t>23–25</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0" w:lineRule="auto"/>
            </w:pPr>
            <w:r>
              <w:rPr>
                <w:b w:val="0"/>
                <w:sz w:val="19"/>
              </w:rPr>
              <w:t>Policy debate</w:t>
            </w:r>
          </w:p>
        </w:tc>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0" w:lineRule="auto"/>
            </w:pPr>
            <w:r>
              <w:rPr>
                <w:b w:val="0"/>
                <w:sz w:val="19"/>
              </w:rPr>
              <w:t>12:41</w:t>
            </w:r>
          </w:p>
        </w:tc>
      </w:tr>
      <w:t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20" w:line="240" w:lineRule="auto"/>
            </w:pPr>
            <w:r>
              <w:rPr>
                <w:b w:val="0"/>
                <w:sz w:val="19"/>
              </w:rPr>
              <w:t>26–28</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20" w:line="240" w:lineRule="auto"/>
            </w:pPr>
            <w:r>
              <w:rPr>
                <w:b w:val="0"/>
                <w:sz w:val="19"/>
              </w:rPr>
              <w:t>Vote and close</w:t>
            </w:r>
          </w:p>
        </w:tc>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6F7"/>
          </w:tcPr>
          <w:p>
            <w:pPr>
              <w:spacing w:after="20" w:line="240" w:lineRule="auto"/>
            </w:pPr>
            <w:r>
              <w:rPr>
                <w:b w:val="0"/>
                <w:sz w:val="19"/>
              </w:rPr>
              <w:t>14:34</w:t>
            </w:r>
          </w:p>
        </w:tc>
      </w:tr>
    </w:tbl>
    <w:p>
      <w:r>
        <w:t>The first 12 seconds are reserved for names only. Avoid school and district names. Advance divider slides immediately. The rubric rewards confident delivery with little or no reading, so rehearse the full text, then use the brief cues to speak naturally.</w:t>
      </w:r>
    </w:p>
    <w:p>
      <w:pPr>
        <w:pStyle w:val="Heading2"/>
      </w:pPr>
      <w:r>
        <w:t>Before recording</w:t>
      </w:r>
    </w:p>
    <w:p>
      <w:r>
        <w:t>Check the correction notes after the script, especially slide 9’s older forecast circles, slide 24’s historical real-rate measures, and slide 28’s October 5 date. Use October 4 consistently. End on slide 28; slides 29 and 40 are visible appendix material in the supplied file.</w:t>
      </w:r>
    </w:p>
    <w:p>
      <w:pPr>
        <w:spacing w:after="100"/>
      </w:pPr>
      <w:r>
        <w:rPr>
          <w:color w:val="444444"/>
          <w:sz w:val="18"/>
        </w:rPr>
        <w:t>The original PowerPoint has not been edited. Sources were checked against information available on October 3, 2026. Forecasts through early 2027 are team judgments unless a published nowcast is explicitly named.</w:t>
      </w:r>
    </w:p>
    <w:p>
      <w:pPr>
        <w:pStyle w:val="Heading1"/>
        <w:pageBreakBefore/>
      </w:pPr>
      <w:r>
        <w:t>Opening and growth</w:t>
      </w:r>
    </w:p>
    <w:p>
      <w:pPr>
        <w:pStyle w:val="Heading2"/>
      </w:pPr>
      <w:r>
        <w:t>Slide 1 Opening</w:t>
      </w:r>
    </w:p>
    <w:p>
      <w:pPr>
        <w:keepNext/>
        <w:spacing w:after="100"/>
      </w:pPr>
      <w:r>
        <w:rPr>
          <w:color w:val="444444"/>
          <w:sz w:val="18"/>
        </w:rPr>
        <w:t>0:12–0:38  •  26 seconds  •  Cue: Face the committee. Each speaker gives their name only, with no school or district.  Sources: S1</w:t>
      </w:r>
    </w:p>
    <w:p>
      <w:pPr>
        <w:keepLines/>
      </w:pPr>
      <w:r>
        <w:rPr>
          <w:b/>
        </w:rPr>
        <w:t>Chair:</w:t>
      </w:r>
      <w:r>
        <w:t xml:space="preserve"> Welcome to our October fourth mock FOMC meeting. Our recommendation is a quarter-point increase in the federal funds target range, to four to four and a quarter percent. Inflation remains too high, while domestic demand and employment appear resilient enough to support a measured response.</w:t>
      </w:r>
    </w:p>
    <w:p>
      <w:pPr>
        <w:pStyle w:val="Heading2"/>
      </w:pPr>
      <w:r>
        <w:t>Slide 2 Agenda</w:t>
      </w:r>
    </w:p>
    <w:p>
      <w:pPr>
        <w:keepNext/>
        <w:spacing w:after="100"/>
      </w:pPr>
      <w:r>
        <w:rPr>
          <w:color w:val="444444"/>
          <w:sz w:val="18"/>
        </w:rPr>
        <w:t>0:38–1:05  •  27 seconds  •  Cue: Advance after the final sentence.</w:t>
      </w:r>
    </w:p>
    <w:p>
      <w:pPr>
        <w:keepLines/>
      </w:pPr>
      <w:r>
        <w:rPr>
          <w:b/>
        </w:rPr>
        <w:t>Chair:</w:t>
      </w:r>
      <w:r>
        <w:t xml:space="preserve"> We will assess growth, inflation, employment, and financial conditions, then debate the risks and vote. Beyond the published nowcasts, our outlook covers the fourth quarter of 2026 and first quarter of 2027. We expect continued expansion and broadly stable unemployment, with inflation above target. Those are our conditional judgments.</w:t>
      </w:r>
    </w:p>
    <w:p>
      <w:pPr>
        <w:pStyle w:val="Heading2"/>
      </w:pPr>
      <w:r>
        <w:t>Slide 3 Growth divider</w:t>
      </w:r>
    </w:p>
    <w:p>
      <w:pPr>
        <w:keepNext w:val="0"/>
        <w:spacing w:after="100"/>
      </w:pPr>
      <w:r>
        <w:rPr>
          <w:color w:val="444444"/>
          <w:sz w:val="18"/>
        </w:rPr>
        <w:t>1:05–1:06  •  1 second  •  Cue: Advance directly to slide 4.</w:t>
      </w:r>
    </w:p>
    <w:p>
      <w:pPr>
        <w:pStyle w:val="Heading2"/>
      </w:pPr>
      <w:r>
        <w:t>Slide 4 Underlying growth is solid</w:t>
      </w:r>
    </w:p>
    <w:p>
      <w:pPr>
        <w:keepNext/>
        <w:spacing w:after="100"/>
      </w:pPr>
      <w:r>
        <w:rPr>
          <w:color w:val="444444"/>
          <w:sz w:val="18"/>
        </w:rPr>
        <w:t>1:06–1:47  •  41 seconds  •  Cue: Point first to the last actual observation, then to the orange forecast.  Sources: S2, S3</w:t>
      </w:r>
    </w:p>
    <w:p>
      <w:pPr>
        <w:keepLines/>
      </w:pPr>
      <w:r>
        <w:rPr>
          <w:b/>
        </w:rPr>
        <w:t>Growth:</w:t>
      </w:r>
      <w:r>
        <w:t xml:space="preserve"> Real GDP grew at a two-point-two percent annualized pace in the second quarter. Underlying private demand was stronger: consumption plus fixed investment grew four-point-six percent. Imports partly offset spending because GDP measures domestic production. Our near-term forecast is three-point-seven percent annualized growth for the third quarter, derived from the Atlanta Fed’s October first GDPNow estimate. We adopt that published nowcast as our baseline, with uncertainty around incoming data.</w:t>
      </w:r>
    </w:p>
    <w:p>
      <w:pPr>
        <w:pStyle w:val="Heading1"/>
        <w:pageBreakBefore/>
      </w:pPr>
      <w:r>
        <w:t>Consumer spending and investment</w:t>
      </w:r>
    </w:p>
    <w:p>
      <w:pPr>
        <w:pStyle w:val="Heading2"/>
      </w:pPr>
      <w:r>
        <w:t>Slide 5 Retail sales show strong consumer spending</w:t>
      </w:r>
    </w:p>
    <w:p>
      <w:pPr>
        <w:keepNext/>
        <w:spacing w:after="100"/>
      </w:pPr>
      <w:r>
        <w:rPr>
          <w:color w:val="444444"/>
          <w:sz w:val="18"/>
        </w:rPr>
        <w:t>1:47–2:12  •  25 seconds  •  Cue: Distinguish nominal retail sales from real consumption.  Sources: S4</w:t>
      </w:r>
    </w:p>
    <w:p>
      <w:pPr>
        <w:keepLines/>
      </w:pPr>
      <w:r>
        <w:rPr>
          <w:b/>
        </w:rPr>
        <w:t>Growth:</w:t>
      </w:r>
      <w:r>
        <w:t xml:space="preserve"> Retail sales reinforce the spending picture, but this chart is in dollars and therefore includes inflation. The stronger cross-check is BEA’s August report: real consumption increased zero-point-six percent from July. That supports continued expansion, although one strong month cannot establish a lasting trend.</w:t>
      </w:r>
    </w:p>
    <w:p>
      <w:pPr>
        <w:pStyle w:val="Heading2"/>
      </w:pPr>
      <w:r>
        <w:t>Slide 6 Household wealth supports consumption</w:t>
      </w:r>
    </w:p>
    <w:p>
      <w:pPr>
        <w:keepNext/>
        <w:spacing w:after="100"/>
      </w:pPr>
      <w:r>
        <w:rPr>
          <w:color w:val="444444"/>
          <w:sz w:val="18"/>
        </w:rPr>
        <w:t>2:12–2:43  •  31 seconds  •  Cue: Point to the latest wealth-to-income ratio.  Sources: S5</w:t>
      </w:r>
    </w:p>
    <w:p>
      <w:pPr>
        <w:keepLines/>
      </w:pPr>
      <w:r>
        <w:rPr>
          <w:b/>
        </w:rPr>
        <w:t>Growth:</w:t>
      </w:r>
      <w:r>
        <w:t xml:space="preserve"> Household net worth reached eight-point-two-eight times disposable income in the chart. Equity gains can support consumption, especially among households holding substantial assets.</w:t>
      </w:r>
    </w:p>
    <w:p>
      <w:pPr>
        <w:keepLines/>
      </w:pPr>
      <w:r>
        <w:rPr>
          <w:b/>
        </w:rPr>
        <w:t>Labor:</w:t>
      </w:r>
      <w:r>
        <w:t xml:space="preserve"> But that support is uneven. Households with few assets remain exposed to higher living costs, and an equity correction could weaken spending. We assess those effects through our employment and inflation mandate.</w:t>
      </w:r>
    </w:p>
    <w:p>
      <w:pPr>
        <w:pStyle w:val="Heading2"/>
      </w:pPr>
      <w:r>
        <w:t>Slide 7 AI investment supports growth</w:t>
      </w:r>
    </w:p>
    <w:p>
      <w:pPr>
        <w:keepNext/>
        <w:spacing w:after="100"/>
      </w:pPr>
      <w:r>
        <w:rPr>
          <w:color w:val="444444"/>
          <w:sz w:val="18"/>
        </w:rPr>
        <w:t>2:43–3:18  •  35 seconds  •  Cue: Trace gross investment and the negative import contribution.  Sources: S6</w:t>
      </w:r>
    </w:p>
    <w:p>
      <w:pPr>
        <w:keepLines/>
      </w:pPr>
      <w:r>
        <w:rPr>
          <w:b/>
        </w:rPr>
        <w:t>Growth:</w:t>
      </w:r>
      <w:r>
        <w:t xml:space="preserve"> This Federal Reserve research chart approximates AI-related contributions to real GDP growth. Software and computing investment add to output, while imported equipment offsets part of the gross spending. These categories also include non-AI activity. Our near-term judgment is that investment supports demand through early 2027. Longer-term productivity gains could expand supply, but their timing and scale remain uncertain.</w:t>
      </w:r>
    </w:p>
    <w:p>
      <w:pPr>
        <w:pStyle w:val="Heading1"/>
        <w:pageBreakBefore/>
      </w:pPr>
      <w:r>
        <w:t>Inflation and wages</w:t>
      </w:r>
    </w:p>
    <w:p>
      <w:pPr>
        <w:pStyle w:val="Heading2"/>
      </w:pPr>
      <w:r>
        <w:t>Slide 8 Inflation divider</w:t>
      </w:r>
    </w:p>
    <w:p>
      <w:pPr>
        <w:keepNext w:val="0"/>
        <w:spacing w:after="100"/>
      </w:pPr>
      <w:r>
        <w:rPr>
          <w:color w:val="444444"/>
          <w:sz w:val="18"/>
        </w:rPr>
        <w:t>3:18–3:19  •  1 second  •  Cue: Advance directly to slide 9.</w:t>
      </w:r>
    </w:p>
    <w:p>
      <w:pPr>
        <w:pStyle w:val="Heading2"/>
      </w:pPr>
      <w:r>
        <w:t>Slide 9 PCE inflation remains above target</w:t>
      </w:r>
    </w:p>
    <w:p>
      <w:pPr>
        <w:keepNext/>
        <w:spacing w:after="100"/>
      </w:pPr>
      <w:r>
        <w:rPr>
          <w:color w:val="444444"/>
          <w:sz w:val="18"/>
        </w:rPr>
        <w:t>3:19–4:05  •  46 seconds  •  Cue: Use the actual readings. The forecast circles on the original chart are stale.  Sources: S4, S7, S8</w:t>
      </w:r>
    </w:p>
    <w:p>
      <w:pPr>
        <w:keepLines/>
      </w:pPr>
      <w:r>
        <w:rPr>
          <w:b/>
        </w:rPr>
        <w:t>Inflation:</w:t>
      </w:r>
      <w:r>
        <w:t xml:space="preserve"> The Fed targets two percent headline PCE inflation over time. August inflation was three-point-four percent, with core inflation at three percent. Core excludes food and energy. Dallas trimmed mean removes extreme price changes each month and is now two-point-two percent, a meaningful sign of improvement. Our near-term forecasts, derived from Cleveland Fed nowcasts updated October second, are about three-point-seven percent headline and three-point-one percent core for October, year over year. These estimates update the forecast circles shown here. They remain uncertain.</w:t>
      </w:r>
    </w:p>
    <w:p>
      <w:pPr>
        <w:pStyle w:val="Heading2"/>
      </w:pPr>
      <w:r>
        <w:t>Slide 10 Energy shock raises producer costs</w:t>
      </w:r>
    </w:p>
    <w:p>
      <w:pPr>
        <w:keepNext/>
        <w:spacing w:after="100"/>
      </w:pPr>
      <w:r>
        <w:rPr>
          <w:color w:val="444444"/>
          <w:sz w:val="18"/>
        </w:rPr>
        <w:t>4:05–4:31  •  26 seconds  •  Cue: Point to the increase in producer energy prices.  Sources: Deck slide 10; S9</w:t>
      </w:r>
    </w:p>
    <w:p>
      <w:pPr>
        <w:keepLines/>
      </w:pPr>
      <w:r>
        <w:rPr>
          <w:b/>
        </w:rPr>
        <w:t>Inflation:</w:t>
      </w:r>
      <w:r>
        <w:t xml:space="preserve"> The energy shock has raised producer costs, with possible pass-through through transport and production. Higher interest rates cannot produce more oil. The policy concern is whether repeated shocks spread into persistent price setting. Pass-through is a risk, not an automatic one-for-one prediction for consumer inflation.</w:t>
      </w:r>
    </w:p>
    <w:p>
      <w:pPr>
        <w:pStyle w:val="Heading2"/>
      </w:pPr>
      <w:r>
        <w:t>Slide 11 Inflation is not solely supply driven</w:t>
      </w:r>
    </w:p>
    <w:p>
      <w:pPr>
        <w:keepNext/>
        <w:spacing w:after="100"/>
      </w:pPr>
      <w:r>
        <w:rPr>
          <w:color w:val="444444"/>
          <w:sz w:val="18"/>
        </w:rPr>
        <w:t>4:31–4:58  •  27 seconds  •  Cue: Point to demand, supply, and ambiguous components separately.  Sources: S9</w:t>
      </w:r>
    </w:p>
    <w:p>
      <w:pPr>
        <w:keepLines/>
      </w:pPr>
      <w:r>
        <w:rPr>
          <w:b/>
        </w:rPr>
        <w:t>Inflation:</w:t>
      </w:r>
      <w:r>
        <w:t xml:space="preserve"> The San Francisco Fed classifies unexpected price and quantity movements together as demand driven, and opposite movements as supply driven. Unclear cases remain ambiguous. Demand contributes alongside supply in this chart, so energy alone cannot explain inflation. But this decomposition does not tell us how much a quarter-point hike will reduce inflation.</w:t>
      </w:r>
    </w:p>
    <w:p>
      <w:pPr>
        <w:pStyle w:val="Heading2"/>
      </w:pPr>
      <w:r>
        <w:t>Slide 12 Shocks affect household expectations</w:t>
      </w:r>
    </w:p>
    <w:p>
      <w:pPr>
        <w:keepNext/>
        <w:spacing w:after="100"/>
      </w:pPr>
      <w:r>
        <w:rPr>
          <w:color w:val="444444"/>
          <w:sz w:val="18"/>
        </w:rPr>
        <w:t>4:58–5:26  •  28 seconds  •  Cue: The left panel shows sentiment; the right panel shows one-year expectations.  Sources: Deck slide 12; S10</w:t>
      </w:r>
    </w:p>
    <w:p>
      <w:pPr>
        <w:keepLines/>
      </w:pPr>
      <w:r>
        <w:rPr>
          <w:b/>
        </w:rPr>
        <w:t>Inflation:</w:t>
      </w:r>
      <w:r>
        <w:t xml:space="preserve"> Weak sentiment coexists with solid spending. Michigan’s household survey links concerns about gasoline and tariffs with higher near-term inflation expectations. That raises persistence risk, but does not establish that long-term expectations are unanchored. We would cross-check household surveys against longer-horizon expectations and market measures, which also contain risk and liquidity premiums.</w:t>
      </w:r>
    </w:p>
    <w:p>
      <w:pPr>
        <w:pStyle w:val="Heading2"/>
      </w:pPr>
      <w:r>
        <w:t>Slide 13 Wages and purchasing power</w:t>
      </w:r>
    </w:p>
    <w:p>
      <w:pPr>
        <w:keepNext/>
        <w:spacing w:after="100"/>
      </w:pPr>
      <w:r>
        <w:rPr>
          <w:color w:val="444444"/>
          <w:sz w:val="18"/>
        </w:rPr>
        <w:t>5:26–5:55  •  29 seconds  •  Cue: Point to the decline below zero in real wage growth.  Sources: S3, S11</w:t>
      </w:r>
    </w:p>
    <w:p>
      <w:pPr>
        <w:keepLines/>
      </w:pPr>
      <w:r>
        <w:rPr>
          <w:b/>
        </w:rPr>
        <w:t>Labor:</w:t>
      </w:r>
      <w:r>
        <w:t xml:space="preserve"> Real hourly earnings have slipped below their year-earlier level. The Atlanta Fed Wage Growth Tracker is four-point-one percent. Together, these suggest pressure on purchasing power without clear evidence of a broad wage-price spiral. Wage growth must be assessed alongside productivity. Inflation burdens households with limited savings, but tighter credit also burdens borrowers.</w:t>
      </w:r>
    </w:p>
    <w:p>
      <w:pPr>
        <w:pStyle w:val="Heading1"/>
        <w:pageBreakBefore/>
      </w:pPr>
      <w:r>
        <w:t>Labor market</w:t>
      </w:r>
    </w:p>
    <w:p>
      <w:pPr>
        <w:pStyle w:val="Heading2"/>
      </w:pPr>
      <w:r>
        <w:t>Slide 14 Labor market divider</w:t>
      </w:r>
    </w:p>
    <w:p>
      <w:pPr>
        <w:keepNext w:val="0"/>
        <w:spacing w:after="100"/>
      </w:pPr>
      <w:r>
        <w:rPr>
          <w:color w:val="444444"/>
          <w:sz w:val="18"/>
        </w:rPr>
        <w:t>5:55–5:56  •  1 second  •  Cue: Advance directly to slide 15.</w:t>
      </w:r>
    </w:p>
    <w:p>
      <w:pPr>
        <w:pStyle w:val="Heading2"/>
      </w:pPr>
      <w:r>
        <w:t>Slide 15 Unemployment is near estimates of maximum employment</w:t>
      </w:r>
    </w:p>
    <w:p>
      <w:pPr>
        <w:keepNext/>
        <w:spacing w:after="100"/>
      </w:pPr>
      <w:r>
        <w:rPr>
          <w:color w:val="444444"/>
          <w:sz w:val="18"/>
        </w:rPr>
        <w:t>5:56–6:25  •  29 seconds  •  Cue: Point to 4.2 percent and describe 4.4 percent as an uncertain benchmark.  Sources: S12; deck slide 15</w:t>
      </w:r>
    </w:p>
    <w:p>
      <w:pPr>
        <w:keepLines/>
      </w:pPr>
      <w:r>
        <w:rPr>
          <w:b/>
        </w:rPr>
        <w:t>Labor:</w:t>
      </w:r>
      <w:r>
        <w:t xml:space="preserve"> September unemployment was four-point-two percent, near estimates consistent with maximum employment. The chart’s CBO noncyclical rate is a model benchmark, not a precise policy threshold. Aggregate stability also hides differences: Black unemployment rose to seven percent. We should not equate a low national rate with equal opportunity or an absence of employment risk.</w:t>
      </w:r>
    </w:p>
    <w:p>
      <w:pPr>
        <w:pStyle w:val="Heading2"/>
      </w:pPr>
      <w:r>
        <w:t>Slide 16 Payroll growth and a lower breakeven rate</w:t>
      </w:r>
    </w:p>
    <w:p>
      <w:pPr>
        <w:keepNext/>
        <w:spacing w:after="100"/>
      </w:pPr>
      <w:r>
        <w:rPr>
          <w:color w:val="444444"/>
          <w:sz w:val="18"/>
        </w:rPr>
        <w:t>6:25–7:01  •  36 seconds  •  Cue: Identify the bars as payroll gains, not vacancies.  Sources: S12, S13</w:t>
      </w:r>
    </w:p>
    <w:p>
      <w:pPr>
        <w:keepLines/>
      </w:pPr>
      <w:r>
        <w:rPr>
          <w:b/>
        </w:rPr>
        <w:t>Labor:</w:t>
      </w:r>
      <w:r>
        <w:t xml:space="preserve"> September payrolls increased just twenty-nine thousand, following a revised one-hundred-thirty-three thousand in August. That deserves caution. Slower labor-force growth lowers the hiring pace needed to stabilize unemployment. St. Louis Fed research estimates fifteen to eighty-seven thousand jobs per month, depending on immigration. September falls within that wide range, but near its lower end. We need several months of evidence, not a fixed breakeven number.</w:t>
      </w:r>
    </w:p>
    <w:p>
      <w:pPr>
        <w:pStyle w:val="Heading2"/>
      </w:pPr>
      <w:r>
        <w:t>Slide 17 Openings and hiring stabilize</w:t>
      </w:r>
    </w:p>
    <w:p>
      <w:pPr>
        <w:keepNext/>
        <w:spacing w:after="100"/>
      </w:pPr>
      <w:r>
        <w:rPr>
          <w:color w:val="444444"/>
          <w:sz w:val="18"/>
        </w:rPr>
        <w:t>7:01–7:30  •  29 seconds  •  Cue: Point to the openings, hires, and layoffs rates.  Sources: S14</w:t>
      </w:r>
    </w:p>
    <w:p>
      <w:pPr>
        <w:keepLines/>
      </w:pPr>
      <w:r>
        <w:rPr>
          <w:b/>
        </w:rPr>
        <w:t>Labor:</w:t>
      </w:r>
      <w:r>
        <w:t xml:space="preserve"> JOLTS shows openings and hiring stabilizing below their pandemic peaks, while layoffs remain low. This is a slower-moving labor market: existing workers retain jobs, but jobseekers may struggle. Our near-term judgment, derived from BLS payrolls, JOLTS, and claims, is broadly stable unemployment through early 2027, with risks tilted toward weaker hiring.</w:t>
      </w:r>
    </w:p>
    <w:p>
      <w:pPr>
        <w:pStyle w:val="Heading2"/>
      </w:pPr>
      <w:r>
        <w:t>Slide 18 Claims show limited layoffs</w:t>
      </w:r>
    </w:p>
    <w:p>
      <w:pPr>
        <w:keepNext/>
        <w:spacing w:after="100"/>
      </w:pPr>
      <w:r>
        <w:rPr>
          <w:color w:val="444444"/>
          <w:sz w:val="18"/>
        </w:rPr>
        <w:t>7:30–7:50  •  20 seconds  •  Cue: Point to both panels, then turn to the chair.  Sources: Deck slide 18</w:t>
      </w:r>
    </w:p>
    <w:p>
      <w:pPr>
        <w:keepLines/>
      </w:pPr>
      <w:r>
        <w:rPr>
          <w:b/>
        </w:rPr>
        <w:t>Labor:</w:t>
      </w:r>
      <w:r>
        <w:t xml:space="preserve"> The claims charts show no broad layoff surge. That reduces the case for an immediate cut, but low layoffs do not guarantee future resilience. We would reconsider tightening if initial and continuing claims rose persistently alongside weakening payrolls.</w:t>
      </w:r>
    </w:p>
    <w:p>
      <w:pPr>
        <w:pStyle w:val="Heading1"/>
        <w:pageBreakBefore/>
      </w:pPr>
      <w:r>
        <w:t>Financial conditions</w:t>
      </w:r>
    </w:p>
    <w:p>
      <w:pPr>
        <w:pStyle w:val="Heading2"/>
      </w:pPr>
      <w:r>
        <w:t>Slide 19 Financial conditions divider</w:t>
      </w:r>
    </w:p>
    <w:p>
      <w:pPr>
        <w:keepNext w:val="0"/>
        <w:spacing w:after="100"/>
      </w:pPr>
      <w:r>
        <w:rPr>
          <w:color w:val="444444"/>
          <w:sz w:val="18"/>
        </w:rPr>
        <w:t>7:50–7:51  •  1 second  •  Cue: Advance directly to slide 20.</w:t>
      </w:r>
    </w:p>
    <w:p>
      <w:pPr>
        <w:pStyle w:val="Heading2"/>
      </w:pPr>
      <w:r>
        <w:t>Slide 20 Global bond yields have risen</w:t>
      </w:r>
    </w:p>
    <w:p>
      <w:pPr>
        <w:keepNext/>
        <w:spacing w:after="100"/>
      </w:pPr>
      <w:r>
        <w:rPr>
          <w:color w:val="444444"/>
          <w:sz w:val="18"/>
        </w:rPr>
        <w:t>7:51–8:20  •  29 seconds  •  Cue: Avoid describing the August monthly average as today’s yield.  Sources: Deck slide 20</w:t>
      </w:r>
    </w:p>
    <w:p>
      <w:pPr>
        <w:keepLines/>
      </w:pPr>
      <w:r>
        <w:rPr>
          <w:b/>
        </w:rPr>
        <w:t>Markets:</w:t>
      </w:r>
      <w:r>
        <w:t xml:space="preserve"> Longer-term yields have risen across major economies. These borrowing costs already restrain housing and investment, strengthening the case for caution. But nominal yields combine expected real rates, inflation compensation, and term premiums. A higher ten-year yield does not by itself establish a restrictive policy stance, and some of the increase may already anticipate Fed action.</w:t>
      </w:r>
    </w:p>
    <w:p>
      <w:pPr>
        <w:pStyle w:val="Heading2"/>
      </w:pPr>
      <w:r>
        <w:t>Slide 21 Broad financial conditions remain supportive</w:t>
      </w:r>
    </w:p>
    <w:p>
      <w:pPr>
        <w:keepNext/>
        <w:spacing w:after="100"/>
      </w:pPr>
      <w:r>
        <w:rPr>
          <w:color w:val="444444"/>
          <w:sz w:val="18"/>
        </w:rPr>
        <w:t>8:20–8:56  •  36 seconds  •  Cue: Point to the positive Bloomberg index reading.  Sources: S15; deck slide 21</w:t>
      </w:r>
    </w:p>
    <w:p>
      <w:pPr>
        <w:keepLines/>
      </w:pPr>
      <w:r>
        <w:rPr>
          <w:b/>
        </w:rPr>
        <w:t>Markets:</w:t>
      </w:r>
      <w:r>
        <w:t xml:space="preserve"> Bloomberg’s index combines money, bond, and equity market conditions relative to historical norms. Its positive reading indicates relatively easy conditions on that measure, despite higher government yields. Our financial forecast through early 2027 is continued credit availability alongside elevated borrowing costs, a team judgment derived from this index and the yield charts, assuming credit spreads stay contained. An equity correction or widening credit spreads would weaken that baseline.</w:t>
      </w:r>
    </w:p>
    <w:p>
      <w:pPr>
        <w:pStyle w:val="Heading2"/>
      </w:pPr>
      <w:r>
        <w:t>Slide 22 Repo market conditions</w:t>
      </w:r>
    </w:p>
    <w:p>
      <w:pPr>
        <w:keepNext/>
        <w:spacing w:after="100"/>
      </w:pPr>
      <w:r>
        <w:rPr>
          <w:color w:val="444444"/>
          <w:sz w:val="18"/>
        </w:rPr>
        <w:t>8:56–9:21  •  25 seconds  •  Cue: Point to the spread returning near zero.  Sources: S16; deck slide 22</w:t>
      </w:r>
    </w:p>
    <w:p>
      <w:pPr>
        <w:keepLines/>
      </w:pPr>
      <w:r>
        <w:rPr>
          <w:b/>
        </w:rPr>
        <w:t>Markets:</w:t>
      </w:r>
      <w:r>
        <w:t xml:space="preserve"> The gap between the secured overnight financing rate and the effective federal funds rate is near zero after earlier volatility. That is consistent with orderly funding, though one spread cannot prove reserves are ample. We would also monitor repo volumes, reserve demand, and standing repo facility use.</w:t>
      </w:r>
    </w:p>
    <w:p>
      <w:pPr>
        <w:pStyle w:val="Heading1"/>
        <w:pageBreakBefore/>
      </w:pPr>
      <w:r>
        <w:t>Policy debate</w:t>
      </w:r>
    </w:p>
    <w:p>
      <w:pPr>
        <w:pStyle w:val="Heading2"/>
      </w:pPr>
      <w:r>
        <w:t>Slide 23 Policy discussion divider</w:t>
      </w:r>
    </w:p>
    <w:p>
      <w:pPr>
        <w:keepNext/>
        <w:spacing w:after="100"/>
      </w:pPr>
      <w:r>
        <w:rPr>
          <w:color w:val="444444"/>
          <w:sz w:val="18"/>
        </w:rPr>
        <w:t>9:21–9:27  •  6 seconds  •  Cue: Keep the handoff conversational.</w:t>
      </w:r>
    </w:p>
    <w:p>
      <w:pPr>
        <w:keepLines/>
      </w:pPr>
      <w:r>
        <w:rPr>
          <w:b/>
        </w:rPr>
        <w:t>Chair:</w:t>
      </w:r>
      <w:r>
        <w:t xml:space="preserve"> Let us weigh holding rates against another measured increase.</w:t>
      </w:r>
    </w:p>
    <w:p>
      <w:pPr>
        <w:pStyle w:val="Heading2"/>
      </w:pPr>
      <w:r>
        <w:t>Slide 24 Assessing the policy stance</w:t>
      </w:r>
    </w:p>
    <w:p>
      <w:pPr>
        <w:keepNext/>
        <w:spacing w:after="100"/>
      </w:pPr>
      <w:r>
        <w:rPr>
          <w:color w:val="444444"/>
          <w:sz w:val="18"/>
        </w:rPr>
        <w:t>9:27–11:10  •  103 seconds  •  Cue: Speakers look toward one another; acknowledge the charts use backward-looking inflation.  Sources: S17, S18; deck slide 24</w:t>
      </w:r>
    </w:p>
    <w:p>
      <w:pPr>
        <w:keepLines/>
      </w:pPr>
      <w:r>
        <w:rPr>
          <w:b/>
        </w:rPr>
        <w:t>Markets:</w:t>
      </w:r>
      <w:r>
        <w:t xml:space="preserve"> The neutral real rate would balance demand with supply at stable inflation. The historical real-rate chart sits below the model estimates of neutral. But subtracting past inflation is backward looking. We need expected inflation over a matching horizon, and neutral-rate estimates are uncertain. Strong AI investment could raise neutral, but we cannot measure that change precisely.</w:t>
      </w:r>
    </w:p>
    <w:p>
      <w:pPr>
        <w:keepLines/>
      </w:pPr>
      <w:r>
        <w:rPr>
          <w:b/>
        </w:rPr>
        <w:t>Labor:</w:t>
      </w:r>
      <w:r>
        <w:t xml:space="preserve"> Then why act again so soon after September? Dallas trimmed inflation is close to target, payroll growth slowed, and higher bond yields are already transmitting restraint. A few weeks cannot reveal September’s full effect. Another hike could weaken hiring just as earlier restraint takes effect.</w:t>
      </w:r>
    </w:p>
    <w:p>
      <w:pPr>
        <w:keepLines/>
      </w:pPr>
      <w:r>
        <w:rPr>
          <w:b/>
        </w:rPr>
        <w:t>Growth:</w:t>
      </w:r>
      <w:r>
        <w:t xml:space="preserve"> That is the strongest case for holding. Yet private domestic demand remains strong, and AI investment can sustain demand before its productivity benefits arrive. Waiting also carries a cost if repeated shocks broaden price pressures. Our baseline therefore favors a small additional step, while recognizing that a pause is defensible.</w:t>
      </w:r>
    </w:p>
    <w:p>
      <w:pPr>
        <w:keepLines/>
      </w:pPr>
      <w:r>
        <w:rPr>
          <w:b/>
        </w:rPr>
        <w:t>Inflation:</w:t>
      </w:r>
      <w:r>
        <w:t xml:space="preserve"> As President Anna Paulson wrote in August, “Persistently elevated inflation suggests more restrictive policy may be needed.” Her conditional argument supports examining persistence. Our purpose is to limit firms’ ability to pass through repeated cost increases, while recognizing the recent inflation improvement.</w:t>
      </w:r>
    </w:p>
    <w:p>
      <w:pPr>
        <w:pStyle w:val="Heading2"/>
      </w:pPr>
      <w:r>
        <w:t>Slide 25 The Phillips curve and policy risks</w:t>
      </w:r>
    </w:p>
    <w:p>
      <w:pPr>
        <w:keepNext/>
        <w:spacing w:after="100"/>
      </w:pPr>
      <w:r>
        <w:rPr>
          <w:color w:val="444444"/>
          <w:sz w:val="18"/>
        </w:rPr>
        <w:t>11:10–12:41  •  91 seconds  •  Cue: Describe the scatter as illustrative evidence, not a causal estimate.  Sources: S19, S20</w:t>
      </w:r>
    </w:p>
    <w:p>
      <w:pPr>
        <w:keepLines/>
      </w:pPr>
      <w:r>
        <w:rPr>
          <w:b/>
        </w:rPr>
        <w:t>Chair:</w:t>
      </w:r>
      <w:r>
        <w:t xml:space="preserve"> Could inflation fall without a large increase in unemployment?</w:t>
      </w:r>
    </w:p>
    <w:p>
      <w:pPr>
        <w:keepLines/>
      </w:pPr>
      <w:r>
        <w:rPr>
          <w:b/>
        </w:rPr>
        <w:t>Inflation:</w:t>
      </w:r>
      <w:r>
        <w:t xml:space="preserve"> A steeper Phillips curve allows that possibility. Governor Waller explained in 2023 that “the frequency of price changes determines the slope of the Phillips curve.” The Inflation Accelerator research also describes how more frequent repricing can amplify shocks.</w:t>
      </w:r>
    </w:p>
    <w:p>
      <w:pPr>
        <w:keepLines/>
      </w:pPr>
      <w:r>
        <w:rPr>
          <w:b/>
        </w:rPr>
        <w:t>Labor:</w:t>
      </w:r>
      <w:r>
        <w:t xml:space="preserve"> But this scatter plot cannot locate a stable kink or prove a low employment cost today. Vacancies near one per unemployed worker also suggest the exceptional pandemic imbalance has faded.</w:t>
      </w:r>
    </w:p>
    <w:p>
      <w:pPr>
        <w:keepLines/>
      </w:pPr>
      <w:r>
        <w:rPr>
          <w:b/>
        </w:rPr>
        <w:t>Markets:</w:t>
      </w:r>
      <w:r>
        <w:t xml:space="preserve"> A higher policy rate affects financing costs and expectations of future rates, slowing borrowing, spending, and investment. That reduces demand pressure on prices, with uncertain lags. The costs fall especially on new borrowers, credit-dependent small firms, and jobseekers.</w:t>
      </w:r>
    </w:p>
    <w:p>
      <w:pPr>
        <w:keepLines/>
      </w:pPr>
      <w:r>
        <w:rPr>
          <w:b/>
        </w:rPr>
        <w:t>Chair:</w:t>
      </w:r>
      <w:r>
        <w:t xml:space="preserve"> Agreed. Twenty-five basis points balances those costs against persistence risk more cautiously than fifty. Sustained underlying disinflation would favor a pause. A material deterioration in employment and demand could justify easing. Further tightening would require persistent broad inflation pressure and resilient demand. We are not committing to a preset path.</w:t>
      </w:r>
    </w:p>
    <w:p>
      <w:pPr>
        <w:pStyle w:val="Heading1"/>
        <w:pageBreakBefore/>
      </w:pPr>
      <w:r>
        <w:t>Decision and close</w:t>
      </w:r>
    </w:p>
    <w:p>
      <w:pPr>
        <w:pStyle w:val="Heading2"/>
      </w:pPr>
      <w:r>
        <w:t>Slide 26 Policy decision divider</w:t>
      </w:r>
    </w:p>
    <w:p>
      <w:pPr>
        <w:keepNext w:val="0"/>
        <w:spacing w:after="100"/>
      </w:pPr>
      <w:r>
        <w:rPr>
          <w:color w:val="444444"/>
          <w:sz w:val="18"/>
        </w:rPr>
        <w:t>12:41–12:42  •  1 second  •  Cue: Advance directly to slide 27.</w:t>
      </w:r>
    </w:p>
    <w:p>
      <w:pPr>
        <w:pStyle w:val="Heading2"/>
      </w:pPr>
      <w:r>
        <w:t>Slide 27 Rate and balance sheet decision</w:t>
      </w:r>
    </w:p>
    <w:p>
      <w:pPr>
        <w:keepNext/>
        <w:spacing w:after="100"/>
      </w:pPr>
      <w:r>
        <w:rPr>
          <w:color w:val="444444"/>
          <w:sz w:val="18"/>
        </w:rPr>
        <w:t>12:42–13:47  •  65 seconds  •  Cue: Chair announces the rate decision; Markets explains implementation.  Sources: S1, S21</w:t>
      </w:r>
    </w:p>
    <w:p>
      <w:pPr>
        <w:keepLines/>
      </w:pPr>
      <w:r>
        <w:rPr>
          <w:b/>
        </w:rPr>
        <w:t>Chair:</w:t>
      </w:r>
      <w:r>
        <w:t xml:space="preserve"> I move to raise the target range by one-quarter percentage point, from three and three-quarters to four percent, to four to four and a quarter percent, while maintaining ample reserves. All in favor?</w:t>
      </w:r>
    </w:p>
    <w:p>
      <w:pPr>
        <w:keepLines/>
      </w:pPr>
      <w:r>
        <w:rPr>
          <w:b/>
        </w:rPr>
        <w:t>Growth:</w:t>
      </w:r>
      <w:r>
        <w:t xml:space="preserve"> Aye.</w:t>
      </w:r>
    </w:p>
    <w:p>
      <w:pPr>
        <w:keepLines/>
      </w:pPr>
      <w:r>
        <w:rPr>
          <w:b/>
        </w:rPr>
        <w:t>Inflation:</w:t>
      </w:r>
      <w:r>
        <w:t xml:space="preserve"> Aye.</w:t>
      </w:r>
    </w:p>
    <w:p>
      <w:pPr>
        <w:keepLines/>
      </w:pPr>
      <w:r>
        <w:rPr>
          <w:b/>
        </w:rPr>
        <w:t>Markets:</w:t>
      </w:r>
      <w:r>
        <w:t xml:space="preserve"> Aye.</w:t>
      </w:r>
    </w:p>
    <w:p>
      <w:pPr>
        <w:keepLines/>
      </w:pPr>
      <w:r>
        <w:rPr>
          <w:b/>
        </w:rPr>
        <w:t>Labor:</w:t>
      </w:r>
      <w:r>
        <w:t xml:space="preserve"> Aye, with close attention to hiring before another move.</w:t>
      </w:r>
    </w:p>
    <w:p>
      <w:pPr>
        <w:keepLines/>
      </w:pPr>
      <w:r>
        <w:rPr>
          <w:b/>
        </w:rPr>
        <w:t>Chair:</w:t>
      </w:r>
      <w:r>
        <w:t xml:space="preserve"> I also vote aye. The recommendation is adopted, five to zero.</w:t>
      </w:r>
    </w:p>
    <w:p>
      <w:pPr>
        <w:keepLines/>
      </w:pPr>
      <w:r>
        <w:rPr>
          <w:b/>
        </w:rPr>
        <w:t>Markets:</w:t>
      </w:r>
      <w:r>
        <w:t xml:space="preserve"> We would maintain ample reserves and use reserve management purchases if needed for rate control. Those purchases serve implementation rather than an easing objective. The Board would adjust interest on reserve balances, with overnight reverse repos supporting control of short-term rates. No additional balance-sheet tightening is proposed.</w:t>
      </w:r>
    </w:p>
    <w:p>
      <w:pPr>
        <w:pStyle w:val="Heading2"/>
      </w:pPr>
      <w:r>
        <w:t>Slide 28 Balance of risks and close</w:t>
      </w:r>
    </w:p>
    <w:p>
      <w:pPr>
        <w:keepNext/>
        <w:spacing w:after="100"/>
      </w:pPr>
      <w:r>
        <w:rPr>
          <w:color w:val="444444"/>
          <w:sz w:val="18"/>
        </w:rPr>
        <w:t>13:47–14:34  •  47 seconds  •  Cue: Hold this slide through the close. Do not proceed into the appendix.  Sources: S22</w:t>
      </w:r>
    </w:p>
    <w:p>
      <w:pPr>
        <w:keepLines/>
      </w:pPr>
      <w:r>
        <w:rPr>
          <w:b/>
        </w:rPr>
        <w:t>Chair:</w:t>
      </w:r>
      <w:r>
        <w:t xml:space="preserve"> We propose restoring an explicit balance-of-risks sentence: “The Committee judges that risks remain weighted toward persistent inflation, while remaining attentive to downside risks to employment.” The historical framework was adopted in December 1999 and announced in January 2000. Our upside risk is broader inflation persistence. Our downside risk is weaker hiring combined with an asset-price correction. This statement explains our judgment without promising more hikes. We will respond as the evidence changes. Our objective is a timelier return to price stability while sustaining maximum employment. Thank you.</w:t>
      </w:r>
    </w:p>
    <w:p>
      <w:pPr>
        <w:pStyle w:val="Heading1"/>
        <w:pageBreakBefore/>
      </w:pPr>
      <w:r>
        <w:t>Recording corrections and rubric review</w:t>
      </w:r>
    </w:p>
    <w:p>
      <w:r>
        <w:t>These notes resolve conflicts between the finalized charts, embedded PowerPoint notes, the themes document, and current releases. They are not spoken text.</w:t>
      </w:r>
    </w:p>
    <w:p>
      <w:r>
        <w:rPr>
          <w:b/>
        </w:rPr>
        <w:t>Slide 4.</w:t>
      </w:r>
      <w:r>
        <w:t xml:space="preserve"> Use the revised Q2 GDP growth rate of 2.2% annualized and private domestic final sales growth of 4.6%. The embedded notes’ 1.8% first-half growth and 4.2% private-demand figure are older vintages. The 3.7% Q3 forecast is the team’s adoption of GDPNow, not a separate team model or an official Atlanta Fed staff forecast. [S2–S3]</w:t>
      </w:r>
    </w:p>
    <w:p>
      <w:r>
        <w:rPr>
          <w:b/>
        </w:rPr>
        <w:t>Slide 9.</w:t>
      </w:r>
      <w:r>
        <w:t xml:space="preserve"> The chart shows forecasts of 3.8% headline and 3.4% core. The October 2 Cleveland update gives October year-over-year PCE forecasts of 3.66% and 3.10%; the script rounds these to 3.7% and 3.1%. September nowcasts are 3.56% and 3.02%. Label the horizon and vintage if updating the chart. With the original slide, retain the spoken update sentence. Dallas trimmed mean is 2.2% over 12 months; it is not designed always to run lower. [S7–S8]</w:t>
      </w:r>
    </w:p>
    <w:p>
      <w:r>
        <w:rPr>
          <w:b/>
        </w:rPr>
        <w:t>Slides 10 and 13.</w:t>
      </w:r>
      <w:r>
        <w:t xml:space="preserve"> Slide 10 lacks clear month labels, so the script does not read its percentage endpoints. On slide 13, the chart’s real hourly earnings endpoint is −0.2%, whereas the BLS August release reports −0.3% year over year. The script states the robust qualitative conclusion that earnings declined. Avoid the unverified ECI bracketed number and unsupported national wage-price spiral claim. [S11]</w:t>
      </w:r>
    </w:p>
    <w:p>
      <w:r>
        <w:rPr>
          <w:b/>
        </w:rPr>
        <w:t>Slides 15–18.</w:t>
      </w:r>
      <w:r>
        <w:t xml:space="preserve"> Payroll changes of 29,000 in September and revised 133,000 in August are not job openings. The 162,000 August figure in older notes is superseded. The breakeven payroll range is uncertain and should be assessed over several months. Claims are a Department of Labor series; JOLTS is a BLS survey. [S12–S14]</w:t>
      </w:r>
    </w:p>
    <w:p>
      <w:r>
        <w:rPr>
          <w:b/>
        </w:rPr>
        <w:t>Slides 20–25.</w:t>
      </w:r>
      <w:r>
        <w:t xml:space="preserve"> Slide 20 displays monthly averages through August; do not call the U.S. endpoint today’s 5% ten-year yield. Financial conditions indexes describe relative conditions, not the neutral policy rate. Slide 24 mixes historical headline- and core-deflated rates and is not a current forward-looking stance estimate. Fed funds futures price policy rates, not inflation directly. The Phillips-curve scatter and vacancies near one do not establish a causal kink or costless tightening. [S15–S20]</w:t>
      </w:r>
    </w:p>
    <w:p>
      <w:r>
        <w:rPr>
          <w:b/>
        </w:rPr>
        <w:t>Slides 27–28.</w:t>
      </w:r>
      <w:r>
        <w:t xml:space="preserve"> Keep the 25-basis-point increase consistent with the current 3.75–4.00% range. The short vote is the five-person simulation. The proposed statement image is dated October 5, while the title and recording use October 4. Balance-of-risks disclosure was adopted in December 1999 and announced January 2000. Treasury repo-investment speculation is unnecessary to this recommendation. [S1, S21–S22]</w:t>
      </w:r>
    </w:p>
    <w:p>
      <w:pPr>
        <w:pStyle w:val="Heading2"/>
      </w:pPr>
      <w:r>
        <w:t>Changes after independent rubric review</w:t>
      </w:r>
    </w:p>
    <w:p>
      <w:r>
        <w:t>A second agent reviewed the completed first draft against all five categories. The revision strengthens the reason to hike now rather than wait, adds transmission and uneven economic costs, defines forecast horizons, states pause/easing conditions, and conducts the promised vote. The review placed written knowledge and organization around the 8–9 band and research near 8 before revision. Delivery, coordination, and answers under pressure were not observed; no total score or promised final score is assigned.</w:t>
      </w:r>
    </w:p>
    <w:p>
      <w:pPr>
        <w:pStyle w:val="Heading1"/>
        <w:pageBreakBefore/>
      </w:pPr>
      <w:r>
        <w:t>Appendix responses for slides 29 to 35</w:t>
      </w:r>
    </w:p>
    <w:p>
      <w:r>
        <w:t>Optional responses only. None of the appendix is included in the 15-minute timing. Use these if a judge asks for supporting evidence. The numbering matches the supplied deck, including slides without titles.</w:t>
      </w:r>
    </w:p>
    <w:p>
      <w:pPr>
        <w:pStyle w:val="Heading2"/>
      </w:pPr>
      <w:r>
        <w:t>Slide 29 Appendix divider</w:t>
      </w:r>
    </w:p>
    <w:p>
      <w:r>
        <w:rPr>
          <w:b/>
        </w:rPr>
        <w:t>Chair:</w:t>
      </w:r>
      <w:r>
        <w:t xml:space="preserve"> Our appendix contains supporting evidence for the questions that follow.</w:t>
      </w:r>
    </w:p>
    <w:p>
      <w:pPr>
        <w:pStyle w:val="Heading2"/>
      </w:pPr>
      <w:r>
        <w:t>Slide 30 Wages and services</w:t>
      </w:r>
    </w:p>
    <w:p>
      <w:r>
        <w:rPr>
          <w:b/>
        </w:rPr>
        <w:t>Labor:</w:t>
      </w:r>
      <w:r>
        <w:t xml:space="preserve"> The two series can move together, but that alone does not establish a wage-price spiral. Wage setting, productivity, and service-price measurement all matter. Our main conclusion remains that wages are not clearly the primary inflation driver.</w:t>
      </w:r>
    </w:p>
    <w:p>
      <w:pPr>
        <w:pStyle w:val="Heading2"/>
      </w:pPr>
      <w:r>
        <w:t>Slide 31 Contributions to GDP growth</w:t>
      </w:r>
    </w:p>
    <w:p>
      <w:r>
        <w:rPr>
          <w:b/>
        </w:rPr>
        <w:t>Growth:</w:t>
      </w:r>
      <w:r>
        <w:t xml:space="preserve"> GDP adds consumption, investment, government purchases, and net exports. The chart helps explain why strong private spending can coexist with more moderate GDP growth. Imports remove foreign production already counted in spending. The annual revisions mean older contribution panels may not match the latest headline figures.</w:t>
      </w:r>
    </w:p>
    <w:p>
      <w:pPr>
        <w:pStyle w:val="Heading2"/>
      </w:pPr>
      <w:r>
        <w:t>Slide 32 Producer prices</w:t>
      </w:r>
    </w:p>
    <w:p>
      <w:r>
        <w:rPr>
          <w:b/>
        </w:rPr>
        <w:t>Inflation:</w:t>
      </w:r>
      <w:r>
        <w:t xml:space="preserve"> Producer prices show where input pressures are concentrated. Their effect on consumer prices depends on margins, contracts, competition, and demand. We treat them as evidence of a risk rather than a mechanical consumer-inflation forecast.</w:t>
      </w:r>
    </w:p>
    <w:p>
      <w:pPr>
        <w:pStyle w:val="Heading2"/>
      </w:pPr>
      <w:r>
        <w:t>Slide 33 Sentiment and wage growth</w:t>
      </w:r>
    </w:p>
    <w:p>
      <w:r>
        <w:rPr>
          <w:b/>
        </w:rPr>
        <w:t>Labor:</w:t>
      </w:r>
      <w:r>
        <w:t xml:space="preserve"> These rebased series help compare movement, not levels or causal effects. Households can report low confidence while aggregate spending stays resilient, especially when inflation erodes purchasing power unevenly.</w:t>
      </w:r>
    </w:p>
    <w:p>
      <w:pPr>
        <w:pStyle w:val="Heading2"/>
      </w:pPr>
      <w:r>
        <w:t>Slide 34 Bond yields and financial conditions</w:t>
      </w:r>
    </w:p>
    <w:p>
      <w:r>
        <w:rPr>
          <w:b/>
        </w:rPr>
        <w:t>Markets:</w:t>
      </w:r>
      <w:r>
        <w:t xml:space="preserve"> Treasury yields reflect expected policy rates and term premiums as well as inflation. Changes in investor demand and debt supply can move yields without an equivalent change in expected inflation. Broad financial conditions therefore provide a useful cross-check.</w:t>
      </w:r>
    </w:p>
    <w:p>
      <w:pPr>
        <w:pStyle w:val="Heading2"/>
      </w:pPr>
      <w:r>
        <w:t>Slide 35 Household delinquency</w:t>
      </w:r>
    </w:p>
    <w:p>
      <w:r>
        <w:rPr>
          <w:b/>
        </w:rPr>
        <w:t>Labor:</w:t>
      </w:r>
      <w:r>
        <w:t xml:space="preserve"> The delinquency charts show that aggregate resilience can coexist with borrower distress. Definitions, reporting changes, and chart vintages matter, particularly for student loans. This reinforces our preference for a small move and attention to household vulnerability.</w:t>
      </w:r>
    </w:p>
    <w:p>
      <w:pPr>
        <w:spacing w:after="100"/>
      </w:pPr>
      <w:r>
        <w:rPr>
          <w:color w:val="444444"/>
          <w:sz w:val="18"/>
        </w:rPr>
        <w:t>Slide 30’s title asserts a potential spiral more strongly than the main evidence supports. Slide 35 panels use different vintages and should not be presented as a synchronized current snapshot.</w:t>
      </w:r>
    </w:p>
    <w:p>
      <w:pPr>
        <w:pStyle w:val="Heading1"/>
        <w:pageBreakBefore/>
      </w:pPr>
      <w:r>
        <w:t>Appendix responses for slides 36 to 41</w:t>
      </w:r>
    </w:p>
    <w:p>
      <w:pPr>
        <w:pStyle w:val="Heading2"/>
      </w:pPr>
      <w:r>
        <w:t>Slide 36 Business activity and growth momentum</w:t>
      </w:r>
    </w:p>
    <w:p>
      <w:r>
        <w:rPr>
          <w:b/>
        </w:rPr>
        <w:t>Growth:</w:t>
      </w:r>
      <w:r>
        <w:t xml:space="preserve"> A composite purchasing managers’ index above fifty signals expansion relative to the prior month. Backlogs can support future production, but they can also reflect bottlenecks. It is a diffusion index, not a GDP growth rate.</w:t>
      </w:r>
    </w:p>
    <w:p>
      <w:pPr>
        <w:pStyle w:val="Heading2"/>
      </w:pPr>
      <w:r>
        <w:t>Slide 37 Household spending expectations</w:t>
      </w:r>
    </w:p>
    <w:p>
      <w:r>
        <w:rPr>
          <w:b/>
        </w:rPr>
        <w:t>Growth:</w:t>
      </w:r>
      <w:r>
        <w:t xml:space="preserve"> This chart measures expected spending growth in dollars, so it combines expected quantities and prices. It cannot on its own demonstrate stronger real demand or identify the effect of tariffs.</w:t>
      </w:r>
    </w:p>
    <w:p>
      <w:pPr>
        <w:pStyle w:val="Heading2"/>
      </w:pPr>
      <w:r>
        <w:t>Slide 38 Household and market inflation expectations</w:t>
      </w:r>
    </w:p>
    <w:p>
      <w:r>
        <w:rPr>
          <w:b/>
        </w:rPr>
        <w:t>Inflation:</w:t>
      </w:r>
      <w:r>
        <w:t xml:space="preserve"> The household survey and the five-year, five-year-forward market measure ask different questions over different horizons. Market inflation compensation also contains premiums. Their divergence supports monitoring several measures rather than declaring either one wrong.</w:t>
      </w:r>
    </w:p>
    <w:p>
      <w:pPr>
        <w:pStyle w:val="Heading2"/>
      </w:pPr>
      <w:r>
        <w:t>Slide 39 Corporate credit spreads</w:t>
      </w:r>
    </w:p>
    <w:p>
      <w:r>
        <w:rPr>
          <w:b/>
        </w:rPr>
        <w:t>Markets:</w:t>
      </w:r>
      <w:r>
        <w:t xml:space="preserve"> Tight credit spreads indicate limited compensation for credit risk, helping explain continued credit availability. But all-in borrowing costs can still be high when Treasury yields rise. A sharp widening would be a downside signal.</w:t>
      </w:r>
    </w:p>
    <w:p>
      <w:pPr>
        <w:pStyle w:val="Heading2"/>
      </w:pPr>
      <w:r>
        <w:t>Slide 40 Chicago financial conditions index</w:t>
      </w:r>
    </w:p>
    <w:p>
      <w:r>
        <w:rPr>
          <w:b/>
        </w:rPr>
        <w:t>Markets:</w:t>
      </w:r>
      <w:r>
        <w:t xml:space="preserve"> Unlike the Bloomberg index, negative Chicago NFCI readings indicate conditions looser than their historical average. The chart offers a second check on financial conditions. Neither index directly estimates the policy rate relative to neutral.</w:t>
      </w:r>
    </w:p>
    <w:p>
      <w:pPr>
        <w:pStyle w:val="Heading2"/>
      </w:pPr>
      <w:r>
        <w:t>Slide 41 Credit and saving</w:t>
      </w:r>
    </w:p>
    <w:p>
      <w:r>
        <w:rPr>
          <w:b/>
        </w:rPr>
        <w:t>Growth:</w:t>
      </w:r>
      <w:r>
        <w:t xml:space="preserve"> Rising revolving credit and lower saving can support spending temporarily, while making households more exposed to shocks. Correlation does not prove spending is credit financed. The latest BEA release reports an August saving rate of four-point-one percent, so the older saving chart should be read as a historical snapshot.</w:t>
      </w:r>
    </w:p>
    <w:p>
      <w:pPr>
        <w:spacing w:after="100"/>
      </w:pPr>
      <w:r>
        <w:rPr>
          <w:color w:val="444444"/>
          <w:sz w:val="18"/>
        </w:rPr>
        <w:t>Slide 37 is titled as a hypothetical tariff slide, but its displayed image is a spending-expectations chart. Use the response above for the image actually present. Slide 40 is visible despite sitting within the appendix. [S4, S23]</w:t>
      </w:r>
    </w:p>
    <w:p>
      <w:pPr>
        <w:pStyle w:val="Heading1"/>
        <w:pageBreakBefore/>
      </w:pPr>
      <w:r>
        <w:t>Questions to rehearse</w:t>
      </w:r>
    </w:p>
    <w:p>
      <w:pPr>
        <w:pStyle w:val="Heading2"/>
      </w:pPr>
      <w:r>
        <w:t>Why hike when energy is the problem</w:t>
      </w:r>
    </w:p>
    <w:p>
      <w:r>
        <w:rPr>
          <w:b/>
        </w:rPr>
        <w:t>Inflation:</w:t>
      </w:r>
      <w:r>
        <w:t xml:space="preserve"> Rates cannot reverse the initial energy shortage. Our case depends on repeated shocks interacting with resilient demand and price setting. If cost pressures fade while core and trimmed measures improve sustainably, a pause is preferable. We do not infer the correct rate change from oil prices alone.</w:t>
      </w:r>
    </w:p>
    <w:p>
      <w:pPr>
        <w:pStyle w:val="Heading2"/>
      </w:pPr>
      <w:r>
        <w:t>Why not wait after September</w:t>
      </w:r>
    </w:p>
    <w:p>
      <w:r>
        <w:rPr>
          <w:b/>
        </w:rPr>
        <w:t>Chair:</w:t>
      </w:r>
      <w:r>
        <w:t xml:space="preserve"> Holding is credible because the effects of September’s hike are still unfolding. We choose a modest increase because our baseline combines resilient spending and investment with inflation remaining above target. This is a risk-management judgment, not a claim that September’s move has failed.</w:t>
      </w:r>
    </w:p>
    <w:p>
      <w:pPr>
        <w:pStyle w:val="Heading2"/>
      </w:pPr>
      <w:r>
        <w:t>What would change the recommendation</w:t>
      </w:r>
    </w:p>
    <w:p>
      <w:r>
        <w:rPr>
          <w:b/>
        </w:rPr>
        <w:t>Labor:</w:t>
      </w:r>
      <w:r>
        <w:t xml:space="preserve"> Several months of weaker payrolls, rising claims, and falling hiring would shift us toward holding or easing, especially if underlying inflation also declined. One noisy payroll release is insufficient. Persistent broad inflation with resilient demand would support reconsidering further restraint.</w:t>
      </w:r>
    </w:p>
    <w:p>
      <w:pPr>
        <w:pStyle w:val="Heading2"/>
      </w:pPr>
      <w:r>
        <w:t>How does a rate hike coexist with reserve purchases</w:t>
      </w:r>
    </w:p>
    <w:p>
      <w:r>
        <w:rPr>
          <w:b/>
        </w:rPr>
        <w:t>Markets:</w:t>
      </w:r>
      <w:r>
        <w:t xml:space="preserve"> The target rate expresses the desired monetary stance. Reserve management purchases maintain the supply of reserves needed to control overnight rates. Their aim differs from large-scale purchases intended to lower longer-term yields. Maintain that distinction in the policy statement.</w:t>
      </w:r>
    </w:p>
    <w:p>
      <w:pPr>
        <w:pStyle w:val="Heading2"/>
      </w:pPr>
      <w:r>
        <w:t>What are the operating rates after the proposal</w:t>
      </w:r>
    </w:p>
    <w:p>
      <w:r>
        <w:rPr>
          <w:b/>
        </w:rPr>
        <w:t>Markets:</w:t>
      </w:r>
      <w:r>
        <w:t xml:space="preserve"> If the existing spreads are preserved, our illustrative implementation is IORB at 4.15%, overnight reverse repos at 4.00%, and standing repo operations at 4.25%. These are proposed settings derived by adding 25 basis points to the September implementation rates, not announced Federal Reserve decisions. The Board sets IORB. [S21]</w:t>
      </w:r>
    </w:p>
    <w:p>
      <w:pPr>
        <w:pStyle w:val="Heading2"/>
      </w:pPr>
      <w:r>
        <w:t>Why is the real-rate chart insufficient</w:t>
      </w:r>
    </w:p>
    <w:p>
      <w:r>
        <w:rPr>
          <w:b/>
        </w:rPr>
        <w:t>Markets:</w:t>
      </w:r>
      <w:r>
        <w:t xml:space="preserve"> Subtracting trailing inflation from an overnight rate is an ex-post proxy. A policy-stance comparison needs expected inflation over a comparable horizon and a relevant neutral-rate estimate. Neither the long-run projection nor the historical chart measures current short-run neutral precisely.</w:t>
      </w:r>
    </w:p>
    <w:p>
      <w:pPr>
        <w:pStyle w:val="Heading2"/>
      </w:pPr>
      <w:r>
        <w:t>Are these your forecasts or the Reserve Banks’ forecasts</w:t>
      </w:r>
    </w:p>
    <w:p>
      <w:r>
        <w:rPr>
          <w:b/>
        </w:rPr>
        <w:t>Growth:</w:t>
      </w:r>
      <w:r>
        <w:t xml:space="preserve"> We adopt published GDPNow and Cleveland estimates as the numerical starting points for our near-term forecasts. We have not independently re-estimated those models. Our broader outlook through early 2027 is qualitative team judgment, conditioned on continued investment, contained credit spreads, and no major escalation of supply disruption.</w:t>
      </w:r>
    </w:p>
    <w:p>
      <w:pPr>
        <w:pStyle w:val="Heading2"/>
      </w:pPr>
      <w:r>
        <w:t>Does the Phillips curve prove a painless hike</w:t>
      </w:r>
    </w:p>
    <w:p>
      <w:r>
        <w:rPr>
          <w:b/>
        </w:rPr>
        <w:t>Inflation:</w:t>
      </w:r>
      <w:r>
        <w:t xml:space="preserve"> No. The chart is descriptive, and the relationship can shift with expectations and price-setting behavior. Waller’s historical discussion and the Inflation Accelerator paper motivate a mechanism, not a numerical forecast of today’s employment cost.</w:t>
      </w:r>
    </w:p>
    <w:p>
      <w:pPr>
        <w:spacing w:after="100"/>
      </w:pPr>
      <w:r>
        <w:rPr>
          <w:color w:val="444444"/>
          <w:sz w:val="18"/>
        </w:rPr>
        <w:t>Answer the question first, then give one piece of evidence and the key qualification. Let the assigned lead finish before another speaker adds a distinct point. Use follow-up drills to test whether every member can explain the recommendation.</w:t>
      </w:r>
    </w:p>
    <w:p>
      <w:pPr>
        <w:pStyle w:val="Heading1"/>
        <w:pageBreakBefore/>
      </w:pPr>
      <w:r>
        <w:t>Sources for economic conditions</w:t>
      </w:r>
    </w:p>
    <w:p>
      <w:r>
        <w:t>Source labels beside the script are preparation references, not words to read aloud. Links lead to primary releases, methods, or original research. The supplied charts remain the source for visual descriptions where noted.</w:t>
      </w:r>
    </w:p>
    <w:p>
      <w:pPr>
        <w:keepNext/>
      </w:pPr>
      <w:r/>
      <w:r>
        <w:rPr>
          <w:b/>
        </w:rPr>
        <w:t xml:space="preserve">S1  </w:t>
      </w:r>
      <w:hyperlink r:id="rId10">
        <w:r>
          <w:rPr>
            <w:color w:val="174A75"/>
          </w:rPr>
          <w:t>Federal Reserve FOMC statement</w:t>
        </w:r>
      </w:hyperlink>
    </w:p>
    <w:p>
      <w:pPr>
        <w:spacing w:after="160"/>
      </w:pPr>
      <w:r>
        <w:rPr>
          <w:color w:val="444444"/>
          <w:sz w:val="18"/>
        </w:rPr>
        <w:t>September 16, 2026. Current target range and ample-reserves policy; the team’s next increase is a proposal.</w:t>
      </w:r>
    </w:p>
    <w:p>
      <w:pPr>
        <w:keepNext/>
      </w:pPr>
      <w:r/>
      <w:r>
        <w:rPr>
          <w:b/>
        </w:rPr>
        <w:t xml:space="preserve">S2  </w:t>
      </w:r>
      <w:hyperlink r:id="rId11">
        <w:r>
          <w:rPr>
            <w:color w:val="174A75"/>
          </w:rPr>
          <w:t>BEA third estimate of second quarter GDP</w:t>
        </w:r>
      </w:hyperlink>
    </w:p>
    <w:p>
      <w:pPr>
        <w:spacing w:after="160"/>
      </w:pPr>
      <w:r>
        <w:rPr>
          <w:color w:val="444444"/>
          <w:sz w:val="18"/>
        </w:rPr>
        <w:t>September 30, 2026. Revised output and private domestic demand figures.</w:t>
      </w:r>
    </w:p>
    <w:p>
      <w:pPr>
        <w:keepNext/>
      </w:pPr>
      <w:r/>
      <w:r>
        <w:rPr>
          <w:b/>
        </w:rPr>
        <w:t xml:space="preserve">S3  </w:t>
      </w:r>
      <w:hyperlink r:id="rId12">
        <w:r>
          <w:rPr>
            <w:color w:val="174A75"/>
          </w:rPr>
          <w:t>Atlanta Fed research data feed</w:t>
        </w:r>
      </w:hyperlink>
    </w:p>
    <w:p>
      <w:pPr>
        <w:spacing w:after="160"/>
      </w:pPr>
      <w:r>
        <w:rPr>
          <w:color w:val="444444"/>
          <w:sz w:val="18"/>
        </w:rPr>
        <w:t>The October 1 GDPNow update is 3.7% for Q3 2026. The August Wage Growth Tracker reading is 4.1%. GDPNow is a model estimate, not an official staff forecast.</w:t>
      </w:r>
    </w:p>
    <w:p>
      <w:pPr>
        <w:keepNext/>
      </w:pPr>
      <w:r/>
      <w:r>
        <w:rPr>
          <w:b/>
        </w:rPr>
        <w:t xml:space="preserve">S4  </w:t>
      </w:r>
      <w:hyperlink r:id="rId13">
        <w:r>
          <w:rPr>
            <w:color w:val="174A75"/>
          </w:rPr>
          <w:t>BEA Personal Income and Outlays</w:t>
        </w:r>
      </w:hyperlink>
    </w:p>
    <w:p>
      <w:pPr>
        <w:spacing w:after="160"/>
      </w:pPr>
      <w:r>
        <w:rPr>
          <w:color w:val="444444"/>
          <w:sz w:val="18"/>
        </w:rPr>
        <w:t>August 2026 release dated September 30. Real consumption, headline/core PCE, and the saving rate.</w:t>
      </w:r>
    </w:p>
    <w:p>
      <w:pPr>
        <w:keepNext/>
      </w:pPr>
      <w:r/>
      <w:r>
        <w:rPr>
          <w:b/>
        </w:rPr>
        <w:t xml:space="preserve">S5  </w:t>
      </w:r>
      <w:hyperlink r:id="rId14">
        <w:r>
          <w:rPr>
            <w:color w:val="174A75"/>
          </w:rPr>
          <w:t>Federal Reserve Financial Accounts</w:t>
        </w:r>
      </w:hyperlink>
    </w:p>
    <w:p>
      <w:pPr>
        <w:spacing w:after="160"/>
      </w:pPr>
      <w:r>
        <w:rPr>
          <w:color w:val="444444"/>
          <w:sz w:val="18"/>
        </w:rPr>
        <w:t>Second-quarter 2026 household and nonprofit net worth relative to disposable income. The chart’s 8.28 ratio is not a household-level statistic.</w:t>
      </w:r>
    </w:p>
    <w:p>
      <w:pPr>
        <w:keepNext/>
      </w:pPr>
      <w:r/>
      <w:r>
        <w:rPr>
          <w:b/>
        </w:rPr>
        <w:t xml:space="preserve">S6  </w:t>
      </w:r>
      <w:hyperlink r:id="rId15">
        <w:r>
          <w:rPr>
            <w:color w:val="174A75"/>
          </w:rPr>
          <w:t>The AI Buildout and the Economy</w:t>
        </w:r>
      </w:hyperlink>
    </w:p>
    <w:p>
      <w:pPr>
        <w:spacing w:after="160"/>
      </w:pPr>
      <w:r>
        <w:rPr>
          <w:color w:val="444444"/>
          <w:sz w:val="18"/>
        </w:rPr>
        <w:t>Federal Reserve FEDS Notes, July 17, 2026, Figure 7. The chart is an approximation using broad spending categories and import adjustments.</w:t>
      </w:r>
    </w:p>
    <w:p>
      <w:pPr>
        <w:keepNext/>
      </w:pPr>
      <w:r/>
      <w:r>
        <w:rPr>
          <w:b/>
        </w:rPr>
        <w:t xml:space="preserve">S7  </w:t>
      </w:r>
      <w:hyperlink r:id="rId16">
        <w:r>
          <w:rPr>
            <w:color w:val="174A75"/>
          </w:rPr>
          <w:t>Dallas Fed Trimmed Mean PCE</w:t>
        </w:r>
      </w:hyperlink>
    </w:p>
    <w:p>
      <w:pPr>
        <w:spacing w:after="160"/>
      </w:pPr>
      <w:r>
        <w:rPr>
          <w:color w:val="444444"/>
          <w:sz w:val="18"/>
        </w:rPr>
        <w:t>September 30 update. August 12-month trimmed mean is 2.2%; six-month annualized 2.3%; one-month annualized 1.9%. These different horizons are not interchangeable.</w:t>
      </w:r>
    </w:p>
    <w:p>
      <w:pPr>
        <w:keepNext/>
      </w:pPr>
      <w:r/>
      <w:r>
        <w:rPr>
          <w:b/>
        </w:rPr>
        <w:t xml:space="preserve">S8  </w:t>
      </w:r>
      <w:hyperlink r:id="rId17">
        <w:r>
          <w:rPr>
            <w:color w:val="174A75"/>
          </w:rPr>
          <w:t>Cleveland Fed Inflation Nowcasting</w:t>
        </w:r>
      </w:hyperlink>
    </w:p>
    <w:p>
      <w:pPr>
        <w:spacing w:after="160"/>
      </w:pPr>
      <w:r>
        <w:rPr>
          <w:color w:val="444444"/>
          <w:sz w:val="18"/>
        </w:rPr>
        <w:t>October 2 vintage. October year-over-year PCE 3.66%, core 3.10%; September 3.56%, core 3.02%. These are estimates of unreleased data, not realized inflation or six-month forecasts.</w:t>
      </w:r>
    </w:p>
    <w:p>
      <w:pPr>
        <w:keepNext/>
      </w:pPr>
      <w:r/>
      <w:r>
        <w:rPr>
          <w:b/>
        </w:rPr>
        <w:t xml:space="preserve">S9  </w:t>
      </w:r>
      <w:hyperlink r:id="rId18">
        <w:r>
          <w:rPr>
            <w:color w:val="174A75"/>
          </w:rPr>
          <w:t>San Francisco Fed supply and demand inflation</w:t>
        </w:r>
      </w:hyperlink>
    </w:p>
    <w:p>
      <w:pPr>
        <w:spacing w:after="160"/>
      </w:pPr>
      <w:r>
        <w:rPr>
          <w:color w:val="444444"/>
          <w:sz w:val="18"/>
        </w:rPr>
        <w:t>Updated September 30. Model-based classification uses unexpected prices and quantities. Ambiguous components prevent a complete causal decomposition. Slide 10’s energy PPI chart is separately attributed in the deck.</w:t>
      </w:r>
    </w:p>
    <w:p>
      <w:pPr>
        <w:keepNext/>
      </w:pPr>
      <w:r/>
      <w:r>
        <w:rPr>
          <w:b/>
        </w:rPr>
        <w:t xml:space="preserve">S10  </w:t>
      </w:r>
      <w:hyperlink r:id="rId19">
        <w:r>
          <w:rPr>
            <w:color w:val="174A75"/>
          </w:rPr>
          <w:t>University of Michigan Surveys of Consumers</w:t>
        </w:r>
      </w:hyperlink>
    </w:p>
    <w:p>
      <w:pPr>
        <w:spacing w:after="160"/>
      </w:pPr>
      <w:r>
        <w:rPr>
          <w:color w:val="444444"/>
          <w:sz w:val="18"/>
        </w:rPr>
        <w:t>Slide 12 contains the September 11 chart of one-year expectations and gas/tariff mentions, alongside a sentiment chart. Association is not proof of causation or long-run de-anchoring.</w:t>
      </w:r>
    </w:p>
    <w:p>
      <w:pPr>
        <w:keepNext/>
      </w:pPr>
      <w:r/>
      <w:r>
        <w:rPr>
          <w:b/>
        </w:rPr>
        <w:t xml:space="preserve">S11  </w:t>
      </w:r>
      <w:hyperlink r:id="rId20">
        <w:r>
          <w:rPr>
            <w:color w:val="174A75"/>
          </w:rPr>
          <w:t>BLS Real Earnings</w:t>
        </w:r>
      </w:hyperlink>
    </w:p>
    <w:p>
      <w:pPr>
        <w:spacing w:after="160"/>
      </w:pPr>
      <w:r>
        <w:rPr>
          <w:color w:val="444444"/>
          <w:sz w:val="18"/>
        </w:rPr>
        <w:t>August 2026 report, September 11. Official all-employee real hourly earnings change is −0.3% year over year, differing from slide 13’s −0.2% endpoint.</w:t>
      </w:r>
    </w:p>
    <w:p>
      <w:pPr>
        <w:keepNext/>
      </w:pPr>
      <w:r/>
      <w:r>
        <w:rPr>
          <w:b/>
        </w:rPr>
        <w:t xml:space="preserve">S12  </w:t>
      </w:r>
      <w:hyperlink r:id="rId21">
        <w:r>
          <w:rPr>
            <w:color w:val="174A75"/>
          </w:rPr>
          <w:t>BLS Employment Situation</w:t>
        </w:r>
      </w:hyperlink>
    </w:p>
    <w:p>
      <w:pPr>
        <w:spacing w:after="160"/>
      </w:pPr>
      <w:r>
        <w:rPr>
          <w:color w:val="444444"/>
          <w:sz w:val="18"/>
        </w:rPr>
        <w:t>September report released October 2. Use revised payroll vintages and distinguish establishment from household survey measures.</w:t>
      </w:r>
    </w:p>
    <w:p>
      <w:pPr>
        <w:keepNext/>
      </w:pPr>
      <w:r/>
      <w:r>
        <w:rPr>
          <w:b/>
        </w:rPr>
        <w:t xml:space="preserve">S13  </w:t>
      </w:r>
      <w:hyperlink r:id="rId22">
        <w:r>
          <w:rPr>
            <w:color w:val="174A75"/>
          </w:rPr>
          <w:t>Breakeven Employment Growth</w:t>
        </w:r>
      </w:hyperlink>
    </w:p>
    <w:p>
      <w:pPr>
        <w:spacing w:after="160"/>
      </w:pPr>
      <w:r>
        <w:rPr>
          <w:color w:val="444444"/>
          <w:sz w:val="18"/>
        </w:rPr>
        <w:t>Alexander Bick, St. Louis Fed, March 24, 2026. The 15,000–87,000 range varies with immigration assumptions.</w:t>
      </w:r>
    </w:p>
    <w:p>
      <w:pPr>
        <w:pStyle w:val="Heading1"/>
        <w:pageBreakBefore/>
      </w:pPr>
      <w:r>
        <w:t>Sources for markets and policy</w:t>
      </w:r>
    </w:p>
    <w:p>
      <w:pPr>
        <w:keepNext/>
      </w:pPr>
      <w:r/>
      <w:r>
        <w:rPr>
          <w:b/>
        </w:rPr>
        <w:t xml:space="preserve">S14  </w:t>
      </w:r>
      <w:hyperlink r:id="rId23">
        <w:r>
          <w:rPr>
            <w:color w:val="174A75"/>
          </w:rPr>
          <w:t>BLS Job Openings and Labor Turnover</w:t>
        </w:r>
      </w:hyperlink>
    </w:p>
    <w:p>
      <w:pPr>
        <w:spacing w:after="160"/>
      </w:pPr>
      <w:r>
        <w:rPr>
          <w:color w:val="444444"/>
          <w:sz w:val="18"/>
        </w:rPr>
        <w:t>August release dated September 29. Openings, hires, and layoffs rates are 4.3%, 3.3%, and 1.0%.</w:t>
      </w:r>
    </w:p>
    <w:p>
      <w:pPr>
        <w:keepNext/>
      </w:pPr>
      <w:r/>
      <w:r>
        <w:rPr>
          <w:b/>
        </w:rPr>
        <w:t xml:space="preserve">S15  </w:t>
      </w:r>
      <w:hyperlink r:id="rId24">
        <w:r>
          <w:rPr>
            <w:color w:val="174A75"/>
          </w:rPr>
          <w:t>Assessing and Combining Financial Conditions Indexes</w:t>
        </w:r>
      </w:hyperlink>
    </w:p>
    <w:p>
      <w:pPr>
        <w:spacing w:after="160"/>
      </w:pPr>
      <w:r>
        <w:rPr>
          <w:color w:val="444444"/>
          <w:sz w:val="18"/>
        </w:rPr>
        <w:t>Federal Reserve FEDS research, 2013. Cross-index methodology reference. Slide 21 supplies the Bloomberg observation; avoid treating a standardized index as a neutral-rate estimate.</w:t>
      </w:r>
    </w:p>
    <w:p>
      <w:pPr>
        <w:keepNext/>
      </w:pPr>
      <w:r/>
      <w:r>
        <w:rPr>
          <w:b/>
        </w:rPr>
        <w:t xml:space="preserve">S16  </w:t>
      </w:r>
      <w:hyperlink r:id="rId25">
        <w:r>
          <w:rPr>
            <w:color w:val="174A75"/>
          </w:rPr>
          <w:t>New York Fed reference rates</w:t>
        </w:r>
      </w:hyperlink>
    </w:p>
    <w:p>
      <w:pPr>
        <w:spacing w:after="160"/>
      </w:pPr>
      <w:r>
        <w:rPr>
          <w:color w:val="444444"/>
          <w:sz w:val="18"/>
        </w:rPr>
        <w:t>Definitions and data for SOFR and EFFR. The supplied slide supplies the plotted spread.</w:t>
      </w:r>
    </w:p>
    <w:p>
      <w:pPr>
        <w:keepNext/>
      </w:pPr>
      <w:r/>
      <w:r>
        <w:rPr>
          <w:b/>
        </w:rPr>
        <w:t xml:space="preserve">S17  </w:t>
      </w:r>
      <w:hyperlink r:id="rId26">
        <w:r>
          <w:rPr>
            <w:color w:val="174A75"/>
          </w:rPr>
          <w:t>New York Fed natural rate of interest</w:t>
        </w:r>
      </w:hyperlink>
    </w:p>
    <w:p>
      <w:pPr>
        <w:spacing w:after="160"/>
      </w:pPr>
      <w:r>
        <w:rPr>
          <w:color w:val="444444"/>
          <w:sz w:val="18"/>
        </w:rPr>
        <w:t>Holston-Laubach-Williams and related model estimates. Model uncertainty and the distinction between equilibrium concepts matter for slide 24.</w:t>
      </w:r>
    </w:p>
    <w:p>
      <w:pPr>
        <w:keepNext/>
      </w:pPr>
      <w:r/>
      <w:r>
        <w:rPr>
          <w:b/>
        </w:rPr>
        <w:t xml:space="preserve">S18  </w:t>
      </w:r>
      <w:hyperlink r:id="rId27">
        <w:r>
          <w:rPr>
            <w:color w:val="174A75"/>
          </w:rPr>
          <w:t>Anna Paulson on keeping an open mind</w:t>
        </w:r>
      </w:hyperlink>
    </w:p>
    <w:p>
      <w:pPr>
        <w:spacing w:after="160"/>
      </w:pPr>
      <w:r>
        <w:rPr>
          <w:color w:val="444444"/>
          <w:sz w:val="18"/>
        </w:rPr>
        <w:t>August 4, 2026. The exact quotation in slide 24 is conditional. Paulson discussed both reasons to wait and reasons further restraint might be needed; it is not a current endorsement of the team’s October decision.</w:t>
      </w:r>
    </w:p>
    <w:p>
      <w:pPr>
        <w:keepNext/>
      </w:pPr>
      <w:r/>
      <w:r>
        <w:rPr>
          <w:b/>
        </w:rPr>
        <w:t xml:space="preserve">S19  </w:t>
      </w:r>
      <w:hyperlink r:id="rId28">
        <w:r>
          <w:rPr>
            <w:color w:val="174A75"/>
          </w:rPr>
          <w:t>Christopher Waller on the unstable Phillips curve</w:t>
        </w:r>
      </w:hyperlink>
    </w:p>
    <w:p>
      <w:pPr>
        <w:spacing w:after="160"/>
      </w:pPr>
      <w:r>
        <w:rPr>
          <w:color w:val="444444"/>
          <w:sz w:val="18"/>
        </w:rPr>
        <w:t>March 31, 2023. The exact quotation in slide 25 explains a price-setting mechanism. It is historical analysis by a current member, not a 2026 forecast.</w:t>
      </w:r>
    </w:p>
    <w:p>
      <w:pPr>
        <w:keepNext/>
      </w:pPr>
      <w:r/>
      <w:r>
        <w:rPr>
          <w:b/>
        </w:rPr>
        <w:t xml:space="preserve">S20  </w:t>
      </w:r>
      <w:hyperlink r:id="rId29">
        <w:r>
          <w:rPr>
            <w:color w:val="174A75"/>
          </w:rPr>
          <w:t>The Inflation Accelerator</w:t>
        </w:r>
      </w:hyperlink>
    </w:p>
    <w:p>
      <w:pPr>
        <w:spacing w:after="160"/>
      </w:pPr>
      <w:r>
        <w:rPr>
          <w:color w:val="444444"/>
          <w:sz w:val="18"/>
        </w:rPr>
        <w:t>Andrés Blanco, Corina Boar, Callum Jones, and Virgiliu Midrigan. Federal Reserve working paper 2024-078. Cite this verified version rather than the notes’ unverified AER 2026 publication claim.</w:t>
      </w:r>
    </w:p>
    <w:p>
      <w:pPr>
        <w:keepNext/>
      </w:pPr>
      <w:r/>
      <w:r>
        <w:rPr>
          <w:b/>
        </w:rPr>
        <w:t xml:space="preserve">S21  </w:t>
      </w:r>
      <w:hyperlink r:id="rId30">
        <w:r>
          <w:rPr>
            <w:color w:val="174A75"/>
          </w:rPr>
          <w:t>September monetary policy implementation</w:t>
        </w:r>
      </w:hyperlink>
    </w:p>
    <w:p>
      <w:pPr>
        <w:spacing w:after="160"/>
      </w:pPr>
      <w:r>
        <w:rPr>
          <w:color w:val="444444"/>
          <w:sz w:val="18"/>
        </w:rPr>
        <w:t>September 16, 2026. Basis for explaining rate control, reserve purchases, and the illustrative operating-rate adjustments in rehearsal questions.</w:t>
      </w:r>
    </w:p>
    <w:p>
      <w:pPr>
        <w:keepNext/>
      </w:pPr>
      <w:r/>
      <w:r>
        <w:rPr>
          <w:b/>
        </w:rPr>
        <w:t xml:space="preserve">S22  </w:t>
      </w:r>
      <w:hyperlink r:id="rId31">
        <w:r>
          <w:rPr>
            <w:color w:val="174A75"/>
          </w:rPr>
          <w:t>FOMC disclosure procedures</w:t>
        </w:r>
      </w:hyperlink>
    </w:p>
    <w:p>
      <w:pPr>
        <w:spacing w:after="160"/>
      </w:pPr>
      <w:r>
        <w:rPr>
          <w:color w:val="444444"/>
          <w:sz w:val="18"/>
        </w:rPr>
        <w:t>January 19, 2000 announcement describing the December 21, 1999 decision. Historical basis for explicit risk language.</w:t>
      </w:r>
    </w:p>
    <w:p>
      <w:pPr>
        <w:keepNext/>
      </w:pPr>
      <w:r/>
      <w:r>
        <w:rPr>
          <w:b/>
        </w:rPr>
        <w:t xml:space="preserve">S23  </w:t>
      </w:r>
      <w:hyperlink r:id="rId32">
        <w:r>
          <w:rPr>
            <w:color w:val="174A75"/>
          </w:rPr>
          <w:t>Chicago Fed NFCI interpretation</w:t>
        </w:r>
      </w:hyperlink>
    </w:p>
    <w:p>
      <w:pPr>
        <w:spacing w:after="160"/>
      </w:pPr>
      <w:r>
        <w:rPr>
          <w:color w:val="444444"/>
          <w:sz w:val="18"/>
        </w:rPr>
        <w:t>Negative values indicate looser-than-average financial conditions, the opposite sign convention to the Bloomberg chart discussed in the presentation.</w:t>
      </w:r>
    </w:p>
    <w:p>
      <w:pPr>
        <w:keepNext/>
      </w:pPr>
      <w:r/>
      <w:r>
        <w:rPr>
          <w:b/>
        </w:rPr>
        <w:t xml:space="preserve">S24  </w:t>
      </w:r>
      <w:hyperlink r:id="rId33">
        <w:r>
          <w:rPr>
            <w:color w:val="174A75"/>
          </w:rPr>
          <w:t>Current FOMC roster</w:t>
        </w:r>
      </w:hyperlink>
    </w:p>
    <w:p>
      <w:pPr>
        <w:spacing w:after="160"/>
      </w:pPr>
      <w:r>
        <w:rPr>
          <w:color w:val="444444"/>
          <w:sz w:val="18"/>
        </w:rPr>
        <w:t>The September 16 roster lists both Anna Paulson and Christopher Waller as 2026 members.</w:t>
      </w:r>
    </w:p>
    <w:p>
      <w:pPr>
        <w:pStyle w:val="Heading2"/>
      </w:pPr>
      <w:r>
        <w:t>Rehearsal cutoff plan</w:t>
      </w:r>
    </w:p>
    <w:p>
      <w:r>
        <w:t>At 13:00, be entering slide 27. If behind schedule, omit the historical disclosure sentence on slide 28 and use: “Risks remain weighted toward persistent inflation, with attention to employment. We will adjust as evidence changes.” Do not skip the target range or balance-sheet recommendation. At a slower pace near 120 words per minute, shorten slides 5 and 18 in rehearsal to protect the cap.</w:t>
      </w:r>
    </w:p>
    <w:p>
      <w:pPr>
        <w:spacing w:after="100"/>
      </w:pPr>
      <w:r>
        <w:rPr>
          <w:color w:val="444444"/>
          <w:sz w:val="18"/>
        </w:rPr>
        <w:t>Team practice is the final timing check. The model is a planning estimate, not a measured recording. All optional appendix and source material is excluded from the word count and timing.</w:t>
      </w:r>
    </w:p>
    <w:sectPr w:rsidR="00FC693F" w:rsidRPr="0006063C" w:rsidSect="00034616">
      <w:footerReference w:type="default" r:id="rId9"/>
      <w:pgSz w:w="12240" w:h="15840"/>
      <w:pgMar w:top="893"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Fed Challenge rehearsal script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16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federalreserve.gov/newsevents/pressreleases/monetary20260916a.htm" TargetMode="External"/><Relationship Id="rId11" Type="http://schemas.openxmlformats.org/officeDocument/2006/relationships/hyperlink" Target="https://bea.gov/news/2026/gdp-third-estimate-industries-corporate-profits-state-gdp-and-state-personal-income-2nd" TargetMode="External"/><Relationship Id="rId12" Type="http://schemas.openxmlformats.org/officeDocument/2006/relationships/hyperlink" Target="https://www.atlantafed.org/data/research-data" TargetMode="External"/><Relationship Id="rId13" Type="http://schemas.openxmlformats.org/officeDocument/2006/relationships/hyperlink" Target="https://www.bea.gov/news/2026/personal-income-and-outlays-august-2026" TargetMode="External"/><Relationship Id="rId14" Type="http://schemas.openxmlformats.org/officeDocument/2006/relationships/hyperlink" Target="https://www.federalreserve.gov/releases/z1/current/recent_developments.htm" TargetMode="External"/><Relationship Id="rId15" Type="http://schemas.openxmlformats.org/officeDocument/2006/relationships/hyperlink" Target="https://www.federalreserve.gov/econres/notes/feds-notes/the-ai-buildout-and-the-economy-publicly-available-data-to-assess-ais-impact-20260717.html" TargetMode="External"/><Relationship Id="rId16" Type="http://schemas.openxmlformats.org/officeDocument/2006/relationships/hyperlink" Target="https://www.dallasfed.org/research/pce" TargetMode="External"/><Relationship Id="rId17" Type="http://schemas.openxmlformats.org/officeDocument/2006/relationships/hyperlink" Target="https://www.clevelandfed.org/indicators-and-data/inflation-nowcasting" TargetMode="External"/><Relationship Id="rId18" Type="http://schemas.openxmlformats.org/officeDocument/2006/relationships/hyperlink" Target="https://www.frbsf.org/research-and-insights/data-and-indicators/supply-and-demand-driven-pce-inflation/" TargetMode="External"/><Relationship Id="rId19" Type="http://schemas.openxmlformats.org/officeDocument/2006/relationships/hyperlink" Target="https://www.sca.isr.umich.edu/" TargetMode="External"/><Relationship Id="rId20" Type="http://schemas.openxmlformats.org/officeDocument/2006/relationships/hyperlink" Target="https://www.bls.gov/news.release/realer.nr0.htm" TargetMode="External"/><Relationship Id="rId21" Type="http://schemas.openxmlformats.org/officeDocument/2006/relationships/hyperlink" Target="https://www.bls.gov/news.release/empsit.nr0.htm" TargetMode="External"/><Relationship Id="rId22" Type="http://schemas.openxmlformats.org/officeDocument/2006/relationships/hyperlink" Target="https://www.stlouisfed.org/on-the-economy/2026/mar/breakeven-employment-growth-estimate-range-widens-2026" TargetMode="External"/><Relationship Id="rId23" Type="http://schemas.openxmlformats.org/officeDocument/2006/relationships/hyperlink" Target="https://www.bls.gov/news.release/jolts.nr0.htm" TargetMode="External"/><Relationship Id="rId24" Type="http://schemas.openxmlformats.org/officeDocument/2006/relationships/hyperlink" Target="https://www.federalreserve.gov/pubs/feds/2013/201339/" TargetMode="External"/><Relationship Id="rId25" Type="http://schemas.openxmlformats.org/officeDocument/2006/relationships/hyperlink" Target="https://www.newyorkfed.org/markets/reference-rates" TargetMode="External"/><Relationship Id="rId26" Type="http://schemas.openxmlformats.org/officeDocument/2006/relationships/hyperlink" Target="https://www.newyorkfed.org/research/policy/rstar" TargetMode="External"/><Relationship Id="rId27" Type="http://schemas.openxmlformats.org/officeDocument/2006/relationships/hyperlink" Target="https://www.philadelphiafed.org/the-economy/monetary-policy/monetary-policy-perspective-keeping-an-open-mind" TargetMode="External"/><Relationship Id="rId28" Type="http://schemas.openxmlformats.org/officeDocument/2006/relationships/hyperlink" Target="https://www.federalreserve.gov/newsevents/speech/waller20230331a.htm" TargetMode="External"/><Relationship Id="rId29" Type="http://schemas.openxmlformats.org/officeDocument/2006/relationships/hyperlink" Target="https://www.federalreserve.gov/econres/feds/the-inflation-accelerator.htm" TargetMode="External"/><Relationship Id="rId30" Type="http://schemas.openxmlformats.org/officeDocument/2006/relationships/hyperlink" Target="https://www.federalreserve.gov/newsevents/pressreleases/monetary20260916a1.htm" TargetMode="External"/><Relationship Id="rId31" Type="http://schemas.openxmlformats.org/officeDocument/2006/relationships/hyperlink" Target="https://www.federalreserve.gov/boarddocs/press/general/2000/20000119/default.htm" TargetMode="External"/><Relationship Id="rId32" Type="http://schemas.openxmlformats.org/officeDocument/2006/relationships/hyperlink" Target="https://www.chicagofed.org/research/data/nfci/current-data" TargetMode="External"/><Relationship Id="rId33" Type="http://schemas.openxmlformats.org/officeDocument/2006/relationships/hyperlink" Target="https://www.federalreserve.gov/monetarypolicy/fomc.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