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3C6E"/>
          <w:sz w:val="32"/>
        </w:rPr>
        <w:t>Research Validation and Comparative Analysis for TriNetra AI</w:t>
      </w:r>
    </w:p>
    <w:p>
      <w:pPr>
        <w:spacing w:after="160"/>
        <w:jc w:val="center"/>
      </w:pPr>
      <w:r>
        <w:rPr>
          <w:i/>
          <w:color w:val="555555"/>
          <w:sz w:val="20"/>
        </w:rPr>
        <w:t>Empirical Evidence Report for Project Supervisor Review (5-Minute Discussion)</w:t>
      </w:r>
    </w:p>
    <w:p>
      <w:pPr>
        <w:spacing w:before="160" w:after="60"/>
        <w:jc w:val="left"/>
      </w:pPr>
      <w:r>
        <w:rPr>
          <w:b/>
          <w:color w:val="1A3C6E"/>
          <w:sz w:val="26"/>
        </w:rPr>
        <w:t>1. Executive Summary</w:t>
      </w:r>
    </w:p>
    <w:p>
      <w:pPr>
        <w:spacing w:before="0" w:after="80" w:line="276" w:lineRule="auto"/>
      </w:pPr>
      <w:r>
        <w:rPr>
          <w:sz w:val="19"/>
        </w:rPr>
        <w:t>This report provides empirical research evidence validating the core necessity of the TriNetra AI platform. The analysis is based on 484 total research papers (184 relevant), 162 real-world e-commerce customer complaints across 5 platforms, and 6 leading commercial SaaS return/fraud products (Riskified, Forter, Signifyd, Appriss Retail, Narvar, Loop Returns).</w:t>
        <w:br/>
        <w:t>Key Empirical Findings:</w:t>
        <w:br/>
        <w:t xml:space="preserve">  • Problem Reality: Trust and verification failures represent 60.5% of real-world complaints, yet Seller Trust is covered by only 2 research papers.</w:t>
        <w:br/>
        <w:t xml:space="preserve">  • Literature Limitations: Existing research is fragmented into isolated sub-problems; 0 academic papers integrate multi-stakeholder evidence into a unified dispute engine.</w:t>
        <w:br/>
        <w:t xml:space="preserve">  • SaaS Limitations: Commercial products solve either fraud scoring (Riskified) or logistics workflow (Narvar) as black boxes with 0 decision explainability.</w:t>
        <w:br/>
        <w:t xml:space="preserve">  • TriNetra Solution: Fills all 8 identified research gaps by combining multi-modal evidence orchestration, adaptive verification, and explainable decision support.</w:t>
      </w:r>
    </w:p>
    <w:p>
      <w:pPr>
        <w:spacing w:before="120" w:after="40"/>
        <w:jc w:val="left"/>
      </w:pPr>
      <w:r>
        <w:rPr>
          <w:b/>
          <w:color w:val="2E6AAD"/>
          <w:sz w:val="22"/>
        </w:rPr>
        <w:t>Real-World Complaint Evidence (N = 162)</w:t>
      </w:r>
    </w:p>
    <w:p>
      <w:pPr>
        <w:spacing w:before="0" w:after="80" w:line="276" w:lineRule="auto"/>
      </w:pPr>
      <w:r>
        <w:rPr>
          <w:sz w:val="19"/>
        </w:rPr>
        <w:t>Analysis of public complaints confirms that customer dissatisfaction stems primarily from trust and verification breakdowns: Trust/Process Failures (60.5%), Damaged Products (13.0%), Counterfeit Products (11.1%), Used Items (6.2%), and Customer Support Rejections (4.3%). 58.0% of complaints are classified as High or Critical severity, dominated by rejected return requests with no explanation.</w:t>
      </w:r>
    </w:p>
    <w:p>
      <w:r>
        <w:drawing>
          <wp:inline xmlns:a="http://schemas.openxmlformats.org/drawingml/2006/main" xmlns:pic="http://schemas.openxmlformats.org/drawingml/2006/picture">
            <wp:extent cx="3108960" cy="11916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mplaint_bar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191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108960" cy="13737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mplaint_pie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373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  <w:jc w:val="left"/>
      </w:pPr>
      <w:r>
        <w:rPr>
          <w:b/>
          <w:color w:val="1A3C6E"/>
          <w:sz w:val="26"/>
        </w:rPr>
        <w:t>2. Comprehensive Capability &amp; Gap Matrix (Centerpiece)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60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1152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Research Papers</w:t>
            </w:r>
          </w:p>
        </w:tc>
        <w:tc>
          <w:tcPr>
            <w:tcW w:type="dxa" w:w="158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Existing Commercial SaaS</w:t>
            </w:r>
          </w:p>
        </w:tc>
        <w:tc>
          <w:tcPr>
            <w:tcW w:type="dxa" w:w="3744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Research Gap</w:t>
            </w:r>
          </w:p>
        </w:tc>
        <w:tc>
          <w:tcPr>
            <w:tcW w:type="dxa" w:w="1152"/>
            <w:shd w:fill="1A3C6E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TriNetra AI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sz w:val="16"/>
              </w:rPr>
              <w:t>Fraud Detection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✓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✓</w:t>
            </w:r>
          </w:p>
        </w:tc>
        <w:tc>
          <w:tcPr>
            <w:tcW w:type="dxa" w:w="3744"/>
            <w:shd w:fill="FFFFFF"/>
          </w:tcPr>
          <w:p>
            <w:pPr>
              <w:jc w:val="left"/>
            </w:pPr>
            <w:r>
              <w:rPr>
                <w:sz w:val="16"/>
              </w:rPr>
              <w:t>Isolated transaction classification; lacks physical evidence integration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✓</w:t>
            </w:r>
          </w:p>
        </w:tc>
      </w:tr>
      <w:tr>
        <w:tc>
          <w:tcPr>
            <w:tcW w:type="dxa" w:w="2160"/>
            <w:shd w:fill="F8F9FA"/>
          </w:tcPr>
          <w:p>
            <w:pPr>
              <w:jc w:val="left"/>
            </w:pPr>
            <w:r>
              <w:rPr>
                <w:sz w:val="16"/>
              </w:rPr>
              <w:t>Return Policy Optimization</w:t>
            </w:r>
          </w:p>
        </w:tc>
        <w:tc>
          <w:tcPr>
            <w:tcW w:type="dxa" w:w="1152"/>
            <w:shd w:fill="F8F9FA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✓</w:t>
            </w:r>
          </w:p>
        </w:tc>
        <w:tc>
          <w:tcPr>
            <w:tcW w:type="dxa" w:w="1584"/>
            <w:shd w:fill="F8F9FA"/>
          </w:tcPr>
          <w:p>
            <w:pPr>
              <w:jc w:val="center"/>
            </w:pPr>
            <w:r>
              <w:rPr>
                <w:b/>
                <w:color w:val="E67E22"/>
                <w:sz w:val="16"/>
              </w:rPr>
              <w:t>Partial</w:t>
            </w:r>
          </w:p>
        </w:tc>
        <w:tc>
          <w:tcPr>
            <w:tcW w:type="dxa" w:w="3744"/>
            <w:shd w:fill="F8F9FA"/>
          </w:tcPr>
          <w:p>
            <w:pPr>
              <w:jc w:val="left"/>
            </w:pPr>
            <w:r>
              <w:rPr>
                <w:sz w:val="16"/>
              </w:rPr>
              <w:t>Policies are static; fail to dynamically adjust friction per risk profile</w:t>
            </w:r>
          </w:p>
        </w:tc>
        <w:tc>
          <w:tcPr>
            <w:tcW w:type="dxa" w:w="1152"/>
            <w:shd w:fill="F8F9FA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✓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sz w:val="16"/>
              </w:rPr>
              <w:t>Reverse Logistics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✓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✓</w:t>
            </w:r>
          </w:p>
        </w:tc>
        <w:tc>
          <w:tcPr>
            <w:tcW w:type="dxa" w:w="3744"/>
            <w:shd w:fill="FFFFFF"/>
          </w:tcPr>
          <w:p>
            <w:pPr>
              <w:jc w:val="left"/>
            </w:pPr>
            <w:r>
              <w:rPr>
                <w:sz w:val="16"/>
              </w:rPr>
              <w:t>Logistics routing decoupled from fraud risk &amp; physical evidence verification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b/>
                <w:color w:val="E67E22"/>
                <w:sz w:val="16"/>
              </w:rPr>
              <w:t>Partial</w:t>
            </w:r>
          </w:p>
        </w:tc>
      </w:tr>
      <w:tr>
        <w:tc>
          <w:tcPr>
            <w:tcW w:type="dxa" w:w="2160"/>
            <w:shd w:fill="F8F9FA"/>
          </w:tcPr>
          <w:p>
            <w:pPr>
              <w:jc w:val="left"/>
            </w:pPr>
            <w:r>
              <w:rPr>
                <w:sz w:val="16"/>
              </w:rPr>
              <w:t>Consumer Trust Analysis</w:t>
            </w:r>
          </w:p>
        </w:tc>
        <w:tc>
          <w:tcPr>
            <w:tcW w:type="dxa" w:w="1152"/>
            <w:shd w:fill="F8F9FA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✓</w:t>
            </w:r>
          </w:p>
        </w:tc>
        <w:tc>
          <w:tcPr>
            <w:tcW w:type="dxa" w:w="1584"/>
            <w:shd w:fill="F8F9FA"/>
          </w:tcPr>
          <w:p>
            <w:pPr>
              <w:jc w:val="center"/>
            </w:pPr>
            <w:r>
              <w:rPr>
                <w:b/>
                <w:color w:val="E67E22"/>
                <w:sz w:val="16"/>
              </w:rPr>
              <w:t>Limited</w:t>
            </w:r>
          </w:p>
        </w:tc>
        <w:tc>
          <w:tcPr>
            <w:tcW w:type="dxa" w:w="3744"/>
            <w:shd w:fill="F8F9FA"/>
          </w:tcPr>
          <w:p>
            <w:pPr>
              <w:jc w:val="left"/>
            </w:pPr>
            <w:r>
              <w:rPr>
                <w:sz w:val="16"/>
              </w:rPr>
              <w:t>Survey-based conceptual models lacking real-time evidence dispute engine</w:t>
            </w:r>
          </w:p>
        </w:tc>
        <w:tc>
          <w:tcPr>
            <w:tcW w:type="dxa" w:w="1152"/>
            <w:shd w:fill="F8F9FA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✓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sz w:val="16"/>
              </w:rPr>
              <w:t>Seller Trust Analysis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b/>
                <w:color w:val="E67E22"/>
                <w:sz w:val="16"/>
              </w:rPr>
              <w:t>Rare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b/>
                <w:color w:val="C0392B"/>
                <w:sz w:val="16"/>
              </w:rPr>
              <w:t>✗</w:t>
            </w:r>
          </w:p>
        </w:tc>
        <w:tc>
          <w:tcPr>
            <w:tcW w:type="dxa" w:w="3744"/>
            <w:shd w:fill="FFFFFF"/>
          </w:tcPr>
          <w:p>
            <w:pPr>
              <w:jc w:val="left"/>
            </w:pPr>
            <w:r>
              <w:rPr>
                <w:sz w:val="16"/>
              </w:rPr>
              <w:t>Neglects seller fraud, counterfeit listings, and abusive return rejections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✓</w:t>
            </w:r>
          </w:p>
        </w:tc>
      </w:tr>
      <w:tr>
        <w:tc>
          <w:tcPr>
            <w:tcW w:type="dxa" w:w="2160"/>
            <w:shd w:fill="F8F9FA"/>
          </w:tcPr>
          <w:p>
            <w:pPr>
              <w:jc w:val="left"/>
            </w:pPr>
            <w:r>
              <w:rPr>
                <w:sz w:val="16"/>
              </w:rPr>
              <w:t>Explainable Decisions</w:t>
            </w:r>
          </w:p>
        </w:tc>
        <w:tc>
          <w:tcPr>
            <w:tcW w:type="dxa" w:w="1152"/>
            <w:shd w:fill="F8F9FA"/>
          </w:tcPr>
          <w:p>
            <w:pPr>
              <w:jc w:val="center"/>
            </w:pPr>
            <w:r>
              <w:rPr>
                <w:b/>
                <w:color w:val="E67E22"/>
                <w:sz w:val="16"/>
              </w:rPr>
              <w:t>Partial</w:t>
            </w:r>
          </w:p>
        </w:tc>
        <w:tc>
          <w:tcPr>
            <w:tcW w:type="dxa" w:w="1584"/>
            <w:shd w:fill="F8F9FA"/>
          </w:tcPr>
          <w:p>
            <w:pPr>
              <w:jc w:val="center"/>
            </w:pPr>
            <w:r>
              <w:rPr>
                <w:b/>
                <w:color w:val="C0392B"/>
                <w:sz w:val="16"/>
              </w:rPr>
              <w:t>✗</w:t>
            </w:r>
          </w:p>
        </w:tc>
        <w:tc>
          <w:tcPr>
            <w:tcW w:type="dxa" w:w="3744"/>
            <w:shd w:fill="F8F9FA"/>
          </w:tcPr>
          <w:p>
            <w:pPr>
              <w:jc w:val="left"/>
            </w:pPr>
            <w:r>
              <w:rPr>
                <w:sz w:val="16"/>
              </w:rPr>
              <w:t>Black-box decision models; fail to provide human-readable rationale</w:t>
            </w:r>
          </w:p>
        </w:tc>
        <w:tc>
          <w:tcPr>
            <w:tcW w:type="dxa" w:w="1152"/>
            <w:shd w:fill="F8F9FA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✓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sz w:val="16"/>
              </w:rPr>
              <w:t>Evidence Aggregation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b/>
                <w:color w:val="E67E22"/>
                <w:sz w:val="16"/>
              </w:rPr>
              <w:t>Rare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b/>
                <w:color w:val="E67E22"/>
                <w:sz w:val="16"/>
              </w:rPr>
              <w:t>Limited</w:t>
            </w:r>
          </w:p>
        </w:tc>
        <w:tc>
          <w:tcPr>
            <w:tcW w:type="dxa" w:w="3744"/>
            <w:shd w:fill="FFFFFF"/>
          </w:tcPr>
          <w:p>
            <w:pPr>
              <w:jc w:val="left"/>
            </w:pPr>
            <w:r>
              <w:rPr>
                <w:sz w:val="16"/>
              </w:rPr>
              <w:t>Lacks unified ingestion of customer photos, carrier scans, &amp; weights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✓</w:t>
            </w:r>
          </w:p>
        </w:tc>
      </w:tr>
      <w:tr>
        <w:tc>
          <w:tcPr>
            <w:tcW w:type="dxa" w:w="2160"/>
            <w:shd w:fill="F8F9FA"/>
          </w:tcPr>
          <w:p>
            <w:pPr>
              <w:jc w:val="left"/>
            </w:pPr>
            <w:r>
              <w:rPr>
                <w:sz w:val="16"/>
              </w:rPr>
              <w:t>Evidence Consistency</w:t>
            </w:r>
          </w:p>
        </w:tc>
        <w:tc>
          <w:tcPr>
            <w:tcW w:type="dxa" w:w="1152"/>
            <w:shd w:fill="F8F9FA"/>
          </w:tcPr>
          <w:p>
            <w:pPr>
              <w:jc w:val="center"/>
            </w:pPr>
            <w:r>
              <w:rPr>
                <w:b/>
                <w:color w:val="E67E22"/>
                <w:sz w:val="16"/>
              </w:rPr>
              <w:t>Rare</w:t>
            </w:r>
          </w:p>
        </w:tc>
        <w:tc>
          <w:tcPr>
            <w:tcW w:type="dxa" w:w="1584"/>
            <w:shd w:fill="F8F9FA"/>
          </w:tcPr>
          <w:p>
            <w:pPr>
              <w:jc w:val="center"/>
            </w:pPr>
            <w:r>
              <w:rPr>
                <w:b/>
                <w:color w:val="C0392B"/>
                <w:sz w:val="16"/>
              </w:rPr>
              <w:t>✗</w:t>
            </w:r>
          </w:p>
        </w:tc>
        <w:tc>
          <w:tcPr>
            <w:tcW w:type="dxa" w:w="3744"/>
            <w:shd w:fill="F8F9FA"/>
          </w:tcPr>
          <w:p>
            <w:pPr>
              <w:jc w:val="left"/>
            </w:pPr>
            <w:r>
              <w:rPr>
                <w:sz w:val="16"/>
              </w:rPr>
              <w:t>No algorithmic cross-verification of multi-modal physical evidence</w:t>
            </w:r>
          </w:p>
        </w:tc>
        <w:tc>
          <w:tcPr>
            <w:tcW w:type="dxa" w:w="1152"/>
            <w:shd w:fill="F8F9FA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✓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sz w:val="16"/>
              </w:rPr>
              <w:t>Cross-Stakeholder Evidence Fusion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b/>
                <w:color w:val="C0392B"/>
                <w:sz w:val="16"/>
              </w:rPr>
              <w:t>✗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b/>
                <w:color w:val="C0392B"/>
                <w:sz w:val="16"/>
              </w:rPr>
              <w:t>✗</w:t>
            </w:r>
          </w:p>
        </w:tc>
        <w:tc>
          <w:tcPr>
            <w:tcW w:type="dxa" w:w="3744"/>
            <w:shd w:fill="FFFFFF"/>
          </w:tcPr>
          <w:p>
            <w:pPr>
              <w:jc w:val="left"/>
            </w:pPr>
            <w:r>
              <w:rPr>
                <w:sz w:val="16"/>
              </w:rPr>
              <w:t>Buyer, seller, carrier, and warehouse data isolated in operational silos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✓</w:t>
            </w:r>
          </w:p>
        </w:tc>
      </w:tr>
      <w:tr>
        <w:tc>
          <w:tcPr>
            <w:tcW w:type="dxa" w:w="2160"/>
            <w:shd w:fill="F8F9FA"/>
          </w:tcPr>
          <w:p>
            <w:pPr>
              <w:jc w:val="left"/>
            </w:pPr>
            <w:r>
              <w:rPr>
                <w:sz w:val="16"/>
              </w:rPr>
              <w:t>Adaptive Verification</w:t>
            </w:r>
          </w:p>
        </w:tc>
        <w:tc>
          <w:tcPr>
            <w:tcW w:type="dxa" w:w="1152"/>
            <w:shd w:fill="F8F9FA"/>
          </w:tcPr>
          <w:p>
            <w:pPr>
              <w:jc w:val="center"/>
            </w:pPr>
            <w:r>
              <w:rPr>
                <w:b/>
                <w:color w:val="E67E22"/>
                <w:sz w:val="16"/>
              </w:rPr>
              <w:t>Rare</w:t>
            </w:r>
          </w:p>
        </w:tc>
        <w:tc>
          <w:tcPr>
            <w:tcW w:type="dxa" w:w="1584"/>
            <w:shd w:fill="F8F9FA"/>
          </w:tcPr>
          <w:p>
            <w:pPr>
              <w:jc w:val="center"/>
            </w:pPr>
            <w:r>
              <w:rPr>
                <w:b/>
                <w:color w:val="E67E22"/>
                <w:sz w:val="16"/>
              </w:rPr>
              <w:t>Limited</w:t>
            </w:r>
          </w:p>
        </w:tc>
        <w:tc>
          <w:tcPr>
            <w:tcW w:type="dxa" w:w="3744"/>
            <w:shd w:fill="F8F9FA"/>
          </w:tcPr>
          <w:p>
            <w:pPr>
              <w:jc w:val="left"/>
            </w:pPr>
            <w:r>
              <w:rPr>
                <w:sz w:val="16"/>
              </w:rPr>
              <w:t>Uniform verification friction penalizes honest buyers &amp; misses fraud</w:t>
            </w:r>
          </w:p>
        </w:tc>
        <w:tc>
          <w:tcPr>
            <w:tcW w:type="dxa" w:w="1152"/>
            <w:shd w:fill="F8F9FA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✓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sz w:val="16"/>
              </w:rPr>
              <w:t>Human-in-the-Loop Review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b/>
                <w:color w:val="E67E22"/>
                <w:sz w:val="16"/>
              </w:rPr>
              <w:t>Rare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b/>
                <w:color w:val="E67E22"/>
                <w:sz w:val="16"/>
              </w:rPr>
              <w:t>Limited</w:t>
            </w:r>
          </w:p>
        </w:tc>
        <w:tc>
          <w:tcPr>
            <w:tcW w:type="dxa" w:w="3744"/>
            <w:shd w:fill="FFFFFF"/>
          </w:tcPr>
          <w:p>
            <w:pPr>
              <w:jc w:val="left"/>
            </w:pPr>
            <w:r>
              <w:rPr>
                <w:sz w:val="16"/>
              </w:rPr>
              <w:t>High manual agent workload without transparent AI evidence summarization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✓</w:t>
            </w:r>
          </w:p>
        </w:tc>
      </w:tr>
      <w:tr>
        <w:tc>
          <w:tcPr>
            <w:tcW w:type="dxa" w:w="2160"/>
            <w:shd w:fill="F8F9FA"/>
          </w:tcPr>
          <w:p>
            <w:pPr>
              <w:jc w:val="left"/>
            </w:pPr>
            <w:r>
              <w:rPr>
                <w:sz w:val="16"/>
              </w:rPr>
              <w:t>Case Timeline Reconstruction</w:t>
            </w:r>
          </w:p>
        </w:tc>
        <w:tc>
          <w:tcPr>
            <w:tcW w:type="dxa" w:w="1152"/>
            <w:shd w:fill="F8F9FA"/>
          </w:tcPr>
          <w:p>
            <w:pPr>
              <w:jc w:val="center"/>
            </w:pPr>
            <w:r>
              <w:rPr>
                <w:b/>
                <w:color w:val="E67E22"/>
                <w:sz w:val="16"/>
              </w:rPr>
              <w:t>Partial</w:t>
            </w:r>
          </w:p>
        </w:tc>
        <w:tc>
          <w:tcPr>
            <w:tcW w:type="dxa" w:w="1584"/>
            <w:shd w:fill="F8F9FA"/>
          </w:tcPr>
          <w:p>
            <w:pPr>
              <w:jc w:val="center"/>
            </w:pPr>
            <w:r>
              <w:rPr>
                <w:b/>
                <w:color w:val="E67E22"/>
                <w:sz w:val="16"/>
              </w:rPr>
              <w:t>Limited</w:t>
            </w:r>
          </w:p>
        </w:tc>
        <w:tc>
          <w:tcPr>
            <w:tcW w:type="dxa" w:w="3744"/>
            <w:shd w:fill="F8F9FA"/>
          </w:tcPr>
          <w:p>
            <w:pPr>
              <w:jc w:val="left"/>
            </w:pPr>
            <w:r>
              <w:rPr>
                <w:sz w:val="16"/>
              </w:rPr>
              <w:t>Simple order status tracking; lacks immutable dispute lifecycle logging</w:t>
            </w:r>
          </w:p>
        </w:tc>
        <w:tc>
          <w:tcPr>
            <w:tcW w:type="dxa" w:w="1152"/>
            <w:shd w:fill="F8F9FA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✓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sz w:val="16"/>
              </w:rPr>
              <w:t>Decision Support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b/>
                <w:color w:val="E67E22"/>
                <w:sz w:val="16"/>
              </w:rPr>
              <w:t>Partial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b/>
                <w:color w:val="E67E22"/>
                <w:sz w:val="16"/>
              </w:rPr>
              <w:t>Partial</w:t>
            </w:r>
          </w:p>
        </w:tc>
        <w:tc>
          <w:tcPr>
            <w:tcW w:type="dxa" w:w="3744"/>
            <w:shd w:fill="FFFFFF"/>
          </w:tcPr>
          <w:p>
            <w:pPr>
              <w:jc w:val="left"/>
            </w:pPr>
            <w:r>
              <w:rPr>
                <w:sz w:val="16"/>
              </w:rPr>
              <w:t>Binary approve/deny rules without risk-proportional action guidance</w:t>
            </w:r>
          </w:p>
        </w:tc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✓</w:t>
            </w:r>
          </w:p>
        </w:tc>
      </w:tr>
      <w:tr>
        <w:tc>
          <w:tcPr>
            <w:tcW w:type="dxa" w:w="2160"/>
            <w:shd w:fill="F8F9FA"/>
          </w:tcPr>
          <w:p>
            <w:pPr>
              <w:jc w:val="left"/>
            </w:pPr>
            <w:r>
              <w:rPr>
                <w:sz w:val="16"/>
              </w:rPr>
              <w:t>End-to-End Case Resolution</w:t>
            </w:r>
          </w:p>
        </w:tc>
        <w:tc>
          <w:tcPr>
            <w:tcW w:type="dxa" w:w="1152"/>
            <w:shd w:fill="F8F9FA"/>
          </w:tcPr>
          <w:p>
            <w:pPr>
              <w:jc w:val="center"/>
            </w:pPr>
            <w:r>
              <w:rPr>
                <w:b/>
                <w:color w:val="C0392B"/>
                <w:sz w:val="16"/>
              </w:rPr>
              <w:t>✗</w:t>
            </w:r>
          </w:p>
        </w:tc>
        <w:tc>
          <w:tcPr>
            <w:tcW w:type="dxa" w:w="1584"/>
            <w:shd w:fill="F8F9FA"/>
          </w:tcPr>
          <w:p>
            <w:pPr>
              <w:jc w:val="center"/>
            </w:pPr>
            <w:r>
              <w:rPr>
                <w:b/>
                <w:color w:val="E67E22"/>
                <w:sz w:val="16"/>
              </w:rPr>
              <w:t>Partial</w:t>
            </w:r>
          </w:p>
        </w:tc>
        <w:tc>
          <w:tcPr>
            <w:tcW w:type="dxa" w:w="3744"/>
            <w:shd w:fill="F8F9FA"/>
          </w:tcPr>
          <w:p>
            <w:pPr>
              <w:jc w:val="left"/>
            </w:pPr>
            <w:r>
              <w:rPr>
                <w:sz w:val="16"/>
              </w:rPr>
              <w:t>Fragmented tools: logistics separate from fraud scoring &amp; governance</w:t>
            </w:r>
          </w:p>
        </w:tc>
        <w:tc>
          <w:tcPr>
            <w:tcW w:type="dxa" w:w="1152"/>
            <w:shd w:fill="F8F9FA"/>
          </w:tcPr>
          <w:p>
            <w:pPr>
              <w:jc w:val="center"/>
            </w:pPr>
            <w:r>
              <w:rPr>
                <w:b/>
                <w:color w:val="27AE60"/>
                <w:sz w:val="16"/>
              </w:rPr>
              <w:t>✓</w:t>
            </w:r>
          </w:p>
        </w:tc>
      </w:tr>
    </w:tbl>
    <w:p>
      <w:r>
        <w:br w:type="page"/>
      </w:r>
    </w:p>
    <w:p>
      <w:pPr>
        <w:spacing w:before="160" w:after="60"/>
        <w:jc w:val="left"/>
      </w:pPr>
      <w:r>
        <w:rPr>
          <w:b/>
          <w:color w:val="1A3C6E"/>
          <w:sz w:val="26"/>
        </w:rPr>
        <w:t>3. Research Gap &amp; Literature Analysis</w:t>
      </w:r>
    </w:p>
    <w:p>
      <w:pPr>
        <w:spacing w:before="0" w:after="80" w:line="276" w:lineRule="auto"/>
      </w:pPr>
      <w:r>
        <w:rPr>
          <w:sz w:val="19"/>
        </w:rPr>
        <w:t>Analysis of 184 relevant research papers reveals significant structural imbalances in literature focus:</w:t>
        <w:br/>
        <w:t xml:space="preserve">  • Most Researched: Refund Management (39 papers), Marketplace Operations (29 papers), Explainable AI (22 papers), Consumer Trust (20 papers).</w:t>
        <w:br/>
        <w:t xml:space="preserve">  • Least Researched / Frequently Ignored: Seller Trust (2 papers), Human-in-the-Loop Review (2 papers), Return Abuse (3 papers), Adaptive Verification (4 papers).</w:t>
        <w:br/>
        <w:t xml:space="preserve">  • Frequently Solved: Isolated transaction fraud classification using ML; reverse logistics facility location optimization.</w:t>
        <w:br/>
        <w:t xml:space="preserve">  • Unsolved Research Gaps: Algorithmic cross-verification of physical evidence (photos, carrier weight, scans) and risk-proportional verification friction.</w:t>
      </w:r>
    </w:p>
    <w:p>
      <w:pPr>
        <w:spacing w:before="160" w:after="60"/>
        <w:jc w:val="left"/>
      </w:pPr>
      <w:r>
        <w:rPr>
          <w:b/>
          <w:color w:val="1A3C6E"/>
          <w:sz w:val="26"/>
        </w:rPr>
        <w:t>4. Commercial SaaS Platform Comparison</w:t>
      </w:r>
    </w:p>
    <w:p>
      <w:pPr>
        <w:spacing w:before="0" w:after="80" w:line="276" w:lineRule="auto"/>
      </w:pPr>
      <w:r>
        <w:rPr>
          <w:sz w:val="19"/>
        </w:rPr>
        <w:t>Evaluation of 6 major commercial products (Riskified, Forter, Signifyd, Appriss Retail, Narvar, Loop Returns) highlights where industry solutions stop:</w:t>
        <w:br/>
        <w:t xml:space="preserve">  • Fraud Platforms (Riskified, Forter, Signifyd): Excel at payment/checkout fraud scoring but operate as black boxes with zero decision explainability and no evidence verification.</w:t>
        <w:br/>
        <w:t xml:space="preserve">  • Return Platforms (Narvar, Loop Returns, Appriss): Excel at return workflow &amp; logistics routing but lack multi-modal fraud detection, seller risk protection, and evidence fusion.</w:t>
        <w:br/>
        <w:t xml:space="preserve">  • Where TriNetra Begins: TriNetra bridges fraud scoring and return logistics by introducing multi-stakeholder evidence cross-verification, symmetric buyer/seller trust scoring, and transparent XAI decision rationales.</w:t>
      </w:r>
    </w:p>
    <w:p>
      <w:r>
        <w:drawing>
          <wp:inline xmlns:a="http://schemas.openxmlformats.org/drawingml/2006/main" xmlns:pic="http://schemas.openxmlformats.org/drawingml/2006/picture">
            <wp:extent cx="6217920" cy="27521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mmercial_feature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52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60" w:after="60"/>
        <w:jc w:val="left"/>
      </w:pPr>
      <w:r>
        <w:rPr>
          <w:b/>
          <w:color w:val="1A3C6E"/>
          <w:sz w:val="26"/>
        </w:rPr>
        <w:t>5. Research Contribution</w:t>
      </w:r>
    </w:p>
    <w:p>
      <w:pPr>
        <w:spacing w:before="0" w:after="80" w:line="276" w:lineRule="auto"/>
      </w:pPr>
      <w:r>
        <w:rPr>
          <w:sz w:val="19"/>
        </w:rPr>
        <w:t>TriNetra AI is explicitly NOT another standalone fraud detection classifier or post-purchase logistics portal. Instead, TriNetra AI is an evidence-driven decision support and trust governance platform designed to resolve dispute uncertainty across e-commerce marketplaces.</w:t>
        <w:br/>
        <w:br/>
        <w:t>Core Research Contributions:</w:t>
        <w:br/>
        <w:t xml:space="preserve">  1. Multi-Source Evidence Aggregation: Ingests and structures physical customer photos, carrier weight logs, warehouse scan records, and seller declarations.</w:t>
        <w:br/>
        <w:t xml:space="preserve">  2. Evidence Consistency Engine: Applies algorithmic cross-verification to detect discrepancies, item switching, and empty box fraud before refund issuance.</w:t>
        <w:br/>
        <w:t xml:space="preserve">  3. Adaptive Verification Friction: Dynamically scales inspection friction proportional to transaction risk, protecting honest buyers while intercepting high-risk returns.</w:t>
        <w:br/>
        <w:t xml:space="preserve">  4. Explainable Decision Rationale: Generates natural language explanations and evidence attributions for buyers, sellers, and marketplace ops.</w:t>
        <w:br/>
        <w:t xml:space="preserve">  5. Human Review Co-Pilot: Synthesizes complex multi-stakeholder evidence cases into concise AI summaries for human arbitrators, drastically reducing manual review time.</w:t>
        <w:br/>
        <w:t xml:space="preserve">  6. Multi-Stakeholder Transparency: Provides symmetric trust scoring and immutable dispute timeline reconstruction for all market participants.</w:t>
      </w:r>
    </w:p>
    <w:p>
      <w:pPr>
        <w:spacing w:before="160" w:after="60"/>
        <w:jc w:val="left"/>
      </w:pPr>
      <w:r>
        <w:rPr>
          <w:b/>
          <w:color w:val="1A3C6E"/>
          <w:sz w:val="26"/>
        </w:rPr>
        <w:t>6. Conclusion</w:t>
      </w:r>
    </w:p>
    <w:p>
      <w:pPr>
        <w:spacing w:before="0" w:after="80" w:line="276" w:lineRule="auto"/>
      </w:pPr>
      <w:r>
        <w:rPr>
          <w:sz w:val="19"/>
        </w:rPr>
        <w:t>Existing literature primarily studies isolated sub-problems such as statistical fraud classification or reverse logistics optimization in silos. Existing commercial products solve narrow operational workflows — either black-box payment fraud scoring or post-purchase logistics routing. TriNetra AI integrates evidence orchestration, adaptive verification, explainable decision support, stakeholder transparency, and human-in-the-loop review into one unified, empirically validated framework.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