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FAECA9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HANDS-ON 4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68678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-1084875</wp:posOffset>
                </wp:positionH>
                <wp:positionV relativeFrom="paragraph">
                  <wp:posOffset>169687</wp:posOffset>
                </wp:positionV>
                <wp:extent cx="8296275" cy="666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57187127" name=""/>
                      <wps:cNvSpPr/>
                      <wps:spPr bwMode="auto">
                        <a:xfrm rot="0" flipH="0" flipV="1">
                          <a:off x="0" y="0"/>
                          <a:ext cx="8296272" cy="666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flip:y;visibility:visible;" from="-85.4pt,13.4pt" to="567.8pt,18.6pt" filled="f" strokecolor="#284963" strokeweight="0.50pt"/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Flask — App Structure, Routing, Jinja2 &amp; Blueprints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EBB889F">
      <w:pPr>
        <w:pBdr/>
        <w:spacing/>
        <w:ind/>
        <w:rPr/>
      </w:pPr>
      <w:r/>
      <w:r/>
      <w:r>
        <w:t xml:space="preserve">Task 1: Flask App Structure and Basic Routing</w:t>
      </w:r>
      <w:r/>
      <w:r/>
      <w:r/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63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1773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063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1.1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2026-06-30T14:20:39Z</dcterms:modified>
</cp:coreProperties>
</file>