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Code of Conduct &amp; Workplace Policies</w:t>
      </w:r>
    </w:p>
    <w:p>
      <w:pPr>
        <w:pStyle w:val="Heading2"/>
      </w:pPr>
      <w:r>
        <w:t>Working Hours &amp; Attendance</w:t>
      </w:r>
    </w:p>
    <w:p>
      <w:r>
        <w:t>Standard working hours are 9:30 AM to 6:30 PM, Monday through Friday, with a mandatory one-hour lunch break. Core collaboration hours during which all employees must be available are 11:00 AM to 4:00 PM. Employees are expected to log in via the attendance portal within 15 minutes of their scheduled start time; repeated late logins beyond 3 instances per month will be flagged to the reporting manager.</w:t>
      </w:r>
    </w:p>
    <w:p>
      <w:pPr>
        <w:pStyle w:val="Heading2"/>
      </w:pPr>
      <w:r>
        <w:t>Remote &amp; Hybrid Work</w:t>
      </w:r>
    </w:p>
    <w:p>
      <w:r>
        <w:t>Employees in roles designated as hybrid-eligible may work remotely up to 3 days per week, subject to manager approval and consistent output. Engineering and Support roles requiring on-call rotation must be physically present in the office during their on-call week. All remote work requires a stable internet connection of at least 20 Mbps and availability on company communication tools during working hours.</w:t>
      </w:r>
    </w:p>
    <w:p>
      <w:pPr>
        <w:pStyle w:val="Heading2"/>
      </w:pPr>
      <w:r>
        <w:t>Dress Code</w:t>
      </w:r>
    </w:p>
    <w:p>
      <w:r>
        <w:t>Business casual attire is expected Monday through Thursday. Fridays are designated casual dress days. Client-facing meetings, whether in-person or virtual, require business formal attire regardless of the day of week.</w:t>
      </w:r>
    </w:p>
    <w:p>
      <w:pPr>
        <w:pStyle w:val="Heading2"/>
      </w:pPr>
      <w:r>
        <w:t>Code of Conduct</w:t>
      </w:r>
    </w:p>
    <w:p>
      <w:r>
        <w:t>All employees are expected to treat colleagues, clients, and vendors with respect and professionalism. Harassment, discrimination, or retaliation of any kind will not be tolerated and should be reported immediately to HR via the confidential ethics hotline at ethics@nimbustech.example.com. Violations may result in disciplinary action up to and including termination of employment.</w:t>
      </w:r>
    </w:p>
    <w:p>
      <w:pPr>
        <w:pStyle w:val="Heading2"/>
      </w:pPr>
      <w:r>
        <w:t>Confidentiality &amp; Data Security</w:t>
      </w:r>
    </w:p>
    <w:p>
      <w:r>
        <w:t>Employees must not share confidential company information, client data, or source code with any external party without written authorization from their department head. Company laptops must have full-disk encryption and an approved antivirus solution active at all times. Any suspected data breach must be reported to the IT Security team within 1 hour of discovery.</w:t>
      </w:r>
    </w:p>
    <w:p>
      <w:pPr>
        <w:pStyle w:val="Heading2"/>
      </w:pPr>
      <w:r>
        <w:t>Performance Reviews</w:t>
      </w:r>
    </w:p>
    <w:p>
      <w:r>
        <w:t>Performance reviews are conducted twice yearly, in April and October. Each review includes a self-assessment, manager assessment, and calibration against team and company-wide performance bands. Ratings range from 'Needs Improvement' to 'Outstanding' and directly inform annual compensation revisions and promotion eligibility.</w:t>
      </w:r>
    </w:p>
    <w:p>
      <w:pPr>
        <w:pStyle w:val="Heading2"/>
      </w:pPr>
      <w:r>
        <w:t>Employee Referral Bonus</w:t>
      </w:r>
    </w:p>
    <w:p>
      <w:r>
        <w:t>Employees who refer a successful candidate are eligible for a referral bonus of INR 50,000 for standard roles and INR 1,00,000 for specialized or leadership roles. The bonus is paid in two installments: 50% after the referred candidate completes 3 months, and the remaining 50% after completing 6 months of continuous employment.</w:t>
      </w:r>
    </w:p>
    <w:p>
      <w:pPr>
        <w:pStyle w:val="Heading2"/>
      </w:pPr>
      <w:r>
        <w:t>Exit Process</w:t>
      </w:r>
    </w:p>
    <w:p>
      <w:r>
        <w:t>The standard notice period is 60 days for all confirmed employees and 30 days during the probation period. Employees must complete a knowledge-transfer plan, return all company assets, and clear all pending expense reimbursements before their last working day. Full and final settlement is processed within 45 days of the last working day.</w:t>
      </w:r>
    </w:p>
    <w:tbl>
      <w:tblPr>
        <w:tblW w:type="auto" w:w="0"/>
        <w:tblLook w:firstColumn="1" w:firstRow="1" w:lastColumn="0" w:lastRow="0" w:noHBand="0" w:noVBand="1" w:val="04A0"/>
      </w:tblPr>
      <w:tblGrid>
        <w:gridCol w:w="4320"/>
        <w:gridCol w:w="4320"/>
      </w:tblGrid>
      <w:tr>
        <w:tc>
          <w:tcPr>
            <w:tcW w:type="dxa" w:w="4320"/>
          </w:tcPr>
          <w:p>
            <w:r>
              <w:t>Leave Type</w:t>
            </w:r>
          </w:p>
        </w:tc>
        <w:tc>
          <w:tcPr>
            <w:tcW w:type="dxa" w:w="4320"/>
          </w:tcPr>
          <w:p>
            <w:r>
              <w:t>Annual Entitlement</w:t>
            </w:r>
          </w:p>
        </w:tc>
      </w:tr>
      <w:tr>
        <w:tc>
          <w:tcPr>
            <w:tcW w:type="dxa" w:w="4320"/>
          </w:tcPr>
          <w:p>
            <w:r>
              <w:t>Earned Leave</w:t>
            </w:r>
          </w:p>
        </w:tc>
        <w:tc>
          <w:tcPr>
            <w:tcW w:type="dxa" w:w="4320"/>
          </w:tcPr>
          <w:p>
            <w:r>
              <w:t>21 days</w:t>
            </w:r>
          </w:p>
        </w:tc>
      </w:tr>
      <w:tr>
        <w:tc>
          <w:tcPr>
            <w:tcW w:type="dxa" w:w="4320"/>
          </w:tcPr>
          <w:p>
            <w:r>
              <w:t>Sick Leave</w:t>
            </w:r>
          </w:p>
        </w:tc>
        <w:tc>
          <w:tcPr>
            <w:tcW w:type="dxa" w:w="4320"/>
          </w:tcPr>
          <w:p>
            <w:r>
              <w:t>12 days</w:t>
            </w:r>
          </w:p>
        </w:tc>
      </w:tr>
      <w:tr>
        <w:tc>
          <w:tcPr>
            <w:tcW w:type="dxa" w:w="4320"/>
          </w:tcPr>
          <w:p>
            <w:r>
              <w:t>Casual Leave</w:t>
            </w:r>
          </w:p>
        </w:tc>
        <w:tc>
          <w:tcPr>
            <w:tcW w:type="dxa" w:w="4320"/>
          </w:tcPr>
          <w:p>
            <w:r>
              <w:t>6 days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Human Resources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