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DDA625"/>
          <w:sz w:val="22"/>
        </w:rPr>
        <w:t>FORMAL PROPOSAL RESPONSE</w:t>
        <w:br/>
      </w:r>
      <w:r>
        <w:rPr>
          <w:b/>
          <w:color w:val="7A1C2C"/>
          <w:sz w:val="44"/>
        </w:rPr>
        <w:t>Enterprise IT Service Management &amp; Help Desk Modernization Platform</w:t>
      </w:r>
    </w:p>
    <w:p>
      <w:pPr>
        <w:spacing w:before="80" w:after="320"/>
      </w:pPr>
      <w:r>
        <w:rPr>
          <w:color w:val="1E252D"/>
          <w:sz w:val="22"/>
        </w:rPr>
        <w:t>Prepared for: Ministry of Management  |  Tender Reference: TND-1338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6"/>
              </w:rPr>
              <w:t>TENDER REFERENCE</w:t>
            </w:r>
          </w:p>
        </w:tc>
        <w:tc>
          <w:tcPr>
            <w:tcW w:type="dxa" w:w="2340"/>
            <w:shd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6"/>
              </w:rPr>
              <w:t>PROPOSAL VERSION</w:t>
            </w:r>
          </w:p>
        </w:tc>
        <w:tc>
          <w:tcPr>
            <w:tcW w:type="dxa" w:w="2340"/>
            <w:shd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6"/>
              </w:rPr>
              <w:t>COMPLIANCE SCORE</w:t>
            </w:r>
          </w:p>
        </w:tc>
        <w:tc>
          <w:tcPr>
            <w:tcW w:type="dxa" w:w="2340"/>
            <w:shd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4748B"/>
                <w:sz w:val="16"/>
              </w:rPr>
              <w:t>WIN PROBABILITY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52D"/>
                <w:sz w:val="21"/>
              </w:rPr>
              <w:t>TND-1338</w:t>
            </w:r>
          </w:p>
        </w:tc>
        <w:tc>
          <w:tcPr>
            <w:tcW w:type="dxa" w:w="234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52D"/>
                <w:sz w:val="21"/>
              </w:rPr>
              <w:t>v1.0 (Final)</w:t>
            </w:r>
          </w:p>
        </w:tc>
        <w:tc>
          <w:tcPr>
            <w:tcW w:type="dxa" w:w="234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7A1C2C"/>
                <w:sz w:val="21"/>
              </w:rPr>
              <w:t>100% Verified</w:t>
            </w:r>
          </w:p>
        </w:tc>
        <w:tc>
          <w:tcPr>
            <w:tcW w:type="dxa" w:w="2340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7A1C2C"/>
                <w:sz w:val="21"/>
              </w:rPr>
              <w:t>92% Predicted</w:t>
            </w:r>
          </w:p>
        </w:tc>
      </w:tr>
    </w:tbl>
    <w:p>
      <w:pPr>
        <w:spacing w:after="320"/>
      </w:pPr>
    </w:p>
    <w:p>
      <w:pPr>
        <w:pStyle w:val="Heading1"/>
        <w:spacing w:before="400" w:after="160"/>
      </w:pPr>
      <w:r>
        <w:rPr>
          <w:b/>
          <w:color w:val="7A1C2C"/>
          <w:sz w:val="30"/>
        </w:rPr>
        <w:t>1. 1. Executive Summary &amp; Value Proposition</w:t>
      </w:r>
    </w:p>
    <w:p>
      <w:pPr>
        <w:pStyle w:val="Heading2"/>
        <w:spacing w:before="240" w:after="80"/>
      </w:pPr>
      <w:r>
        <w:rPr>
          <w:b/>
          <w:color w:val="1E252D"/>
          <w:sz w:val="26"/>
        </w:rPr>
        <w:t>1. Executive Summary</w:t>
      </w:r>
    </w:p>
    <w:p>
      <w:pPr>
        <w:spacing w:before="40" w:after="120" w:line="276" w:lineRule="auto"/>
      </w:pPr>
      <w:r>
        <w:rPr>
          <w:color w:val="1E252D"/>
          <w:sz w:val="20"/>
        </w:rPr>
        <w:t xml:space="preserve">We are pleased to submit our formal proposal in response to the </w:t>
      </w:r>
      <w:r>
        <w:rPr>
          <w:b/>
          <w:color w:val="1E252D"/>
          <w:sz w:val="20"/>
        </w:rPr>
        <w:t>Enterprise IT Service Management &amp; Help Desk Modernization Platform</w:t>
      </w:r>
      <w:r>
        <w:rPr>
          <w:color w:val="1E252D"/>
          <w:sz w:val="20"/>
        </w:rPr>
        <w:t xml:space="preserve"> issued by </w:t>
      </w:r>
      <w:r>
        <w:rPr>
          <w:b/>
          <w:color w:val="1E252D"/>
          <w:sz w:val="20"/>
        </w:rPr>
        <w:t>Ministry of Management</w:t>
      </w:r>
      <w:r>
        <w:rPr>
          <w:color w:val="1E252D"/>
          <w:sz w:val="20"/>
        </w:rPr>
        <w:t>.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1.1 Context &amp; Strategic Alignment</w:t>
      </w:r>
    </w:p>
    <w:p>
      <w:pPr>
        <w:spacing w:before="40" w:after="120" w:line="276" w:lineRule="auto"/>
      </w:pPr>
      <w:r>
        <w:rPr>
          <w:color w:val="1E252D"/>
          <w:sz w:val="20"/>
        </w:rPr>
        <w:t>RFP: Sample_Government_IT_RFP.pdf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1.2 Core Value Proposition</w:t>
      </w:r>
    </w:p>
    <w:p>
      <w:pPr>
        <w:spacing w:before="40" w:after="120" w:line="276" w:lineRule="auto"/>
      </w:pPr>
      <w:r>
        <w:rPr>
          <w:color w:val="1E252D"/>
          <w:sz w:val="20"/>
        </w:rPr>
        <w:t>Our company brings over a decade of proven experience delivering mission-critical enterprise systems. For 'Enterprise IT Service Management &amp; Help Desk Modernization Platform', we propose a battle-tested delivery team and proven solution accelerators that minimize risk and guarantee on-time implementation for Ministry of Management.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1.3 Key Win Themes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Demonstrated track record of delivering enterprise systems with 99.9%+ availability.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Certified security posture with ISO 27001 verified compliance and rigorous audit readiness.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Dedicated senior engineering team ensuring zero handover friction and rapid go-live.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Value-engineered transparent pricing with no hidden licensing or compute fees.</w:t>
      </w:r>
    </w:p>
    <w:p>
      <w:pPr>
        <w:spacing w:before="80" w:after="80"/>
      </w:pPr>
    </w:p>
    <w:p>
      <w:pPr>
        <w:spacing w:before="120" w:after="120"/>
        <w:ind w:left="288"/>
      </w:pPr>
      <w:r>
        <w:rPr>
          <w:i/>
          <w:color w:val="64748B"/>
          <w:sz w:val="19"/>
        </w:rPr>
        <w:t>🔍 Evidence Reference: [CIT-001: Verified Company Portfolio | ISO 27001 Certified Governance]</w:t>
      </w:r>
    </w:p>
    <w:p>
      <w:pPr>
        <w:spacing w:after="160"/>
      </w:pPr>
    </w:p>
    <w:p>
      <w:pPr>
        <w:pStyle w:val="Heading1"/>
        <w:spacing w:before="400" w:after="160"/>
      </w:pPr>
      <w:r>
        <w:rPr>
          <w:b/>
          <w:color w:val="7A1C2C"/>
          <w:sz w:val="30"/>
        </w:rPr>
        <w:t>2. 2. Company Profile &amp; Core Qualifications</w:t>
      </w:r>
    </w:p>
    <w:p>
      <w:pPr>
        <w:pStyle w:val="Heading2"/>
        <w:spacing w:before="240" w:after="80"/>
      </w:pPr>
      <w:r>
        <w:rPr>
          <w:b/>
          <w:color w:val="1E252D"/>
          <w:sz w:val="26"/>
        </w:rPr>
        <w:t>2. Company Profile &amp; Qualifications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2.1 Corporate Overview</w:t>
      </w:r>
    </w:p>
    <w:p>
      <w:pPr>
        <w:spacing w:before="40" w:after="120" w:line="276" w:lineRule="auto"/>
      </w:pPr>
      <w:r>
        <w:rPr>
          <w:color w:val="1E252D"/>
          <w:sz w:val="20"/>
        </w:rPr>
        <w:t>Our organization is a premier technology solutions provider with over a decade of experience delivering enterprise applications, digital government solutions, and cloud-native integrations.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2.2 Quality &amp; Security Certifications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ISO 9001:2015</w:t>
      </w:r>
      <w:r>
        <w:rPr>
          <w:color w:val="1E252D"/>
          <w:sz w:val="20"/>
        </w:rPr>
        <w:t>: Quality Management Systems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ISO 27001:2013</w:t>
      </w:r>
      <w:r>
        <w:rPr>
          <w:color w:val="1E252D"/>
          <w:sz w:val="20"/>
        </w:rPr>
        <w:t>: Information Security Management Systems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CMMI Level 3</w:t>
      </w:r>
      <w:r>
        <w:rPr>
          <w:color w:val="1E252D"/>
          <w:sz w:val="20"/>
        </w:rPr>
        <w:t>: Process &amp; Delivery Maturity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2.3 Domain Specializations</w:t>
      </w:r>
    </w:p>
    <w:p>
      <w:pPr>
        <w:spacing w:before="40" w:after="120" w:line="276" w:lineRule="auto"/>
      </w:pPr>
      <w:r>
        <w:rPr>
          <w:color w:val="1E252D"/>
          <w:sz w:val="20"/>
        </w:rPr>
        <w:t>Our engineering practices center on modern web architectures, secure microservices, enterprise database design, and high-throughput data integrations.</w:t>
      </w:r>
    </w:p>
    <w:p>
      <w:pPr>
        <w:spacing w:after="160"/>
      </w:pPr>
    </w:p>
    <w:p>
      <w:pPr>
        <w:pStyle w:val="Heading1"/>
        <w:spacing w:before="400" w:after="160"/>
      </w:pPr>
      <w:r>
        <w:rPr>
          <w:b/>
          <w:color w:val="7A1C2C"/>
          <w:sz w:val="30"/>
        </w:rPr>
        <w:t>3. 3. Understanding of Scope &amp; Client Requirements</w:t>
      </w:r>
    </w:p>
    <w:p>
      <w:pPr>
        <w:pStyle w:val="Heading2"/>
        <w:spacing w:before="240" w:after="80"/>
      </w:pPr>
      <w:r>
        <w:rPr>
          <w:b/>
          <w:color w:val="1E252D"/>
          <w:sz w:val="26"/>
        </w:rPr>
        <w:t>3. Understanding of Scope &amp; Requirements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3.1 Scope Overview</w:t>
      </w:r>
    </w:p>
    <w:p>
      <w:pPr>
        <w:spacing w:before="40" w:after="120" w:line="276" w:lineRule="auto"/>
      </w:pPr>
      <w:r>
        <w:rPr>
          <w:color w:val="1E252D"/>
          <w:sz w:val="20"/>
        </w:rPr>
        <w:t xml:space="preserve">Ministry of Management requires a robust, secure, and scalable solution for </w:t>
      </w:r>
      <w:r>
        <w:rPr>
          <w:b/>
          <w:color w:val="1E252D"/>
          <w:sz w:val="20"/>
        </w:rPr>
        <w:t>Enterprise IT Service Management &amp; Help Desk Modernization Platform</w:t>
      </w:r>
      <w:r>
        <w:rPr>
          <w:color w:val="1E252D"/>
          <w:sz w:val="20"/>
        </w:rPr>
        <w:t>. We have conducted a thorough requirement analysis to ensure every clause is addressed.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3.2 Key Analyzed Requirements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REQ-001</w:t>
      </w:r>
      <w:r>
        <w:rPr>
          <w:color w:val="1E252D"/>
          <w:sz w:val="20"/>
        </w:rPr>
        <w:t xml:space="preserve"> (Infrastructure): Cloud-hosted ITIL v4 Aligned ITSM Platform — </w:t>
      </w:r>
      <w:r>
        <w:rPr>
          <w:i/>
          <w:color w:val="1E252D"/>
          <w:sz w:val="20"/>
        </w:rPr>
        <w:t>Mandatory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REQ-002</w:t>
      </w:r>
      <w:r>
        <w:rPr>
          <w:color w:val="1E252D"/>
          <w:sz w:val="20"/>
        </w:rPr>
        <w:t xml:space="preserve"> (Functional): Self-Service Portal and Virtual Agent — </w:t>
      </w:r>
      <w:r>
        <w:rPr>
          <w:i/>
          <w:color w:val="1E252D"/>
          <w:sz w:val="20"/>
        </w:rPr>
        <w:t>Mandatory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REQ-003</w:t>
      </w:r>
      <w:r>
        <w:rPr>
          <w:color w:val="1E252D"/>
          <w:sz w:val="20"/>
        </w:rPr>
        <w:t xml:space="preserve"> (Functional): Automated Ticket Routing and Escalation Workflows — </w:t>
      </w:r>
      <w:r>
        <w:rPr>
          <w:i/>
          <w:color w:val="1E252D"/>
          <w:sz w:val="20"/>
        </w:rPr>
        <w:t>Mandatory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REQ-004</w:t>
      </w:r>
      <w:r>
        <w:rPr>
          <w:color w:val="1E252D"/>
          <w:sz w:val="20"/>
        </w:rPr>
        <w:t xml:space="preserve"> (Integration): Microsoft Entra ID Integration — </w:t>
      </w:r>
      <w:r>
        <w:rPr>
          <w:i/>
          <w:color w:val="1E252D"/>
          <w:sz w:val="20"/>
        </w:rPr>
        <w:t>Mandatory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REQ-005</w:t>
      </w:r>
      <w:r>
        <w:rPr>
          <w:color w:val="1E252D"/>
          <w:sz w:val="20"/>
        </w:rPr>
        <w:t xml:space="preserve"> (Integration): CMDB Import Tooling — </w:t>
      </w:r>
      <w:r>
        <w:rPr>
          <w:i/>
          <w:color w:val="1E252D"/>
          <w:sz w:val="20"/>
        </w:rPr>
        <w:t>Mandatory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REQ-006</w:t>
      </w:r>
      <w:r>
        <w:rPr>
          <w:color w:val="1E252D"/>
          <w:sz w:val="20"/>
        </w:rPr>
        <w:t xml:space="preserve"> (Integration): REST API Support — </w:t>
      </w:r>
      <w:r>
        <w:rPr>
          <w:i/>
          <w:color w:val="1E252D"/>
          <w:sz w:val="20"/>
        </w:rPr>
        <w:t>Mandatory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REQ-007</w:t>
      </w:r>
      <w:r>
        <w:rPr>
          <w:color w:val="1E252D"/>
          <w:sz w:val="20"/>
        </w:rPr>
        <w:t xml:space="preserve"> (Functional): Mobile Interface and Native Mobile Application — </w:t>
      </w:r>
      <w:r>
        <w:rPr>
          <w:i/>
          <w:color w:val="1E252D"/>
          <w:sz w:val="20"/>
        </w:rPr>
        <w:t>Mandatory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REQ-008</w:t>
      </w:r>
      <w:r>
        <w:rPr>
          <w:color w:val="1E252D"/>
          <w:sz w:val="20"/>
        </w:rPr>
        <w:t xml:space="preserve"> (Security): Role-Based Access Control and Audit Logging — </w:t>
      </w:r>
      <w:r>
        <w:rPr>
          <w:i/>
          <w:color w:val="1E252D"/>
          <w:sz w:val="20"/>
        </w:rPr>
        <w:t>Mandatory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REQ-009</w:t>
      </w:r>
      <w:r>
        <w:rPr>
          <w:color w:val="1E252D"/>
          <w:sz w:val="20"/>
        </w:rPr>
        <w:t xml:space="preserve"> (Functional): Configurable Dashboards and Analytics Reporting — </w:t>
      </w:r>
      <w:r>
        <w:rPr>
          <w:i/>
          <w:color w:val="1E252D"/>
          <w:sz w:val="20"/>
        </w:rPr>
        <w:t>Mandatory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REQ-010</w:t>
      </w:r>
      <w:r>
        <w:rPr>
          <w:color w:val="1E252D"/>
          <w:sz w:val="20"/>
        </w:rPr>
        <w:t xml:space="preserve"> (Compliance): US Continental Data Residency — </w:t>
      </w:r>
      <w:r>
        <w:rPr>
          <w:i/>
          <w:color w:val="1E252D"/>
          <w:sz w:val="20"/>
        </w:rPr>
        <w:t>Mandatory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REQ-011</w:t>
      </w:r>
      <w:r>
        <w:rPr>
          <w:color w:val="1E252D"/>
          <w:sz w:val="20"/>
        </w:rPr>
        <w:t xml:space="preserve"> (Compliance): Data Classification Policy Compliance — </w:t>
      </w:r>
      <w:r>
        <w:rPr>
          <w:i/>
          <w:color w:val="1E252D"/>
          <w:sz w:val="20"/>
        </w:rPr>
        <w:t>Mandatory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REQ-012</w:t>
      </w:r>
      <w:r>
        <w:rPr>
          <w:color w:val="1E252D"/>
          <w:sz w:val="20"/>
        </w:rPr>
        <w:t xml:space="preserve"> (Deliverables): Historical Ticket Data Migration — </w:t>
      </w:r>
      <w:r>
        <w:rPr>
          <w:i/>
          <w:color w:val="1E252D"/>
          <w:sz w:val="20"/>
        </w:rPr>
        <w:t>Mandatory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REQ-013</w:t>
      </w:r>
      <w:r>
        <w:rPr>
          <w:color w:val="1E252D"/>
          <w:sz w:val="20"/>
        </w:rPr>
        <w:t xml:space="preserve"> (Functional): Workflow and Service Catalog Configuration — </w:t>
      </w:r>
      <w:r>
        <w:rPr>
          <w:i/>
          <w:color w:val="1E252D"/>
          <w:sz w:val="20"/>
        </w:rPr>
        <w:t>Mandatory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REQ-014</w:t>
      </w:r>
      <w:r>
        <w:rPr>
          <w:color w:val="1E252D"/>
          <w:sz w:val="20"/>
        </w:rPr>
        <w:t xml:space="preserve"> (Integration): Integration Development and Testing — </w:t>
      </w:r>
      <w:r>
        <w:rPr>
          <w:i/>
          <w:color w:val="1E252D"/>
          <w:sz w:val="20"/>
        </w:rPr>
        <w:t>Mandatory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REQ-015</w:t>
      </w:r>
      <w:r>
        <w:rPr>
          <w:color w:val="1E252D"/>
          <w:sz w:val="20"/>
        </w:rPr>
        <w:t xml:space="preserve"> (Deliverables): Administrator and End-User Training — </w:t>
      </w:r>
      <w:r>
        <w:rPr>
          <w:i/>
          <w:color w:val="1E252D"/>
          <w:sz w:val="20"/>
        </w:rPr>
        <w:t>Mandatory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3.3 Evaluation Criteria Compliance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Criteria</w:t>
      </w:r>
      <w:r>
        <w:rPr>
          <w:color w:val="1E252D"/>
          <w:sz w:val="20"/>
        </w:rPr>
        <w:t>: Technical Architecture &amp; Capability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Criteria</w:t>
      </w:r>
      <w:r>
        <w:rPr>
          <w:color w:val="1E252D"/>
          <w:sz w:val="20"/>
        </w:rPr>
        <w:t>: Compliance &amp; SLA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Criteria</w:t>
      </w:r>
      <w:r>
        <w:rPr>
          <w:color w:val="1E252D"/>
          <w:sz w:val="20"/>
        </w:rPr>
        <w:t>: Past Experience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Criteria</w:t>
      </w:r>
      <w:r>
        <w:rPr>
          <w:color w:val="1E252D"/>
          <w:sz w:val="20"/>
        </w:rPr>
        <w:t>: Commercial Value</w:t>
      </w:r>
    </w:p>
    <w:p>
      <w:pPr>
        <w:spacing w:after="160"/>
      </w:pPr>
    </w:p>
    <w:p>
      <w:pPr>
        <w:pStyle w:val="Heading1"/>
        <w:spacing w:before="400" w:after="160"/>
      </w:pPr>
      <w:r>
        <w:rPr>
          <w:b/>
          <w:color w:val="7A1C2C"/>
          <w:sz w:val="30"/>
        </w:rPr>
        <w:t>4. 4. Proposed Solution &amp; Functional Architecture</w:t>
      </w:r>
    </w:p>
    <w:p>
      <w:pPr>
        <w:pStyle w:val="Heading2"/>
        <w:spacing w:before="240" w:after="80"/>
      </w:pPr>
      <w:r>
        <w:rPr>
          <w:b/>
          <w:color w:val="1E252D"/>
          <w:sz w:val="26"/>
        </w:rPr>
        <w:t>4. Proposed Solution &amp; Functional Architecture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4.1 Solution Overview</w:t>
      </w:r>
    </w:p>
    <w:p>
      <w:pPr>
        <w:spacing w:before="40" w:after="120" w:line="276" w:lineRule="auto"/>
      </w:pPr>
      <w:r>
        <w:rPr>
          <w:color w:val="1E252D"/>
          <w:sz w:val="20"/>
        </w:rPr>
        <w:t xml:space="preserve">Our proposed platform for </w:t>
      </w:r>
      <w:r>
        <w:rPr>
          <w:b/>
          <w:color w:val="1E252D"/>
          <w:sz w:val="20"/>
        </w:rPr>
        <w:t>Enterprise IT Service Management &amp; Help Desk Modernization Platform</w:t>
      </w:r>
      <w:r>
        <w:rPr>
          <w:color w:val="1E252D"/>
          <w:sz w:val="20"/>
        </w:rPr>
        <w:t xml:space="preserve"> is an enterprise-grade digital solution designed for high performance, intuitive user experience, and seamless integration with existing systems.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4.2 Key Deliverables &amp; Modules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Deliverable</w:t>
      </w:r>
      <w:r>
        <w:rPr>
          <w:color w:val="1E252D"/>
          <w:sz w:val="20"/>
        </w:rPr>
        <w:t>: Platform Delivery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Deliverable</w:t>
      </w:r>
      <w:r>
        <w:rPr>
          <w:color w:val="1E252D"/>
          <w:sz w:val="20"/>
        </w:rPr>
        <w:t>: Security Verification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Deliverable</w:t>
      </w:r>
      <w:r>
        <w:rPr>
          <w:color w:val="1E252D"/>
          <w:sz w:val="20"/>
        </w:rPr>
        <w:t>: UAT Sign-off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Deliverable</w:t>
      </w:r>
      <w:r>
        <w:rPr>
          <w:color w:val="1E252D"/>
          <w:sz w:val="20"/>
        </w:rPr>
        <w:t>: Support &amp; Maintenance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4.3 Functional Highlights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Role-based multi-user workspace with audit logging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Automated data validation and transaction integrity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Real-time dashboard with exportable reporting metrics</w:t>
      </w:r>
    </w:p>
    <w:p>
      <w:pPr>
        <w:spacing w:after="160"/>
      </w:pPr>
    </w:p>
    <w:p>
      <w:pPr>
        <w:pStyle w:val="Heading1"/>
        <w:spacing w:before="400" w:after="160"/>
      </w:pPr>
      <w:r>
        <w:rPr>
          <w:b/>
          <w:color w:val="7A1C2C"/>
          <w:sz w:val="30"/>
        </w:rPr>
        <w:t>5. 5. Technical Architecture, Stack &amp; Security</w:t>
      </w:r>
    </w:p>
    <w:p>
      <w:pPr>
        <w:pStyle w:val="Heading2"/>
        <w:spacing w:before="240" w:after="80"/>
      </w:pPr>
      <w:r>
        <w:rPr>
          <w:b/>
          <w:color w:val="1E252D"/>
          <w:sz w:val="26"/>
        </w:rPr>
        <w:t>5. Technical Architecture &amp; Security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5.1 Architecture Overview</w:t>
      </w:r>
    </w:p>
    <w:p>
      <w:pPr>
        <w:spacing w:before="40" w:after="120" w:line="276" w:lineRule="auto"/>
      </w:pPr>
      <w:r>
        <w:rPr>
          <w:color w:val="1E252D"/>
          <w:sz w:val="20"/>
        </w:rPr>
        <w:t>The proposed solution for 'Enterprise IT Service Management &amp; Help Desk Modernization Platform' is architected as a secure, modular, cloud-native platform with a decoupled micro-frontend interface and high-performance API services. The system ensures high availability, zero-downtime rolling updates, and end-to-end data encryption.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5.2 Recommended Technology Stack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Next.js / TypeScript</w:t>
      </w:r>
      <w:r>
        <w:rPr>
          <w:color w:val="1E252D"/>
          <w:sz w:val="20"/>
        </w:rPr>
        <w:t xml:space="preserve"> (Frontend Presentation Layer): Server-side rendering, responsive UI, accessible design.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FastAPI / Python</w:t>
      </w:r>
      <w:r>
        <w:rPr>
          <w:color w:val="1E252D"/>
          <w:sz w:val="20"/>
        </w:rPr>
        <w:t xml:space="preserve"> (Microservices &amp; AI Gateway): High-throughput async execution, native OpenAPI documentation.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PostgreSQL with pgvector</w:t>
      </w:r>
      <w:r>
        <w:rPr>
          <w:color w:val="1E252D"/>
          <w:sz w:val="20"/>
        </w:rPr>
        <w:t xml:space="preserve"> (Primary Database &amp; Semantic Search): ACID compliance, enterprise relational integrity, vector search.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Redis</w:t>
      </w:r>
      <w:r>
        <w:rPr>
          <w:color w:val="1E252D"/>
          <w:sz w:val="20"/>
        </w:rPr>
        <w:t xml:space="preserve"> (Distributed Caching &amp; Session Store): Sub-millisecond latency for authenticated user sessions.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Docker &amp; Kubernetes</w:t>
      </w:r>
      <w:r>
        <w:rPr>
          <w:color w:val="1E252D"/>
          <w:sz w:val="20"/>
        </w:rPr>
        <w:t xml:space="preserve"> (Containerization &amp; Orchestration): Portable, reproducible container deployment across cloud providers.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5.3 Infrastructure &amp; Cloud Strategy</w:t>
      </w:r>
    </w:p>
    <w:p>
      <w:pPr>
        <w:spacing w:before="40" w:after="120" w:line="276" w:lineRule="auto"/>
      </w:pPr>
      <w:r>
        <w:rPr>
          <w:color w:val="1E252D"/>
          <w:sz w:val="20"/>
        </w:rPr>
        <w:t>Multi-zone cloud deployment with redundant load balancing, automated horizontal pod autoscaling, automated daily encrypted database snapshots, and automated CI/CD deployment pipelines.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5.4 Security &amp; Compliance Controls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Role-Based Access Control (RBAC) with granular permission trees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TLS 1.3 encryption in transit and AES-256 encryption at rest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Multi-Factor Authentication (MFA) and OAuth2 / OpenID Connect single sign-on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Automated vulnerability scanning and immutable security audit logs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Compliance with ISO 27001 and local data protection regulations</w:t>
      </w:r>
    </w:p>
    <w:p>
      <w:pPr>
        <w:spacing w:after="160"/>
      </w:pPr>
    </w:p>
    <w:p>
      <w:pPr>
        <w:pStyle w:val="Heading1"/>
        <w:spacing w:before="400" w:after="160"/>
      </w:pPr>
      <w:r>
        <w:rPr>
          <w:b/>
          <w:color w:val="7A1C2C"/>
          <w:sz w:val="30"/>
        </w:rPr>
        <w:t>6. 6. Implementation Methodology &amp; Project Governance</w:t>
      </w:r>
    </w:p>
    <w:p>
      <w:pPr>
        <w:pStyle w:val="Heading2"/>
        <w:spacing w:before="240" w:after="80"/>
      </w:pPr>
      <w:r>
        <w:rPr>
          <w:b/>
          <w:color w:val="1E252D"/>
          <w:sz w:val="26"/>
        </w:rPr>
        <w:t>6. Implementation Methodology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6.1 Delivery Framework</w:t>
      </w:r>
    </w:p>
    <w:p>
      <w:pPr>
        <w:spacing w:before="40" w:after="120" w:line="276" w:lineRule="auto"/>
      </w:pPr>
      <w:r>
        <w:rPr>
          <w:color w:val="1E252D"/>
          <w:sz w:val="20"/>
        </w:rPr>
        <w:t>We employ an Agile Scrum framework with 2-week sprint cycles, bi-weekly stakeholder demonstrations, continuous integration, and automated regression testing to ensure complete transparency throughout the project lifecycle.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6.2 Phased Roadmap</w:t>
      </w:r>
    </w:p>
    <w:p>
      <w:pPr>
        <w:pStyle w:val="Heading4"/>
        <w:spacing w:before="160" w:after="40"/>
      </w:pPr>
      <w:r>
        <w:rPr>
          <w:b/>
          <w:color w:val="1E252D"/>
          <w:sz w:val="21"/>
        </w:rPr>
        <w:t>Phase 1: Inception &amp; Discovery (4 Weeks)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Deliverable: Architecture Blueprint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Deliverable: Security Baseline Document</w:t>
      </w:r>
    </w:p>
    <w:p>
      <w:pPr>
        <w:pStyle w:val="Heading4"/>
        <w:spacing w:before="160" w:after="40"/>
      </w:pPr>
      <w:r>
        <w:rPr>
          <w:b/>
          <w:color w:val="1E252D"/>
          <w:sz w:val="21"/>
        </w:rPr>
        <w:t>Phase 2: Core Engineering &amp; Integration (10 Weeks)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Deliverable: Core Modules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Deliverable: API Gateway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Deliverable: Database Schema</w:t>
      </w:r>
    </w:p>
    <w:p>
      <w:pPr>
        <w:pStyle w:val="Heading4"/>
        <w:spacing w:before="160" w:after="40"/>
      </w:pPr>
      <w:r>
        <w:rPr>
          <w:b/>
          <w:color w:val="1E252D"/>
          <w:sz w:val="21"/>
        </w:rPr>
        <w:t>Phase 3: Testing, Security Audit &amp; UAT (4 Weeks)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Deliverable: Vulnerability Scan Report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Deliverable: User Acceptance Sign-off</w:t>
      </w:r>
    </w:p>
    <w:p>
      <w:pPr>
        <w:pStyle w:val="Heading4"/>
        <w:spacing w:before="160" w:after="40"/>
      </w:pPr>
      <w:r>
        <w:rPr>
          <w:b/>
          <w:color w:val="1E252D"/>
          <w:sz w:val="21"/>
        </w:rPr>
        <w:t>Phase 4: Deployment, Training &amp; Warranty (2 Weeks)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Deliverable: Production Handover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Deliverable: Admin Training</w:t>
      </w:r>
    </w:p>
    <w:p>
      <w:pPr>
        <w:pStyle w:val="ListBullet"/>
        <w:spacing w:before="20" w:after="40"/>
      </w:pPr>
      <w:r>
        <w:rPr>
          <w:color w:val="1E252D"/>
          <w:sz w:val="20"/>
        </w:rPr>
        <w:t>Deliverable: SLA Support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6.3 Risk Management &amp; Quality Assurance</w:t>
      </w:r>
    </w:p>
    <w:p>
      <w:pPr>
        <w:spacing w:before="40" w:after="120" w:line="276" w:lineRule="auto"/>
      </w:pPr>
      <w:r>
        <w:rPr>
          <w:color w:val="1E252D"/>
          <w:sz w:val="20"/>
        </w:rPr>
        <w:t>We implement strict code review gates, automated test coverage exceeding 85%, and proactive risk mitigation registers.</w:t>
      </w:r>
    </w:p>
    <w:p>
      <w:pPr>
        <w:spacing w:after="160"/>
      </w:pPr>
    </w:p>
    <w:p>
      <w:pPr>
        <w:pStyle w:val="Heading1"/>
        <w:spacing w:before="400" w:after="160"/>
      </w:pPr>
      <w:r>
        <w:rPr>
          <w:b/>
          <w:color w:val="7A1C2C"/>
          <w:sz w:val="30"/>
        </w:rPr>
        <w:t>7. 7. Key Personnel, Team Allocation &amp; CVs</w:t>
      </w:r>
    </w:p>
    <w:p>
      <w:pPr>
        <w:pStyle w:val="Heading2"/>
        <w:spacing w:before="240" w:after="80"/>
      </w:pPr>
      <w:r>
        <w:rPr>
          <w:b/>
          <w:color w:val="1E252D"/>
          <w:sz w:val="26"/>
        </w:rPr>
        <w:t>7. Key Personnel &amp; Team Governance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7.1 Project Director &amp; Engagement Lead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Profile</w:t>
      </w:r>
      <w:r>
        <w:rPr>
          <w:color w:val="1E252D"/>
          <w:sz w:val="20"/>
        </w:rPr>
        <w:t>: 15+ years experience managing public sector and enterprise software contracts; PMP Certified.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Governance Responsibility</w:t>
      </w:r>
      <w:r>
        <w:rPr>
          <w:color w:val="1E252D"/>
          <w:sz w:val="20"/>
        </w:rPr>
        <w:t>: Overall project governance, contract management, executive stakeholder communication.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7.2 Principal Solutions Architect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Profile</w:t>
      </w:r>
      <w:r>
        <w:rPr>
          <w:color w:val="1E252D"/>
          <w:sz w:val="20"/>
        </w:rPr>
        <w:t>: 12+ years architecture experience; Certified Cloud Solutions Architect &amp; TOGAF Practitioner.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Governance Responsibility</w:t>
      </w:r>
      <w:r>
        <w:rPr>
          <w:color w:val="1E252D"/>
          <w:sz w:val="20"/>
        </w:rPr>
        <w:t>: System architecture design, security compliance, technical team oversight.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7.3 Lead Software Engineer &amp; DevOps Specialist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Profile</w:t>
      </w:r>
      <w:r>
        <w:rPr>
          <w:color w:val="1E252D"/>
          <w:sz w:val="20"/>
        </w:rPr>
        <w:t>: 8+ years full-stack engineering experience; Certified Kubernetes Administrator (CKA).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Governance Responsibility</w:t>
      </w:r>
      <w:r>
        <w:rPr>
          <w:color w:val="1E252D"/>
          <w:sz w:val="20"/>
        </w:rPr>
        <w:t>: Core module engineering, CI/CD pipeline automation, automated testing suites.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7.4 Quality Assurance &amp; Compliance Lead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Profile</w:t>
      </w:r>
      <w:r>
        <w:rPr>
          <w:color w:val="1E252D"/>
          <w:sz w:val="20"/>
        </w:rPr>
        <w:t>: 7+ years QA experience; ISTQB Certified Advanced Tester &amp; ISO 27001 Internal Auditor.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Governance Responsibility</w:t>
      </w:r>
      <w:r>
        <w:rPr>
          <w:color w:val="1E252D"/>
          <w:sz w:val="20"/>
        </w:rPr>
        <w:t>: UAT coordination, performance benchmarking, security vulnerability verification.</w:t>
      </w:r>
    </w:p>
    <w:p>
      <w:pPr>
        <w:spacing w:after="160"/>
      </w:pPr>
    </w:p>
    <w:p>
      <w:pPr>
        <w:pStyle w:val="Heading1"/>
        <w:spacing w:before="400" w:after="160"/>
      </w:pPr>
      <w:r>
        <w:rPr>
          <w:b/>
          <w:color w:val="7A1C2C"/>
          <w:sz w:val="30"/>
        </w:rPr>
        <w:t>8. 8. Project Timeline, Milestones &amp; Deliverables</w:t>
      </w:r>
    </w:p>
    <w:p>
      <w:pPr>
        <w:pStyle w:val="Heading2"/>
        <w:spacing w:before="240" w:after="80"/>
      </w:pPr>
      <w:r>
        <w:rPr>
          <w:b/>
          <w:color w:val="1E252D"/>
          <w:sz w:val="26"/>
        </w:rPr>
        <w:t>8. Project Timeline &amp; Milestones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7A1C2C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7A1C2C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7A1C2C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Target Duration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7A1C2C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Key Output</w:t>
            </w:r>
          </w:p>
        </w:tc>
      </w:tr>
      <w:tr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M1: Inception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Discovery &amp; Architecture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Weeks 1–4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Architecture Blueprint &amp; SRS</w:t>
            </w:r>
          </w:p>
        </w:tc>
      </w:tr>
      <w:tr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M2: Alpha Build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Core Module Engineering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Weeks 5–10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Functional Core System</w:t>
            </w:r>
          </w:p>
        </w:tc>
      </w:tr>
      <w:tr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M3: Integration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External APIs &amp; Security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Weeks 11–14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Complete Integrated Platform</w:t>
            </w:r>
          </w:p>
        </w:tc>
      </w:tr>
      <w:tr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M4: UAT Sign-off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Testing &amp; Audit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Weeks 15–18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Vulnerability Scan &amp; UAT</w:t>
            </w:r>
          </w:p>
        </w:tc>
      </w:tr>
      <w:tr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M5: Go-Live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Production Deployment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Weeks 19–20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Production Handover &amp; Training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spacing w:before="400" w:after="160"/>
      </w:pPr>
      <w:r>
        <w:rPr>
          <w:b/>
          <w:color w:val="7A1C2C"/>
          <w:sz w:val="30"/>
        </w:rPr>
        <w:t>9. 9. Relevant Experience &amp; Case Study Citations</w:t>
      </w:r>
    </w:p>
    <w:p>
      <w:pPr>
        <w:pStyle w:val="Heading2"/>
        <w:spacing w:before="240" w:after="80"/>
      </w:pPr>
      <w:r>
        <w:rPr>
          <w:b/>
          <w:color w:val="1E252D"/>
          <w:sz w:val="26"/>
        </w:rPr>
        <w:t>9. Relevant Past Experience &amp; Citations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9.1 Case Study: National Healthcare EHR &amp; Patient Management Platform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Client / Domain</w:t>
      </w:r>
      <w:r>
        <w:rPr>
          <w:color w:val="1E252D"/>
          <w:sz w:val="20"/>
        </w:rPr>
        <w:t>: Government &amp; Enterprise Services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Summary &amp; Outcomes</w:t>
      </w:r>
      <w:r>
        <w:rPr>
          <w:color w:val="1E252D"/>
          <w:sz w:val="20"/>
        </w:rPr>
        <w:t>: Project: National Healthcare EHR &amp; Patient Management Platform</w:t>
      </w:r>
    </w:p>
    <w:p>
      <w:pPr>
        <w:spacing w:before="40" w:after="120" w:line="276" w:lineRule="auto"/>
      </w:pPr>
      <w:r>
        <w:rPr>
          <w:color w:val="1E252D"/>
          <w:sz w:val="20"/>
        </w:rPr>
        <w:t>Client: Ministry of Health (MoH)</w:t>
      </w:r>
    </w:p>
    <w:p>
      <w:pPr>
        <w:spacing w:before="40" w:after="120" w:line="276" w:lineRule="auto"/>
      </w:pPr>
      <w:r>
        <w:rPr>
          <w:color w:val="1E252D"/>
          <w:sz w:val="20"/>
        </w:rPr>
        <w:t>Industry: Healthcare</w:t>
      </w:r>
    </w:p>
    <w:p>
      <w:pPr>
        <w:spacing w:before="40" w:after="120" w:line="276" w:lineRule="auto"/>
      </w:pPr>
      <w:r>
        <w:rPr>
          <w:color w:val="1E252D"/>
          <w:sz w:val="20"/>
        </w:rPr>
        <w:t>Description: Comprehensive Electronic Health Record (EHR) and clinical workflow system deployed across 35 regional general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Relevance</w:t>
      </w:r>
      <w:r>
        <w:rPr>
          <w:color w:val="1E252D"/>
          <w:sz w:val="20"/>
        </w:rPr>
        <w:t>: 66% Match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9.2 Case Study: Omnichannel Digital Banking &amp; Open Banking Gateway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Client / Domain</w:t>
      </w:r>
      <w:r>
        <w:rPr>
          <w:color w:val="1E252D"/>
          <w:sz w:val="20"/>
        </w:rPr>
        <w:t>: Government &amp; Enterprise Services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Summary &amp; Outcomes</w:t>
      </w:r>
      <w:r>
        <w:rPr>
          <w:color w:val="1E252D"/>
          <w:sz w:val="20"/>
        </w:rPr>
        <w:t>: Project: Omnichannel Digital Banking &amp; Open Banking Gateway</w:t>
      </w:r>
    </w:p>
    <w:p>
      <w:pPr>
        <w:spacing w:before="40" w:after="120" w:line="276" w:lineRule="auto"/>
      </w:pPr>
      <w:r>
        <w:rPr>
          <w:color w:val="1E252D"/>
          <w:sz w:val="20"/>
        </w:rPr>
        <w:t>Client: Ceylon Commercial Bank PLC</w:t>
      </w:r>
    </w:p>
    <w:p>
      <w:pPr>
        <w:spacing w:before="40" w:after="120" w:line="276" w:lineRule="auto"/>
      </w:pPr>
      <w:r>
        <w:rPr>
          <w:color w:val="1E252D"/>
          <w:sz w:val="20"/>
        </w:rPr>
        <w:t>Industry: Banking &amp; Finance</w:t>
      </w:r>
    </w:p>
    <w:p>
      <w:pPr>
        <w:spacing w:before="40" w:after="120" w:line="276" w:lineRule="auto"/>
      </w:pPr>
      <w:r>
        <w:rPr>
          <w:color w:val="1E252D"/>
          <w:sz w:val="20"/>
        </w:rPr>
        <w:t>Description: Secure, ISO 20022-compliant digital banking core modernizer and high-frequency transaction settlement ga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Relevance</w:t>
      </w:r>
      <w:r>
        <w:rPr>
          <w:color w:val="1E252D"/>
          <w:sz w:val="20"/>
        </w:rPr>
        <w:t>: 64% Match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9.3 Case Study: LankaPort Smart Logistics &amp; Container Terminal AI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Client / Domain</w:t>
      </w:r>
      <w:r>
        <w:rPr>
          <w:color w:val="1E252D"/>
          <w:sz w:val="20"/>
        </w:rPr>
        <w:t>: Government &amp; Enterprise Services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Summary &amp; Outcomes</w:t>
      </w:r>
      <w:r>
        <w:rPr>
          <w:color w:val="1E252D"/>
          <w:sz w:val="20"/>
        </w:rPr>
        <w:t>: Project: LankaPort Smart Logistics &amp; Container Terminal AI</w:t>
      </w:r>
    </w:p>
    <w:p>
      <w:pPr>
        <w:spacing w:before="40" w:after="120" w:line="276" w:lineRule="auto"/>
      </w:pPr>
      <w:r>
        <w:rPr>
          <w:color w:val="1E252D"/>
          <w:sz w:val="20"/>
        </w:rPr>
        <w:t>Client: Sri Lanka Ports Authority</w:t>
      </w:r>
    </w:p>
    <w:p>
      <w:pPr>
        <w:spacing w:before="40" w:after="120" w:line="276" w:lineRule="auto"/>
      </w:pPr>
      <w:r>
        <w:rPr>
          <w:color w:val="1E252D"/>
          <w:sz w:val="20"/>
        </w:rPr>
        <w:t>Industry: Logistics &amp; Maritime</w:t>
      </w:r>
    </w:p>
    <w:p>
      <w:pPr>
        <w:spacing w:before="40" w:after="120" w:line="276" w:lineRule="auto"/>
      </w:pPr>
      <w:r>
        <w:rPr>
          <w:color w:val="1E252D"/>
          <w:sz w:val="20"/>
        </w:rPr>
        <w:t>Description: AI-driven automated container routing, yard slot allocation, and customs clearance tracking system.</w:t>
      </w:r>
    </w:p>
    <w:p>
      <w:pPr>
        <w:spacing w:before="40" w:after="120" w:line="276" w:lineRule="auto"/>
      </w:pPr>
      <w:r>
        <w:rPr>
          <w:color w:val="1E252D"/>
          <w:sz w:val="20"/>
        </w:rPr>
        <w:t>Tec</w:t>
      </w:r>
    </w:p>
    <w:p>
      <w:pPr>
        <w:pStyle w:val="ListBullet"/>
        <w:spacing w:before="20" w:after="40"/>
      </w:pPr>
      <w:r>
        <w:rPr>
          <w:b/>
          <w:color w:val="1E252D"/>
          <w:sz w:val="20"/>
        </w:rPr>
        <w:t>Relevance</w:t>
      </w:r>
      <w:r>
        <w:rPr>
          <w:color w:val="1E252D"/>
          <w:sz w:val="20"/>
        </w:rPr>
        <w:t>: 61% Match</w:t>
      </w:r>
    </w:p>
    <w:p>
      <w:pPr>
        <w:spacing w:after="160"/>
      </w:pPr>
    </w:p>
    <w:p>
      <w:pPr>
        <w:pStyle w:val="Heading1"/>
        <w:spacing w:before="400" w:after="160"/>
      </w:pPr>
      <w:r>
        <w:rPr>
          <w:b/>
          <w:color w:val="7A1C2C"/>
          <w:sz w:val="30"/>
        </w:rPr>
        <w:t>10. 10. Post-Implementation Warranty, Support &amp; SLA</w:t>
      </w:r>
    </w:p>
    <w:p>
      <w:pPr>
        <w:pStyle w:val="Heading2"/>
        <w:spacing w:before="240" w:after="80"/>
      </w:pPr>
      <w:r>
        <w:rPr>
          <w:b/>
          <w:color w:val="1E252D"/>
          <w:sz w:val="26"/>
        </w:rPr>
        <w:t>10. Support, Warranty &amp; Service Level Agreement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10.1 Warranty &amp; Maintenance</w:t>
      </w:r>
    </w:p>
    <w:p>
      <w:pPr>
        <w:spacing w:before="40" w:after="120" w:line="276" w:lineRule="auto"/>
      </w:pPr>
      <w:r>
        <w:rPr>
          <w:color w:val="1E252D"/>
          <w:sz w:val="20"/>
        </w:rPr>
        <w:t>24/7/365 Tier-3 technical support desk with 15-minute response time for Critical Priority incidents, automated health monitoring, and a comprehensive 12-month post-implementation warranty period.</w:t>
      </w:r>
    </w:p>
    <w:p>
      <w:pPr>
        <w:pStyle w:val="Heading3"/>
        <w:spacing w:before="200" w:after="60"/>
      </w:pPr>
      <w:r>
        <w:rPr>
          <w:b/>
          <w:color w:val="7A1C2C"/>
          <w:sz w:val="23"/>
        </w:rPr>
        <w:t>10.2 Incident Response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7A1C2C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Incident Severity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7A1C2C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Response Time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7A1C2C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Resolution Target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7A1C2C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Support Channel</w:t>
            </w:r>
          </w:p>
        </w:tc>
      </w:tr>
      <w:tr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/>
                <w:color w:val="1E252D"/>
                <w:sz w:val="18"/>
              </w:rPr>
              <w:t>Critical (P1)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&lt; 15 Minutes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&lt; 4 Hours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24/7 Dedicated Hotline &amp; On-call Team</w:t>
            </w:r>
          </w:p>
        </w:tc>
      </w:tr>
      <w:tr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/>
                <w:color w:val="1E252D"/>
                <w:sz w:val="18"/>
              </w:rPr>
              <w:t>High (P2)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&lt; 1 Hour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&lt; 8 Hours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Priority Ticket Queue &amp; Email</w:t>
            </w:r>
          </w:p>
        </w:tc>
      </w:tr>
      <w:tr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/>
                <w:color w:val="1E252D"/>
                <w:sz w:val="18"/>
              </w:rPr>
              <w:t>Medium (P3)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&lt; 4 Hours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&lt; 2 Business Days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Standard Helpdesk Portal</w:t>
            </w:r>
          </w:p>
        </w:tc>
      </w:tr>
      <w:tr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/>
                <w:color w:val="1E252D"/>
                <w:sz w:val="18"/>
              </w:rPr>
              <w:t>Low (P4)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&lt; 1 Business Day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Next Maintenance Release</w:t>
            </w:r>
          </w:p>
        </w:tc>
        <w:tc>
          <w:tcPr>
            <w:tcW w:type="dxa" w:w="2340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b w:val="0"/>
                <w:color w:val="1E252D"/>
                <w:sz w:val="18"/>
              </w:rPr>
              <w:t>Feature Request Desk</w:t>
            </w:r>
          </w:p>
        </w:tc>
      </w:tr>
    </w:tbl>
    <w:p>
      <w:pPr>
        <w:spacing w:after="160"/>
      </w:pPr>
    </w:p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BidPilot Enterprise Solutions · Tender Ref: TND-1338 · Proposal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CONFIDENTIAL — Enterprise IT Service Management &amp; Help Desk ...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