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Employee Attrition: What the Data Tells Us</w:t>
      </w:r>
    </w:p>
    <w:p>
      <w:pPr>
        <w:spacing w:after="200"/>
      </w:pPr>
      <w:r>
        <w:rPr>
          <w:i/>
          <w:iCs/>
          <w:color w:val="595959"/>
          <w:sz w:val="20"/>
          <w:szCs w:val="20"/>
        </w:rPr>
        <w:t xml:space="preserve">Prepared for the HR Director  |  Based on analysis of 1,470 employee records</w:t>
      </w:r>
    </w:p>
    <w:p>
      <w:pPr>
        <w:spacing w:after="160"/>
      </w:pPr>
      <w:r>
        <w:rPr>
          <w:sz w:val="22"/>
          <w:szCs w:val="22"/>
        </w:rPr>
        <w:t xml:space="preserve">Right now, about 1 in every 6 employees (16%) leaves the company. We looked closely at who leaves, when they leave, and why — so retention efforts can be targeted instead of guesswork.</w:t>
      </w:r>
    </w:p>
    <w:p>
      <w:pPr>
        <w:pStyle w:val="Heading2"/>
      </w:pPr>
      <w:r>
        <w:t xml:space="preserve">The Three Biggest Warning Signs</w:t>
      </w:r>
    </w:p>
    <w:p>
      <w:pPr>
        <w:pStyle w:val="ListParagraph"/>
        <w:numPr>
          <w:ilvl w:val="0"/>
          <w:numId w:val="2"/>
        </w:numPr>
        <w:spacing w:after="120"/>
      </w:pPr>
      <w:r>
        <w:rPr>
          <w:sz w:val="22"/>
          <w:szCs w:val="22"/>
        </w:rPr>
        <w:t xml:space="preserve">Working overtime: employees who regularly work overtime leave nearly 3 times as often as those who don’t (about 31% vs 11%). This is one of the clearest red flags in the data.</w:t>
      </w:r>
    </w:p>
    <w:p>
      <w:pPr>
        <w:pStyle w:val="ListParagraph"/>
        <w:numPr>
          <w:ilvl w:val="0"/>
          <w:numId w:val="2"/>
        </w:numPr>
        <w:spacing w:after="120"/>
      </w:pPr>
      <w:r>
        <w:rPr>
          <w:sz w:val="22"/>
          <w:szCs w:val="22"/>
        </w:rPr>
        <w:t xml:space="preserve">Being new: employees in their first year are at the highest risk — over a third leave (34–36%) before reaching their second anniversary. Risk drops steadily after that.</w:t>
      </w:r>
    </w:p>
    <w:p>
      <w:pPr>
        <w:pStyle w:val="ListParagraph"/>
        <w:numPr>
          <w:ilvl w:val="0"/>
          <w:numId w:val="2"/>
        </w:numPr>
        <w:spacing w:after="120"/>
      </w:pPr>
      <w:r>
        <w:rPr>
          <w:sz w:val="22"/>
          <w:szCs w:val="22"/>
        </w:rPr>
        <w:t xml:space="preserve">Lower pay: employees who left earned noticeably less on average than those who stayed, though pay alone doesn’t tell the full story (see below).</w:t>
      </w:r>
    </w:p>
    <w:p>
      <w:pPr>
        <w:pStyle w:val="Heading2"/>
      </w:pPr>
      <w:r>
        <w:t xml:space="preserve">Where to Focus Retention Efforts</w:t>
      </w:r>
    </w:p>
    <w:p>
      <w:pPr>
        <w:spacing w:after="140"/>
      </w:pPr>
      <w:r>
        <w:rPr>
          <w:sz w:val="22"/>
          <w:szCs w:val="22"/>
        </w:rPr>
        <w:t xml:space="preserve">Sales Representatives are leaving at the highest rate of any role in the company — roughly 40%, more than double the company average. The Sales department overall, and Laboratory Technicians, are the next-highest priority groups.</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4590"/>
        <w:gridCol w:w="2295"/>
        <w:gridCol w:w="2295"/>
      </w:tblGrid>
      <w:tr>
        <w:tc>
          <w:tcPr>
            <w:tcW w:type="dxa" w:w="459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1"/>
                <w:szCs w:val="21"/>
              </w:rPr>
              <w:t xml:space="preserve">Group</w:t>
            </w:r>
          </w:p>
        </w:tc>
        <w:tc>
          <w:tcPr>
            <w:tcW w:type="dxa" w:w="2295"/>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1"/>
                <w:szCs w:val="21"/>
              </w:rPr>
              <w:t xml:space="preserve">Attrition Rate</w:t>
            </w:r>
          </w:p>
        </w:tc>
        <w:tc>
          <w:tcPr>
            <w:tcW w:type="dxa" w:w="2295"/>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1"/>
                <w:szCs w:val="21"/>
              </w:rPr>
              <w:t xml:space="preserve">Priority</w:t>
            </w:r>
          </w:p>
        </w:tc>
      </w:tr>
      <w:tr>
        <w:tc>
          <w:tcPr>
            <w:tcW w:type="dxa" w:w="45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1"/>
                <w:szCs w:val="21"/>
              </w:rPr>
              <w:t xml:space="preserve">Sales Representatives</w:t>
            </w:r>
          </w:p>
        </w:tc>
        <w:tc>
          <w:tcPr>
            <w:tcW w:type="dxa" w:w="229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~40%</w:t>
            </w:r>
          </w:p>
        </w:tc>
        <w:tc>
          <w:tcPr>
            <w:tcW w:type="dxa" w:w="229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Highest</w:t>
            </w:r>
          </w:p>
        </w:tc>
      </w:tr>
      <w:tr>
        <w:tc>
          <w:tcPr>
            <w:tcW w:type="dxa" w:w="45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Laboratory Technicians</w:t>
            </w:r>
          </w:p>
        </w:tc>
        <w:tc>
          <w:tcPr>
            <w:tcW w:type="dxa" w:w="229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~24%</w:t>
            </w:r>
          </w:p>
        </w:tc>
        <w:tc>
          <w:tcPr>
            <w:tcW w:type="dxa" w:w="229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High</w:t>
            </w:r>
          </w:p>
        </w:tc>
      </w:tr>
      <w:tr>
        <w:tc>
          <w:tcPr>
            <w:tcW w:type="dxa" w:w="45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Sales Department (overall)</w:t>
            </w:r>
          </w:p>
        </w:tc>
        <w:tc>
          <w:tcPr>
            <w:tcW w:type="dxa" w:w="229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~21%</w:t>
            </w:r>
          </w:p>
        </w:tc>
        <w:tc>
          <w:tcPr>
            <w:tcW w:type="dxa" w:w="229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High</w:t>
            </w:r>
          </w:p>
        </w:tc>
      </w:tr>
      <w:tr>
        <w:tc>
          <w:tcPr>
            <w:tcW w:type="dxa" w:w="45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Company-wide average</w:t>
            </w:r>
          </w:p>
        </w:tc>
        <w:tc>
          <w:tcPr>
            <w:tcW w:type="dxa" w:w="229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~16%</w:t>
            </w:r>
          </w:p>
        </w:tc>
        <w:tc>
          <w:tcPr>
            <w:tcW w:type="dxa" w:w="229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Baseline</w:t>
            </w:r>
          </w:p>
        </w:tc>
      </w:tr>
    </w:tbl>
    <w:p>
      <w:pPr>
        <w:pStyle w:val="Heading2"/>
        <w:spacing w:before="220"/>
      </w:pPr>
      <w:r>
        <w:t xml:space="preserve">Is It Just About Salary?</w:t>
      </w:r>
    </w:p>
    <w:p>
      <w:pPr>
        <w:spacing w:after="100"/>
      </w:pPr>
      <w:r>
        <w:rPr>
          <w:sz w:val="22"/>
          <w:szCs w:val="22"/>
        </w:rPr>
        <w:t xml:space="preserve">No. Pay matters, but it’s not the deciding factor. Some well-paid groups, like Sales Executives, still leave at above-average rates. Workload (overtime) and how new an employee is matter just as much as — and sometimes more than — salary.</w:t>
      </w:r>
    </w:p>
    <w:p>
      <w:pPr>
        <w:pStyle w:val="Heading2"/>
      </w:pPr>
      <w:r>
        <w:t xml:space="preserve">Two Recommendations We Can Act On Now</w:t>
      </w:r>
    </w:p>
    <w:p>
      <w:pPr>
        <w:pStyle w:val="ListParagraph"/>
        <w:numPr>
          <w:ilvl w:val="0"/>
          <w:numId w:val="2"/>
        </w:numPr>
        <w:spacing w:after="120"/>
      </w:pPr>
      <w:r>
        <w:rPr>
          <w:sz w:val="22"/>
          <w:szCs w:val="22"/>
        </w:rPr>
        <w:t xml:space="preserve">Build a structured check-in for new hires at 90 days and 1 year. Since the first year carries double the company’s average risk, a scheduled manager conversation at these milestones could catch problems before someone resigns.</w:t>
      </w:r>
    </w:p>
    <w:p>
      <w:pPr>
        <w:pStyle w:val="ListParagraph"/>
        <w:numPr>
          <w:ilvl w:val="0"/>
          <w:numId w:val="2"/>
        </w:numPr>
        <w:spacing w:after="120"/>
      </w:pPr>
      <w:r>
        <w:rPr>
          <w:sz w:val="22"/>
          <w:szCs w:val="22"/>
        </w:rPr>
        <w:t xml:space="preserve">Review overtime practices in Sales, starting with Sales Representatives. Given this group has both the highest overtime exposure and the highest attrition rate, capping overtime or adjusting how it’s compensated could meaningfully reduce turnover in our highest-risk role.</w:t>
      </w:r>
    </w:p>
    <w:p>
      <w:pPr>
        <w:pStyle w:val="Heading2"/>
      </w:pPr>
      <w:r>
        <w:t xml:space="preserve">One Important Caveat</w:t>
      </w:r>
    </w:p>
    <w:p>
      <w:r>
        <w:rPr>
          <w:sz w:val="22"/>
          <w:szCs w:val="22"/>
        </w:rPr>
        <w:t xml:space="preserve">This analysis is based on patterns in past data from one point in time, with a relatively small number of employees who actually left. It’s best used as a way to flag employees worth a closer look and prioritize where to spend retention effort — not as a final word on any one person’s decision to stay or go.</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00" w:before="220"/>
      <w:outlineLvl w:val="1"/>
    </w:pPr>
    <w:rPr>
      <w:rFonts w:ascii="Calibri" w:cs="Calibri" w:eastAsia="Calibri" w:hAnsi="Calibri"/>
      <w:b/>
      <w:bCs/>
      <w:color w:val="2E5C8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2026-06-26T12:28:03.947Z</dcterms:created>
  <dcterms:modified xsi:type="dcterms:W3CDTF">2026-06-26T12:28:03.947Z</dcterms:modified>
</cp:coreProperties>
</file>

<file path=docProps/custom.xml><?xml version="1.0" encoding="utf-8"?>
<Properties xmlns="http://schemas.openxmlformats.org/officeDocument/2006/custom-properties" xmlns:vt="http://schemas.openxmlformats.org/officeDocument/2006/docPropsVTypes"/>
</file>