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B9" w:rsidRPr="00B07651" w:rsidRDefault="00B07651" w:rsidP="00B07651">
      <w:pPr>
        <w:pStyle w:val="a4"/>
        <w:jc w:val="center"/>
        <w:rPr>
          <w:rStyle w:val="fadeinm1hgl8"/>
          <w:rFonts w:ascii="Times New Roman" w:hAnsi="Times New Roman" w:cs="Times New Roman"/>
          <w:b/>
          <w:sz w:val="20"/>
          <w:szCs w:val="20"/>
        </w:rPr>
      </w:pPr>
      <w:r w:rsidRPr="00B07651">
        <w:rPr>
          <w:rStyle w:val="fadeinm1hgl8"/>
          <w:rFonts w:ascii="Times New Roman" w:hAnsi="Times New Roman" w:cs="Times New Roman"/>
          <w:b/>
          <w:sz w:val="20"/>
          <w:szCs w:val="20"/>
        </w:rPr>
        <w:t>Прогнозирование дефолта компании с использованием графов юридических лиц</w:t>
      </w:r>
    </w:p>
    <w:p w:rsidR="00B07651" w:rsidRPr="00B07651" w:rsidRDefault="00B07651" w:rsidP="00B076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Аннотация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Цель проекта – повысить точность прогнозирования корпоративных дефолтов путем интеграции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графового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 анализа связей юридических лиц в модель кредитного риска. В рамках работы будут построены графы компаний на основе структур собственности, отношений «материнская–дочерняя» компании, транзакционных связей и исторических случаев дефолта. Из графов планируется извлечь информативные признаки (метрики центральности,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embedding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-и, структуры сообществ) и объединить их с финансовыми показателями компаний. Для прогноза вероятности дефолта будут применены модели машинного обучения (например, градиентный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бустинг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) и глубокого обучения на графах (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Graph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Neural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Networks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, GNN). Оценка качества моделей будет проводиться по метрикам AUC, F1 и PR-кривым, что позволит сравнить эффективность традиционных и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графовых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 подходов. Ожидается, что включение сетевых признаков выявит скрытые взаимосвязи между компаниями и улучшит точность предсказания дефолта по сравнению с моделями, опирающимися только на финансовую информацию.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Введение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Style w:val="fadeinm1hgl8"/>
          <w:rFonts w:ascii="Times New Roman" w:hAnsi="Times New Roman" w:cs="Times New Roman"/>
          <w:sz w:val="20"/>
          <w:szCs w:val="20"/>
        </w:rPr>
      </w:pPr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Прогнозирование вероятности дефолта компании является ключевой задачей финансового риска, имеющей большое значение для банков, инвесторов и регуляторов. Традиционно для оценки кредитоспособности используются только финансовые показатели и бухгалтерские коэффициенты компании, однако такой подход не учитывает её связь с другими фирмами и контрагентами. При этом компании образуют сложные сети через отношения собственности, совместных руководителей, </w:t>
      </w:r>
      <w:proofErr w:type="spellStart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>клиентско-поставщицкие</w:t>
      </w:r>
      <w:proofErr w:type="spellEnd"/>
      <w:r w:rsidRPr="00B07651">
        <w:rPr>
          <w:rStyle w:val="fadeinm1hgl8"/>
          <w:rFonts w:ascii="Times New Roman" w:hAnsi="Times New Roman" w:cs="Times New Roman"/>
          <w:sz w:val="20"/>
          <w:szCs w:val="20"/>
        </w:rPr>
        <w:t xml:space="preserve"> связи и прочие деловые взаимодействия. Исследования показывают, что финансовые проблемы могут распространяться по таким сетям: например, убыточность или неплатежеспособность одного предприятия повышает риск дефолта у связанных с ним контрагентов. В связи с этим возникает гипотеза, что использование параметров, описывающих положение компании в межфирменном графе, позволит более точно оценивать её вероятность дефолта по сравнению с моделями, опирающимися исключительно на собственные финансовые показатели фирмы. Настоящий проект нацелен на проверку этой гипотезы путем интеграции методов анализа сетей юридических лиц в модель прогноза дефолтов.</w:t>
      </w:r>
    </w:p>
    <w:p w:rsidR="00B07651" w:rsidRPr="00B07651" w:rsidRDefault="00B07651" w:rsidP="00B07651">
      <w:pPr>
        <w:pStyle w:val="a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07651">
        <w:rPr>
          <w:rStyle w:val="fadeinm1hgl8"/>
          <w:rFonts w:ascii="Times New Roman" w:hAnsi="Times New Roman" w:cs="Times New Roman"/>
          <w:b/>
          <w:sz w:val="20"/>
          <w:szCs w:val="20"/>
        </w:rPr>
        <w:t>Обзор литературы</w:t>
      </w:r>
    </w:p>
    <w:p w:rsidR="00B07651" w:rsidRPr="00B07651" w:rsidRDefault="00B07651" w:rsidP="00B07651">
      <w:pPr>
        <w:pStyle w:val="af3"/>
        <w:jc w:val="both"/>
        <w:rPr>
          <w:sz w:val="20"/>
          <w:szCs w:val="20"/>
        </w:rPr>
      </w:pPr>
      <w:r w:rsidRPr="00B07651">
        <w:rPr>
          <w:rStyle w:val="fadeinm1hgl8"/>
          <w:rFonts w:eastAsiaTheme="majorEastAsia"/>
          <w:sz w:val="20"/>
          <w:szCs w:val="20"/>
        </w:rPr>
        <w:t xml:space="preserve">Для повышения качества прогнозирования дефолтов исследователи стали привлекать данные о взаимоотношениях компаний и применять методы сетевого анализа. Так,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Tobback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с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соавт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. построили сеть малых и средних предприятий по общим директорам и с помощью специального сетевого классификатора рассчитали для каждой фирмы «реляционный» скор на основе дефолтов её связанных соседей, добавив этот показатель в модель наряду с финансовыми коэффициентами. В результате комбинированная модель показала более высокую точность по сравнению с использованием только финансовых данных: совместное применение сетевых и финансовых переменных дало наибольший прирост качества прогноза. Другой подход предложен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Martínez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и др., которые анализировали граф связей «поставщик–покупатель»: расчёт метрик графа (например, степени центральности узлов и других структурных характеристик) и применение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графовой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свёрточной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нейросети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(GCN) позволили существенно улучшить предсказание будущих дефолтов предприятий.</w:t>
      </w:r>
    </w:p>
    <w:p w:rsidR="00B07651" w:rsidRPr="00B07651" w:rsidRDefault="00B07651" w:rsidP="00B07651">
      <w:pPr>
        <w:pStyle w:val="af3"/>
        <w:jc w:val="both"/>
        <w:rPr>
          <w:rStyle w:val="fadeinm1hgl8"/>
          <w:rFonts w:eastAsiaTheme="majorEastAsia"/>
          <w:sz w:val="20"/>
          <w:szCs w:val="20"/>
        </w:rPr>
      </w:pPr>
      <w:r w:rsidRPr="00B07651">
        <w:rPr>
          <w:rStyle w:val="fadeinm1hgl8"/>
          <w:rFonts w:eastAsiaTheme="majorEastAsia"/>
          <w:sz w:val="20"/>
          <w:szCs w:val="20"/>
        </w:rPr>
        <w:t xml:space="preserve">В последние годы набирают популярность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графовые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нейронные сети (GNN) для задач кредитного риска, поскольку они учитывают нелинейные зависимости между связанными компаниями, недоступные традиционным моделям. Например,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Brogaard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и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Chen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(2024) сообщают, что модель GNN с информацией о межфирменной сети улучшила точность прогноза кредитных спредов более чем на 50% по сравнению с классическими алгоритмами.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Minakawa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и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соавт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. (2024) продемонстрировали, что специальный метод отбора соседних узлов в большом графе (с приоритетом связей с большим объёмом транзакций) позволяет повысить стабильность и качество прогнозирования дефолтов по сравнению со стандартным случайным отбором соседей. На практике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графовый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подход уже применяется в банковской сфере: например, Газпромбанк использует граф юридических лиц (связи через общих руководителей, доли владения и транзакции) для расчёта метрик расстояний и центральностей, которые интегрируются в кредитный </w:t>
      </w:r>
      <w:proofErr w:type="spellStart"/>
      <w:r w:rsidRPr="00B07651">
        <w:rPr>
          <w:rStyle w:val="fadeinm1hgl8"/>
          <w:rFonts w:eastAsiaTheme="majorEastAsia"/>
          <w:sz w:val="20"/>
          <w:szCs w:val="20"/>
        </w:rPr>
        <w:t>скоринг</w:t>
      </w:r>
      <w:proofErr w:type="spellEnd"/>
      <w:r w:rsidRPr="00B07651">
        <w:rPr>
          <w:rStyle w:val="fadeinm1hgl8"/>
          <w:rFonts w:eastAsiaTheme="majorEastAsia"/>
          <w:sz w:val="20"/>
          <w:szCs w:val="20"/>
        </w:rPr>
        <w:t xml:space="preserve"> и дают заметный прирост точности по сравнению с моделями без учёта графов.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Описание данных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Для исследования потребуется совокупность финансовых и сетевых данных о компаниях. Финансовые показатели будут включать бухгалтерскую отчётность и коэффициенты (ликвидность, задолженность, рентабельность и др.), характеризующие текущее состояние и динамику бизнеса каждой компании. Сетевые данные представляют собой граф юридических лиц, где узлами являются компании, а рёбра отражают различные виды связей между ними. В частности, будут учитываться отношения владения (доли участия, связи «материнская–дочерняя» компания), пересечения в руководстве или составе акционеров, а также коммерческие взаимоотношения — например, кредитно-долговые или транзакционные связи между фирмами. Кроме того, для некоторых компаний будет отмечено событие дефолта (банкротства) в прошлом, что позволит использовать эти сведения как метки для обучения и как информацию в графе (например, наличие в окружении фирмы узлов с историей дефолта). Данные планируется собрать из открытых источников (базы корпоративной отчетности, реестры юридических лиц) и внутренних баз данных, охватывая достаточное число предприятий для статистически значимых выводов.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Запланированные методы SNA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построенного графа компаний будут рассчитаны различные показатели сетевого анализа, в том числе:</w:t>
      </w:r>
    </w:p>
    <w:p w:rsidR="00B07651" w:rsidRPr="00B07651" w:rsidRDefault="00B07651" w:rsidP="00B076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Метрики центральности узлов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количественные меры влияния и значимости компании в сети (например, степень узла, посредничество, близость, центральность собственного вектора и др.).</w:t>
      </w:r>
    </w:p>
    <w:p w:rsidR="00B07651" w:rsidRPr="00B07651" w:rsidRDefault="00B07651" w:rsidP="00B076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Векторные представления узлов (</w:t>
      </w:r>
      <w:proofErr w:type="spellStart"/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node</w:t>
      </w:r>
      <w:proofErr w:type="spellEnd"/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embeddings</w:t>
      </w:r>
      <w:proofErr w:type="spellEnd"/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обучение представлений вершин графа в виде числовых векторов, сохраняющих структуру связей. Планируется использовать методы вложений графов (например, алгоритм Node2Vec) либо обучать представления с помощью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графовых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нейронных сетей, чтобы кодировать структурные особенности окружения каждой компании.</w:t>
      </w:r>
    </w:p>
    <w:p w:rsidR="00B07651" w:rsidRPr="00B07651" w:rsidRDefault="00B07651" w:rsidP="00B076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Обнаружение сообществ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выявление кластеров тесно связанных компаний в графе (например, алгоритмом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Лувена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). Принадлежность компании к тому или иному сообществу, размер этого сообщества и другие характеристики могут быть использованы как признаки, отражающие структуру сети.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Извлечённые сетевые признаки затем будут объединены с традиционными финансовыми показателями и использованы в моделях прогнозирования дефолта. В частности, планируется построение ансамблевых моделей машинного обучения (градиентный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бустинг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деревьев решений) с расширенным признаковым пространством, а также экспериментальное применение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графовых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нейронных сетей (GNN), способных непосредственно обучаться на структуре графа. При наличии исторических данных за несколько периодов возможна реализация временных моделей, учитывающих эволюцию показателей и сетевых связей во времени.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Ожидаемые результаты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Предполагается, что модели, учитывающие сетевые признаки, продемонстрируют более высокую точность прогноза дефолтов по сравнению с базовыми моделями, основанными только на финансовых данных. Ожидаемый прирост качества будет отражён в повышении показателей AUC, полноты, точности и улучшении PR-кривой для позитивного класса дефолта. Помимо общего улучшения метрик, анализ значимости признаков (например, в модели градиентного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бустинга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и интерпретация параметров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графовой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модели (GNN) позволят выявить, какие сетевые характеристики наиболее сильно коррелируют с риском дефолта. Предполагается, что ключевыми факторами могут оказаться высокое значение центральности компании в корпоративной сети, участие в плотном сообществе связанных фирм или, напротив, изолированное положение, а также наличие прямых или косвенных связей с уже обанкротившимися предприятиями. Выявление таких структур и паттернов в графе даст более глубокое понимание системных причин корпоративных дефолтов и покажет, как использование сетевой информации позволяет точнее идентифицировать организации с повышенным кредитным риском.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Список литературы</w:t>
      </w:r>
    </w:p>
    <w:p w:rsidR="00B07651" w:rsidRPr="00B07651" w:rsidRDefault="00B07651" w:rsidP="00B07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Савинов А.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Графовый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анализ — обзор и области применения //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Хабр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, 2021. — URL: https://habr.com/ru/companies/glowbyte/articles/594221/ (дата обращения: 20.05.2025).</w:t>
      </w:r>
    </w:p>
    <w:p w:rsidR="00B07651" w:rsidRPr="00B07651" w:rsidRDefault="00B07651" w:rsidP="00B07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Tobback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E., Bellotti T.,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Moeyersoms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J.,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Stankova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M., Martens D. Bankruptcy prediction for SMEs using relational data // Decision Support Systems. — 2017. — Vol. 102. — P. 69–81. — URL: https://doi.org/10.1016/j.dss.2017.07.004 (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обращения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20.05.2025).</w:t>
      </w:r>
    </w:p>
    <w:p w:rsidR="00B07651" w:rsidRPr="00B07651" w:rsidRDefault="00B07651" w:rsidP="00B07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Martínez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A., Nin J.,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Tomás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E., Rubio A. Graph Convolutional Networks on Customer/Supplier Graph Data to Improve Default Prediction // Complex Networks X: Proceedings of the 10th International Conference on 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Complex Networks (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CompleNet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2019). — Springer, 2019. — P. 135–146. — URL: https://doi.org/10.1007/978-3-030-14459-3_11 (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обращения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20.05.2025).</w:t>
      </w:r>
    </w:p>
    <w:p w:rsidR="00B07651" w:rsidRPr="00B07651" w:rsidRDefault="00B07651" w:rsidP="00B07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Zhao J.,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Ouenniche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J., De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Smedt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J. A complex network analysis approach to bankruptcy prediction using company relational information-based drivers // Knowledge-Based Systems. — 2024. — Vol. 300. — Article 112234. — P. 1–24. — URL: https://doi.org/10.1016/j.knosys.2024.112234 (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обращения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20.05.2025).</w:t>
      </w:r>
    </w:p>
    <w:p w:rsidR="00B07651" w:rsidRPr="00B07651" w:rsidRDefault="00B07651" w:rsidP="00B07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Minakawa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N., Izumi K., Murayama Y.,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Sakaji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H. Firm Default Prediction by GNN with Gravity-Model Informed Neighbor Node Sampling // The Review of </w:t>
      </w: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Socionetwork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Strategies. — 2024. — Vol. 18. — P. 303–328. — URL: https://doi.org/10.1007/s12626-024-00170-6 (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обращения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20.05.2025).</w:t>
      </w:r>
    </w:p>
    <w:p w:rsidR="00B07651" w:rsidRPr="00B07651" w:rsidRDefault="00B07651" w:rsidP="00B07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Brogaard</w:t>
      </w:r>
      <w:proofErr w:type="spellEnd"/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J., Chen B. Attention-based Graph Neural Networks in Firm CDS Prediction. — 2024. — (Preprint). — URL: https://www.belindachenchen.com/uploads/GNN/Attention_based_Graph_Neural_Networks_in_Firm_CDS_Prediction.pdf (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0765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обращения</w:t>
      </w:r>
      <w:r w:rsidRPr="00B076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20.05.2025).</w:t>
      </w:r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B07651" w:rsidRPr="00B07651" w:rsidRDefault="00B07651" w:rsidP="00B07651">
      <w:pPr>
        <w:pStyle w:val="af3"/>
        <w:jc w:val="both"/>
        <w:rPr>
          <w:sz w:val="20"/>
          <w:szCs w:val="20"/>
          <w:lang w:val="en-US"/>
        </w:rPr>
      </w:pPr>
      <w:bookmarkStart w:id="0" w:name="_GoBack"/>
      <w:bookmarkEnd w:id="0"/>
    </w:p>
    <w:p w:rsidR="00B07651" w:rsidRPr="00B07651" w:rsidRDefault="00B07651" w:rsidP="00B07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B07651" w:rsidRDefault="00B07651" w:rsidP="00B076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07651" w:rsidRPr="00B07651" w:rsidRDefault="00B07651" w:rsidP="00B076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B07651" w:rsidRPr="00B0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2E35"/>
    <w:multiLevelType w:val="multilevel"/>
    <w:tmpl w:val="A0F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14266"/>
    <w:multiLevelType w:val="multilevel"/>
    <w:tmpl w:val="E97A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51"/>
    <w:rsid w:val="003762B9"/>
    <w:rsid w:val="00A23EB8"/>
    <w:rsid w:val="00B0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48AC"/>
  <w15:chartTrackingRefBased/>
  <w15:docId w15:val="{11B48503-EFDA-457D-8AB6-21359D1F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EB8"/>
  </w:style>
  <w:style w:type="paragraph" w:styleId="1">
    <w:name w:val="heading 1"/>
    <w:basedOn w:val="a"/>
    <w:next w:val="a"/>
    <w:link w:val="10"/>
    <w:uiPriority w:val="9"/>
    <w:qFormat/>
    <w:rsid w:val="00A23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2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A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E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E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A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E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E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E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EB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3EB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23EB8"/>
    <w:rPr>
      <w:rFonts w:asciiTheme="majorHAnsi" w:eastAsiaTheme="majorEastAsia" w:hAnsiTheme="majorHAnsi" w:cstheme="majorBidi"/>
      <w:color w:val="37373A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3EB8"/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EB8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EB8"/>
    <w:rPr>
      <w:rFonts w:asciiTheme="majorHAnsi" w:eastAsiaTheme="majorEastAsia" w:hAnsiTheme="majorHAnsi" w:cstheme="majorBidi"/>
      <w:color w:val="37373A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23EB8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23E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3E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23EB8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23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3E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23E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23EB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23EB8"/>
    <w:rPr>
      <w:b/>
      <w:bCs/>
      <w:color w:val="auto"/>
    </w:rPr>
  </w:style>
  <w:style w:type="character" w:styleId="a9">
    <w:name w:val="Emphasis"/>
    <w:basedOn w:val="a0"/>
    <w:uiPriority w:val="20"/>
    <w:qFormat/>
    <w:rsid w:val="00A23EB8"/>
    <w:rPr>
      <w:i/>
      <w:iCs/>
      <w:color w:val="auto"/>
    </w:rPr>
  </w:style>
  <w:style w:type="paragraph" w:styleId="aa">
    <w:name w:val="No Spacing"/>
    <w:uiPriority w:val="1"/>
    <w:qFormat/>
    <w:rsid w:val="00A23EB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23E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EB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23EB8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i/>
      <w:iCs/>
      <w:color w:val="6F6F7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23EB8"/>
    <w:rPr>
      <w:i/>
      <w:iCs/>
      <w:color w:val="6F6F74" w:themeColor="accent1"/>
    </w:rPr>
  </w:style>
  <w:style w:type="character" w:styleId="ad">
    <w:name w:val="Subtle Emphasis"/>
    <w:basedOn w:val="a0"/>
    <w:uiPriority w:val="19"/>
    <w:qFormat/>
    <w:rsid w:val="00A23EB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23EB8"/>
    <w:rPr>
      <w:i/>
      <w:iCs/>
      <w:color w:val="6F6F74" w:themeColor="accent1"/>
    </w:rPr>
  </w:style>
  <w:style w:type="character" w:styleId="af">
    <w:name w:val="Subtle Reference"/>
    <w:basedOn w:val="a0"/>
    <w:uiPriority w:val="31"/>
    <w:qFormat/>
    <w:rsid w:val="00A23EB8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23EB8"/>
    <w:rPr>
      <w:b/>
      <w:bCs/>
      <w:smallCaps/>
      <w:color w:val="6F6F74" w:themeColor="accent1"/>
      <w:spacing w:val="5"/>
    </w:rPr>
  </w:style>
  <w:style w:type="character" w:styleId="af1">
    <w:name w:val="Book Title"/>
    <w:basedOn w:val="a0"/>
    <w:uiPriority w:val="33"/>
    <w:qFormat/>
    <w:rsid w:val="00A23EB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23EB8"/>
    <w:pPr>
      <w:outlineLvl w:val="9"/>
    </w:pPr>
  </w:style>
  <w:style w:type="character" w:customStyle="1" w:styleId="fadeinm1hgl8">
    <w:name w:val="_fadein_m1hgl_8"/>
    <w:basedOn w:val="a0"/>
    <w:rsid w:val="00B07651"/>
  </w:style>
  <w:style w:type="paragraph" w:styleId="af3">
    <w:name w:val="Normal (Web)"/>
    <w:basedOn w:val="a"/>
    <w:uiPriority w:val="99"/>
    <w:semiHidden/>
    <w:unhideWhenUsed/>
    <w:rsid w:val="00B0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1">
    <w:name w:val="ms-1"/>
    <w:basedOn w:val="a0"/>
    <w:rsid w:val="00B07651"/>
  </w:style>
  <w:style w:type="character" w:customStyle="1" w:styleId="max-w-full">
    <w:name w:val="max-w-full"/>
    <w:basedOn w:val="a0"/>
    <w:rsid w:val="00B0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2025-05-20T15:31:00Z</dcterms:created>
  <dcterms:modified xsi:type="dcterms:W3CDTF">2025-05-20T15:40:00Z</dcterms:modified>
</cp:coreProperties>
</file>