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bookmark=id.uzklips5k58w" w:id="0"/>
    <w:bookmarkEnd w:id="0"/>
    <w:p w:rsidR="00000000" w:rsidDel="00000000" w:rsidP="00000000" w:rsidRDefault="00000000" w:rsidRPr="00000000" w14:paraId="00000001">
      <w:pPr>
        <w:spacing w:after="120" w:before="240" w:lineRule="auto"/>
        <w:rPr>
          <w:b w:val="1"/>
          <w:bCs w:val="1"/>
          <w:color w:val="f7a11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f7a11a"/>
          <w:sz w:val="30"/>
          <w:szCs w:val="30"/>
          <w:rtl w:val="0"/>
        </w:rPr>
        <w:t xml:space="preserve">BTEC Assignment Brief </w:t>
      </w:r>
      <w:r w:rsidDel="00000000" w:rsidR="00000000" w:rsidRPr="00000000">
        <w:rPr>
          <w:rtl w:val="0"/>
        </w:rPr>
      </w:r>
    </w:p>
    <w:tbl>
      <w:tblPr>
        <w:tblStyle w:val="Table1"/>
        <w:tblW w:w="9207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3"/>
        <w:gridCol w:w="851"/>
        <w:gridCol w:w="6603"/>
        <w:tblGridChange w:id="0">
          <w:tblGrid>
            <w:gridCol w:w="1753"/>
            <w:gridCol w:w="851"/>
            <w:gridCol w:w="660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bookmarkStart w:colFirst="0" w:colLast="0" w:name="_heading=h.hvdushzezvsk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Unit number and title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Unit 12: Business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aim(s) </w:t>
            </w:r>
            <w:r w:rsidDel="00000000" w:rsidR="00000000" w:rsidRPr="00000000">
              <w:rPr>
                <w:rtl w:val="0"/>
              </w:rPr>
              <w:t xml:space="preserve">(For NQF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LO1 Discuss business processes and the mechanisms used to support business decision-making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LO2 Compare the tools and technologies associated with business intelligence functionality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LO3 Demonstrate the use of business intelligence tools and technologies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LO4 Discuss the impact of business intelligence tools and technologies for effective decision-making purposes and the legal/regulatory context in which they are used.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left"/>
              <w:rPr>
                <w:vertAlign w:val="superscript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AI-Driven Business Intelligence Platform for Smart Surveillance and Human Activity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 in deadline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Vocational Scenario or Context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Project Context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You are working as a Junior Business Intelligence and AI Consultant for a smart city innovation consortium that includes universities, municipal authorities, transport departments, and private security organizations. The consortium plans to develop an integrated AI-Powered Smart Surveillance and Business Intelligence (ASSBI) Platform capable of monitoring human movement, crowd density, security risks, and operational efficiency in real-time.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platform combines: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28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Business Intelligence dashboards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Artificial Intelligence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Computer Vision technologies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YOLO-based object detection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OpenCV-based video analytics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Real-time monitoring systems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AI Chatbot assistance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28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Predictive analytics and reporting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system will be deployed in: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Universities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Public streets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Smart campuses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Transportation hubs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Commercial areas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Tasks: </w:t>
              <w:br w:type="textWrapping"/>
              <w:t xml:space="preserve">- Business Intelligence and AI System Analysis</w:t>
              <w:br w:type="textWrapping"/>
              <w:t xml:space="preserve">- Data Pipeline and System Architecture</w:t>
              <w:br w:type="textWrapping"/>
              <w:t xml:space="preserve">- AI and Analytics Application</w:t>
              <w:br w:type="textWrapping"/>
              <w:t xml:space="preserve">- Evaluation and Recommendations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ind w:left="1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of evidence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Task 1 – AI and BI Overview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AI monitoring systems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YOLO and OpenCV usage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Dashboard reporting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AI chatbot functions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Benefits of smart surveillance</w:t>
            </w:r>
          </w:p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Task 2 – Data Pipeline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Describe: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Real-time analytics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Dashboard system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Mention tools such as: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Task 3 – AI Analytics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Apply: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Human detection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Crowd counting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Object tracking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Predictive analytics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Create: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Dashboards</w:t>
            </w:r>
          </w:p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Task 4 – System Evaluation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Evaluate: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System performance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AI accuracy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Data quality</w:t>
            </w:r>
          </w:p>
          <w:p w:rsidR="00000000" w:rsidDel="00000000" w:rsidP="00000000" w:rsidRDefault="00000000" w:rsidRPr="00000000" w14:paraId="00000065">
            <w:pPr>
              <w:rPr>
                <w:rFonts w:ascii="SimSun" w:cs="SimSun" w:eastAsia="SimSun" w:hAnsi="SimSu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Privacy and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covered by this task: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Unit/Criteria reference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A.D1</w:t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Critically evaluate AI-BI pipeline design decisions, including architecture, scalability, integration strategies and real-time constraints.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A.M1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Assess the effectiveness of pipeline components in relation to data volume, variety, velocity and veracity.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A.P1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Construct scalable BI and AI pipelines capable of processing structured and unstructured surveillance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A.P2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Justify the use of real-time and batch processing strategies in AI-powered monitoring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B.D2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Compare storage models and data modelling techniques for large-scale video analytics and BI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B.M2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Formulate architectural strategies to address organisational data challenges, including scalability, system integration and long-term sustainability.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B.P3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Differentiate between structured, semi-structured and unstructured data storage approaches.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B.P4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Interpret the suitability of selected data modelling approaches for enterprise BI and AI performance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C.D3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Critically justify analytics workflows considering organizational objectives, stakeholders and technical limitations.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C.M3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Assess the strengths and limitations of selected AI and BI analytical techniques.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C.P5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rtl w:val="0"/>
              </w:rPr>
              <w:t xml:space="preserve">Interpret governance, ethics, privacy and compliance requirements for AI surveillance and BI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Sources of information to support you with this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Kimball, R. and Ross, M. (2023).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Data Warehouse Toolkit</w:t>
            </w:r>
            <w:r w:rsidDel="00000000" w:rsidR="00000000" w:rsidRPr="00000000">
              <w:rPr>
                <w:rtl w:val="0"/>
              </w:rPr>
              <w:t xml:space="preserve">. Wiley.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García-García, A. and García-García, J. (2023).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 Engineering with Python</w:t>
            </w:r>
            <w:r w:rsidDel="00000000" w:rsidR="00000000" w:rsidRPr="00000000">
              <w:rPr>
                <w:rtl w:val="0"/>
              </w:rPr>
              <w:t xml:space="preserve">. Packt Publishing.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Goodfellow, I., Bengio, Y. and Courville, A. (2024).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  <w:t xml:space="preserve">. MIT Press.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Redmon, J. et al. (2024).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YOLO Object Detection Systems and Applications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Bratton, B. (2023).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and Smart Cities</w:t>
            </w:r>
            <w:r w:rsidDel="00000000" w:rsidR="00000000" w:rsidRPr="00000000">
              <w:rPr>
                <w:rtl w:val="0"/>
              </w:rPr>
              <w:t xml:space="preserve">. Verso Books.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O’Neil, C. (2022).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Weapons of Math Destruction</w:t>
            </w:r>
            <w:r w:rsidDel="00000000" w:rsidR="00000000" w:rsidRPr="00000000">
              <w:rPr>
                <w:rtl w:val="0"/>
              </w:rPr>
              <w:t xml:space="preserve">. Penguin Books.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6.9765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assessment materials attached to this Assignment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ACM Digital Library – Transactions on AI and Data Science</w:t>
              <w:br w:type="textWrapping"/>
            </w: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ACM Digital Library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Journal of Big Data</w:t>
              <w:br w:type="textWrapping"/>
            </w: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Journal of Big Data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∙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IEEE Xplore Digital Library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at: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https://journalofbigdata.springeropen.com/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Wiley Online Library. (2025). Information Systems Journal.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at: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https://onlinelibrary.wiley.com/journal/13652575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4" w:top="1134" w:left="1134" w:right="1134" w:header="0" w:footer="111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SimSun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vbahoaac6mro" w:id="2"/>
    <w:bookmarkEnd w:id="2"/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BTEC Assignment Brief v0.2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5191125</wp:posOffset>
          </wp:positionH>
          <wp:positionV relativeFrom="paragraph">
            <wp:posOffset>27305</wp:posOffset>
          </wp:positionV>
          <wp:extent cx="1402080" cy="672998"/>
          <wp:effectExtent b="0" l="0" r="0" t="0"/>
          <wp:wrapNone/>
          <wp:docPr descr="https://qualifications.pearson.com/content/dam/demo/stuntcontent/images/PearsonBTECLogos/PLogo_Primary_BTEC_Blk_RGB2.png" id="4" name="image1.png"/>
          <a:graphic>
            <a:graphicData uri="http://schemas.openxmlformats.org/drawingml/2006/picture">
              <pic:pic>
                <pic:nvPicPr>
                  <pic:cNvPr descr="https://qualifications.pearson.com/content/dam/demo/stuntcontent/images/PearsonBTECLogos/PLogo_Primary_BTEC_Blk_RGB2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2080" cy="6729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BTEC Internal Assessment QDAM Nov 2019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BTEC Assignment Brief v0.2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5295900</wp:posOffset>
          </wp:positionH>
          <wp:positionV relativeFrom="paragraph">
            <wp:posOffset>17780</wp:posOffset>
          </wp:positionV>
          <wp:extent cx="1402080" cy="672998"/>
          <wp:effectExtent b="0" l="0" r="0" t="0"/>
          <wp:wrapNone/>
          <wp:docPr descr="https://qualifications.pearson.com/content/dam/demo/stuntcontent/images/PearsonBTECLogos/PLogo_Primary_BTEC_Blk_RGB2.png" id="1" name="image1.png"/>
          <a:graphic>
            <a:graphicData uri="http://schemas.openxmlformats.org/drawingml/2006/picture">
              <pic:pic>
                <pic:nvPicPr>
                  <pic:cNvPr descr="https://qualifications.pearson.com/content/dam/demo/stuntcontent/images/PearsonBTECLogos/PLogo_Primary_BTEC_Blk_RGB2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2080" cy="6729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BTEC Internal Assessment QDAM Nov 2019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spacing w:after="669" w:before="1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-1072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731510" cy="89535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510" cy="895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ind w:right="-1134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rPr/>
    </w:pPr>
    <w:r w:rsidDel="00000000" w:rsidR="00000000" w:rsidRPr="00000000">
      <w:rPr/>
      <w:drawing>
        <wp:inline distB="0" distT="0" distL="0" distR="0">
          <wp:extent cx="6848475" cy="895350"/>
          <wp:effectExtent b="0" l="0" r="0" t="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48475" cy="895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l.acm.org/?utm_source=chatgpt.com" TargetMode="External"/><Relationship Id="rId8" Type="http://schemas.openxmlformats.org/officeDocument/2006/relationships/hyperlink" Target="https://journalofbigdata.springeropen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6L9BKNEEalio5+Iy3R39zLIaRQ==">CgMxLjAyD2lkLnV6a2xpcHM1azU4dzIOaC5odmR1c2h6ZXp2c2syDmgudmJhaG9hYWM2bXJvOAByITFkRzZ2WlNfU0ppM1lfQWwwODZvX09uc1hkN3JBZkV0Zw==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F73344554D4C6C542E8F056A0ED1385E_43</vt:lpwstr>
  </property>
</Properties>
</file>