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7104888" cy="10049979"/>
            <wp:docPr id="1" name="Picture 1" descr="Zecser Technology Zecpath AI System Day 18 technical internship report cover" title="Zecpath AI System Day 18 Technical Internship Report Cover"/>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104888" cy="10049979"/>
                    </a:xfrm>
                    <a:prstGeom prst="rect"/>
                  </pic:spPr>
                </pic:pic>
              </a:graphicData>
            </a:graphic>
          </wp:inline>
        </w:drawing>
      </w:r>
    </w:p>
    <w:p>
      <w:pPr>
        <w:sectPr>
          <w:headerReference w:type="default" r:id="rId10"/>
          <w:footerReference w:type="default" r:id="rId11"/>
          <w:pgSz w:w="11909" w:h="16834"/>
          <w:pgMar w:top="360" w:right="360" w:bottom="360" w:left="360" w:header="720" w:footer="720" w:gutter="0"/>
          <w:cols w:space="720"/>
          <w:titlePg/>
          <w:docGrid w:linePitch="360"/>
        </w:sectPr>
      </w:pPr>
    </w:p>
    <w:p>
      <w:pPr>
        <w:pStyle w:val="Title"/>
        <w:jc w:val="center"/>
      </w:pPr>
      <w:r>
        <w:t>TABLE OF CONTENTS</w:t>
      </w:r>
    </w:p>
    <w:p>
      <w:pPr>
        <w:spacing w:before="0" w:after="160"/>
        <w:pBdr>
          <w:bottom w:val="single" w:sz="12" w:space="1" w:color="19A79A"/>
        </w:pBdr>
      </w:pPr>
    </w:p>
    <w:p>
      <w:pPr>
        <w:spacing w:after="120"/>
      </w:pPr>
      <w:r>
        <w:rPr>
          <w:b/>
          <w:sz w:val="21"/>
        </w:rPr>
        <w:t>1. Executive Summary</w:t>
      </w:r>
      <w:r>
        <w:t xml:space="preserve"> ..................................................</w:t>
      </w:r>
      <w:r>
        <w:rPr>
          <w:b/>
          <w:color w:val="1F5A89"/>
        </w:rPr>
        <w:t>3</w:t>
      </w:r>
    </w:p>
    <w:p>
      <w:pPr>
        <w:spacing w:after="120"/>
      </w:pPr>
      <w:r>
        <w:rPr>
          <w:b/>
          <w:sz w:val="21"/>
        </w:rPr>
        <w:t>2. Day 18 Scope and Requirements</w:t>
      </w:r>
      <w:r>
        <w:t xml:space="preserve"> ..........................</w:t>
      </w:r>
      <w:r>
        <w:rPr>
          <w:b/>
          <w:color w:val="1F5A89"/>
        </w:rPr>
        <w:t>4</w:t>
      </w:r>
    </w:p>
    <w:p>
      <w:pPr>
        <w:spacing w:after="120"/>
      </w:pPr>
      <w:r>
        <w:rPr>
          <w:b/>
          <w:sz w:val="21"/>
        </w:rPr>
        <w:t>3. Work Completed and Implementation</w:t>
      </w:r>
      <w:r>
        <w:t xml:space="preserve"> ..................</w:t>
      </w:r>
      <w:r>
        <w:rPr>
          <w:b/>
          <w:color w:val="1F5A89"/>
        </w:rPr>
        <w:t>5</w:t>
      </w:r>
    </w:p>
    <w:p>
      <w:pPr>
        <w:spacing w:after="120"/>
      </w:pPr>
      <w:r>
        <w:rPr>
          <w:b w:val="0"/>
          <w:sz w:val="21"/>
        </w:rPr>
        <w:t>4. Optimized Architecture</w:t>
      </w:r>
      <w:r>
        <w:t xml:space="preserve"> ........................................</w:t>
      </w:r>
      <w:r>
        <w:rPr>
          <w:b/>
          <w:color w:val="1F5A89"/>
        </w:rPr>
        <w:t>7</w:t>
      </w:r>
    </w:p>
    <w:p>
      <w:pPr>
        <w:spacing w:after="120"/>
      </w:pPr>
      <w:r>
        <w:rPr>
          <w:b w:val="0"/>
          <w:sz w:val="21"/>
        </w:rPr>
        <w:t>5. Processing Workflow</w:t>
      </w:r>
      <w:r>
        <w:t xml:space="preserve"> ..............................................</w:t>
      </w:r>
      <w:r>
        <w:rPr>
          <w:b/>
          <w:color w:val="1F5A89"/>
        </w:rPr>
        <w:t>8</w:t>
      </w:r>
    </w:p>
    <w:p>
      <w:pPr>
        <w:spacing w:after="120"/>
      </w:pPr>
      <w:r>
        <w:rPr>
          <w:b w:val="0"/>
          <w:sz w:val="21"/>
        </w:rPr>
        <w:t>6. Key Code Implementations</w:t>
      </w:r>
      <w:r>
        <w:t xml:space="preserve"> ....................................</w:t>
      </w:r>
      <w:r>
        <w:rPr>
          <w:b/>
          <w:color w:val="1F5A89"/>
        </w:rPr>
        <w:t>9</w:t>
      </w:r>
    </w:p>
    <w:p>
      <w:pPr>
        <w:spacing w:after="120"/>
      </w:pPr>
      <w:r>
        <w:rPr>
          <w:b w:val="0"/>
          <w:sz w:val="21"/>
        </w:rPr>
        <w:t>7. Performance Benchmark and Methodology</w:t>
      </w:r>
      <w:r>
        <w:t xml:space="preserve"> ..........</w:t>
      </w:r>
      <w:r>
        <w:rPr>
          <w:b/>
          <w:color w:val="1F5A89"/>
        </w:rPr>
        <w:t>10</w:t>
      </w:r>
    </w:p>
    <w:p>
      <w:pPr>
        <w:spacing w:after="120"/>
      </w:pPr>
      <w:r>
        <w:rPr>
          <w:b w:val="0"/>
          <w:sz w:val="21"/>
        </w:rPr>
        <w:t>8. Performance Results</w:t>
      </w:r>
      <w:r>
        <w:t xml:space="preserve"> ..............................................</w:t>
      </w:r>
      <w:r>
        <w:rPr>
          <w:b/>
          <w:color w:val="1F5A89"/>
        </w:rPr>
        <w:t>11</w:t>
      </w:r>
    </w:p>
    <w:p>
      <w:pPr>
        <w:spacing w:after="120"/>
      </w:pPr>
      <w:r>
        <w:rPr>
          <w:b w:val="0"/>
          <w:sz w:val="21"/>
        </w:rPr>
        <w:t>9. Noisy Resume Stability Regression</w:t>
      </w:r>
      <w:r>
        <w:t xml:space="preserve"> ..................</w:t>
      </w:r>
      <w:r>
        <w:rPr>
          <w:b/>
          <w:color w:val="1F5A89"/>
        </w:rPr>
        <w:t>12</w:t>
      </w:r>
    </w:p>
    <w:p>
      <w:pPr>
        <w:spacing w:after="120"/>
      </w:pPr>
      <w:r>
        <w:rPr>
          <w:b w:val="0"/>
          <w:sz w:val="21"/>
        </w:rPr>
        <w:t>10. End-to-End ATS Regression</w:t>
      </w:r>
      <w:r>
        <w:t xml:space="preserve"> ................................</w:t>
      </w:r>
      <w:r>
        <w:rPr>
          <w:b/>
          <w:color w:val="1F5A89"/>
        </w:rPr>
        <w:t>13</w:t>
      </w:r>
    </w:p>
    <w:p>
      <w:pPr>
        <w:spacing w:after="120"/>
      </w:pPr>
      <w:r>
        <w:rPr>
          <w:b w:val="0"/>
          <w:sz w:val="21"/>
        </w:rPr>
        <w:t>11. Challenges and Solutions</w:t>
      </w:r>
      <w:r>
        <w:t xml:space="preserve"> ..................................</w:t>
      </w:r>
      <w:r>
        <w:rPr>
          <w:b/>
          <w:color w:val="1F5A89"/>
        </w:rPr>
        <w:t>14</w:t>
      </w:r>
    </w:p>
    <w:p>
      <w:pPr>
        <w:spacing w:after="120"/>
      </w:pPr>
      <w:r>
        <w:rPr>
          <w:b w:val="0"/>
          <w:sz w:val="21"/>
        </w:rPr>
        <w:t>12. Deliverables and Artifacts</w:t>
      </w:r>
      <w:r>
        <w:t xml:space="preserve"> ..............................</w:t>
      </w:r>
      <w:r>
        <w:rPr>
          <w:b/>
          <w:color w:val="1F5A89"/>
        </w:rPr>
        <w:t>15</w:t>
      </w:r>
    </w:p>
    <w:p>
      <w:pPr>
        <w:spacing w:after="120"/>
      </w:pPr>
      <w:r>
        <w:rPr>
          <w:b w:val="0"/>
          <w:sz w:val="21"/>
        </w:rPr>
        <w:t>13. Verification and Reproducibility</w:t>
      </w:r>
      <w:r>
        <w:t xml:space="preserve"> ..................</w:t>
      </w:r>
      <w:r>
        <w:rPr>
          <w:b/>
          <w:color w:val="1F5A89"/>
        </w:rPr>
        <w:t>16</w:t>
      </w:r>
    </w:p>
    <w:p>
      <w:pPr>
        <w:spacing w:after="120"/>
      </w:pPr>
      <w:r>
        <w:rPr>
          <w:b w:val="0"/>
          <w:sz w:val="21"/>
        </w:rPr>
        <w:t>14. Next Steps</w:t>
      </w:r>
      <w:r>
        <w:t xml:space="preserve"> ..............................................................</w:t>
      </w:r>
      <w:r>
        <w:rPr>
          <w:b/>
          <w:color w:val="1F5A89"/>
        </w:rPr>
        <w:t>17</w:t>
      </w:r>
    </w:p>
    <w:p>
      <w:pPr>
        <w:spacing w:after="120"/>
      </w:pPr>
      <w:r>
        <w:rPr>
          <w:b w:val="0"/>
          <w:sz w:val="21"/>
        </w:rPr>
        <w:t>15. Conclusion</w:t>
      </w:r>
      <w:r>
        <w:t xml:space="preserve"> ..............................................................</w:t>
      </w:r>
      <w:r>
        <w:rPr>
          <w:b/>
          <w:color w:val="1F5A89"/>
        </w:rPr>
        <w:t>18</w:t>
      </w:r>
    </w:p>
    <w:tbl>
      <w:tblPr>
        <w:tblW w:type="auto" w:w="0"/>
        <w:jc w:val="center"/>
        <w:tblLayout w:type="fixed"/>
        <w:tblLook w:firstColumn="1" w:firstRow="1" w:lastColumn="0" w:lastRow="0" w:noHBand="0" w:noVBand="1" w:val="04A0"/>
      </w:tblPr>
      <w:tblGrid>
        <w:gridCol w:w="9648"/>
      </w:tblGrid>
      <w:tr>
        <w:tc>
          <w:tcPr>
            <w:tcW w:type="dxa" w:w="9835"/>
            <w:shd w:fill="EEF5F8"/>
            <w:tcMar>
              <w:top w:w="120" w:type="dxa"/>
              <w:start w:w="160" w:type="dxa"/>
              <w:bottom w:w="120" w:type="dxa"/>
              <w:end w:w="160" w:type="dxa"/>
            </w:tcMar>
            <w:tcBorders>
              <w:top w:val="single" w:sz="8" w:color="19A79A"/>
              <w:left w:val="single" w:sz="8" w:color="19A79A"/>
              <w:bottom w:val="single" w:sz="8" w:color="19A79A"/>
              <w:right w:val="single" w:sz="8" w:color="19A79A"/>
            </w:tcBorders>
          </w:tcPr>
          <w:p>
            <w:pPr>
              <w:spacing w:after="60"/>
            </w:pPr>
            <w:r>
              <w:rPr>
                <w:b/>
                <w:color w:val="19A79A"/>
                <w:sz w:val="22"/>
              </w:rPr>
              <w:t>Report basis</w:t>
            </w:r>
          </w:p>
          <w:p>
            <w:pPr>
              <w:spacing w:after="0"/>
            </w:pPr>
            <w:r>
              <w:rPr>
                <w:sz w:val="19"/>
              </w:rPr>
              <w:t>This Day 18 report documents the official optimization task, the implemented code changes, the three-run performance benchmark, the noisy-resume regression test, and the verified ATS outputs. The ATS scoring formulas and ranking thresholds were intentionally preserved.</w:t>
            </w:r>
          </w:p>
        </w:tc>
      </w:tr>
    </w:tbl>
    <w:p>
      <w:pPr>
        <w:spacing w:after="0"/>
      </w:pPr>
    </w:p>
    <w:p>
      <w:r>
        <w:br w:type="page"/>
      </w:r>
    </w:p>
    <w:p>
      <w:pPr>
        <w:pStyle w:val="Heading1"/>
      </w:pPr>
      <w:r>
        <w:t>1. Executive Summary</w:t>
      </w:r>
    </w:p>
    <w:p>
      <w:pPr>
        <w:spacing w:after="160"/>
      </w:pPr>
      <w:r>
        <w:rPr>
          <w:i/>
          <w:color w:val="5F6B78"/>
          <w:sz w:val="20"/>
        </w:rPr>
        <w:t>Day 18 - Optimization &amp; Performance Tuning</w:t>
      </w:r>
    </w:p>
    <w:p>
      <w:pPr>
        <w:spacing w:before="0" w:after="160"/>
        <w:pBdr>
          <w:bottom w:val="single" w:sz="12" w:space="1" w:color="19A79A"/>
        </w:pBdr>
      </w:pPr>
    </w:p>
    <w:p>
      <w:r>
        <w:t>Day 18 focused on making the Zecpath AI System ATS pipeline more production-ready by reducing avoidable processing overhead and improving resilience to noisy resume text. The implementation concentrated on component reuse, batch-level Job Description parsing, resume-text normalization, and conservative candidate-entity detection. The core ATS scoring logic was not redesigned or replaced.</w:t>
      </w:r>
    </w:p>
    <w:tbl>
      <w:tblPr>
        <w:tblW w:type="auto" w:w="0"/>
        <w:jc w:val="center"/>
        <w:tblLayout w:type="fixed"/>
        <w:tblLook w:firstColumn="1" w:firstRow="1" w:lastColumn="0" w:lastRow="0" w:noHBand="0" w:noVBand="1" w:val="04A0"/>
      </w:tblPr>
      <w:tblGrid>
        <w:gridCol w:w="2459"/>
        <w:gridCol w:w="2459"/>
        <w:gridCol w:w="2459"/>
        <w:gridCol w:w="2459"/>
      </w:tblGrid>
      <w:tr>
        <w:tc>
          <w:tcPr>
            <w:tcW w:type="dxa" w:w="2459"/>
            <w:shd w:fill="F4F7FA"/>
            <w:tcMar>
              <w:top w:w="100" w:type="dxa"/>
              <w:start w:w="90" w:type="dxa"/>
              <w:bottom w:w="100" w:type="dxa"/>
              <w:end w:w="90" w:type="dxa"/>
            </w:tcMar>
            <w:tcBorders>
              <w:top w:val="single" w:sz="8" w:color="19A79A"/>
              <w:left w:val="single" w:sz="8" w:color="D3DDE5"/>
              <w:bottom w:val="single" w:sz="8" w:color="19A79A"/>
              <w:right w:val="single" w:sz="8" w:color="D3DDE5"/>
            </w:tcBorders>
          </w:tcPr>
          <w:p>
            <w:pPr>
              <w:jc w:val="center"/>
            </w:pPr>
            <w:r>
              <w:rPr>
                <w:b/>
                <w:color w:val="12345B"/>
                <w:sz w:val="36"/>
              </w:rPr>
              <w:t>29.7% faster</w:t>
            </w:r>
          </w:p>
          <w:p>
            <w:pPr>
              <w:spacing w:after="0"/>
              <w:jc w:val="center"/>
            </w:pPr>
            <w:r>
              <w:rPr>
                <w:color w:val="5F6B78"/>
                <w:sz w:val="16"/>
              </w:rPr>
              <w:t>Full ATS pipeline improvement</w:t>
            </w:r>
          </w:p>
        </w:tc>
        <w:tc>
          <w:tcPr>
            <w:tcW w:type="dxa" w:w="2459"/>
            <w:shd w:fill="F4F7FA"/>
            <w:tcMar>
              <w:top w:w="100" w:type="dxa"/>
              <w:start w:w="90" w:type="dxa"/>
              <w:bottom w:w="100" w:type="dxa"/>
              <w:end w:w="90" w:type="dxa"/>
            </w:tcMar>
            <w:tcBorders>
              <w:top w:val="single" w:sz="8" w:color="19A79A"/>
              <w:left w:val="single" w:sz="8" w:color="D3DDE5"/>
              <w:bottom w:val="single" w:sz="8" w:color="19A79A"/>
              <w:right w:val="single" w:sz="8" w:color="D3DDE5"/>
            </w:tcBorders>
          </w:tcPr>
          <w:p>
            <w:pPr>
              <w:jc w:val="center"/>
            </w:pPr>
            <w:r>
              <w:rPr>
                <w:b/>
                <w:color w:val="12345B"/>
                <w:sz w:val="36"/>
              </w:rPr>
              <w:t>67.5% faster</w:t>
            </w:r>
          </w:p>
          <w:p>
            <w:pPr>
              <w:spacing w:after="0"/>
              <w:jc w:val="center"/>
            </w:pPr>
            <w:r>
              <w:rPr>
                <w:color w:val="5F6B78"/>
                <w:sz w:val="16"/>
              </w:rPr>
              <w:t>Semantic matching improvement</w:t>
            </w:r>
          </w:p>
        </w:tc>
        <w:tc>
          <w:tcPr>
            <w:tcW w:type="dxa" w:w="2459"/>
            <w:shd w:fill="F4F7FA"/>
            <w:tcMar>
              <w:top w:w="100" w:type="dxa"/>
              <w:start w:w="90" w:type="dxa"/>
              <w:bottom w:w="100" w:type="dxa"/>
              <w:end w:w="90" w:type="dxa"/>
            </w:tcMar>
            <w:tcBorders>
              <w:top w:val="single" w:sz="8" w:color="19A79A"/>
              <w:left w:val="single" w:sz="8" w:color="D3DDE5"/>
              <w:bottom w:val="single" w:sz="8" w:color="19A79A"/>
              <w:right w:val="single" w:sz="8" w:color="D3DDE5"/>
            </w:tcBorders>
          </w:tcPr>
          <w:p>
            <w:pPr>
              <w:jc w:val="center"/>
            </w:pPr>
            <w:r>
              <w:rPr>
                <w:b/>
                <w:color w:val="12345B"/>
                <w:sz w:val="36"/>
              </w:rPr>
              <w:t>95.71 MB stable</w:t>
            </w:r>
          </w:p>
          <w:p>
            <w:pPr>
              <w:spacing w:after="0"/>
              <w:jc w:val="center"/>
            </w:pPr>
            <w:r>
              <w:rPr>
                <w:color w:val="5F6B78"/>
                <w:sz w:val="16"/>
              </w:rPr>
              <w:t>Peak traced allocation</w:t>
            </w:r>
          </w:p>
        </w:tc>
        <w:tc>
          <w:tcPr>
            <w:tcW w:type="dxa" w:w="2459"/>
            <w:shd w:fill="F4F7FA"/>
            <w:tcMar>
              <w:top w:w="100" w:type="dxa"/>
              <w:start w:w="90" w:type="dxa"/>
              <w:bottom w:w="100" w:type="dxa"/>
              <w:end w:w="90" w:type="dxa"/>
            </w:tcMar>
            <w:tcBorders>
              <w:top w:val="single" w:sz="8" w:color="19A79A"/>
              <w:left w:val="single" w:sz="8" w:color="D3DDE5"/>
              <w:bottom w:val="single" w:sz="8" w:color="19A79A"/>
              <w:right w:val="single" w:sz="8" w:color="D3DDE5"/>
            </w:tcBorders>
          </w:tcPr>
          <w:p>
            <w:pPr>
              <w:jc w:val="center"/>
            </w:pPr>
            <w:r>
              <w:rPr>
                <w:b/>
                <w:color w:val="12345B"/>
                <w:sz w:val="36"/>
              </w:rPr>
              <w:t>0.0000</w:t>
            </w:r>
          </w:p>
          <w:p>
            <w:pPr>
              <w:spacing w:after="0"/>
              <w:jc w:val="center"/>
            </w:pPr>
            <w:r>
              <w:rPr>
                <w:color w:val="5F6B78"/>
                <w:sz w:val="16"/>
              </w:rPr>
              <w:t>Noisy-resume score drift</w:t>
            </w:r>
          </w:p>
        </w:tc>
      </w:tr>
    </w:tbl>
    <w:p>
      <w:pPr>
        <w:spacing w:after="0"/>
      </w:pP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880"/>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7"/>
              </w:rPr>
              <w:t>Area</w:t>
            </w:r>
          </w:p>
        </w:tc>
        <w:tc>
          <w:tcPr>
            <w:tcW w:type="dxa" w:w="1944"/>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7"/>
              </w:rPr>
              <w:t>Original baseline</w:t>
            </w:r>
          </w:p>
        </w:tc>
        <w:tc>
          <w:tcPr>
            <w:tcW w:type="dxa" w:w="2088"/>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7"/>
              </w:rPr>
              <w:t>Day 18 average</w:t>
            </w:r>
          </w:p>
        </w:tc>
        <w:tc>
          <w:tcPr>
            <w:tcW w:type="dxa" w:w="2736"/>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7"/>
              </w:rPr>
              <w:t>Observed result</w:t>
            </w:r>
          </w:p>
        </w:tc>
      </w:tr>
      <w:tr>
        <w:tc>
          <w:tcPr>
            <w:tcW w:type="dxa" w:w="288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Model initialization</w:t>
            </w:r>
          </w:p>
        </w:tc>
        <w:tc>
          <w:tcPr>
            <w:tcW w:type="dxa" w:w="194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8.4438 s</w:t>
            </w:r>
          </w:p>
        </w:tc>
        <w:tc>
          <w:tcPr>
            <w:tcW w:type="dxa" w:w="208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6.8044 s</w:t>
            </w:r>
          </w:p>
        </w:tc>
        <w:tc>
          <w:tcPr>
            <w:tcW w:type="dxa" w:w="273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19.4% faster</w:t>
            </w:r>
          </w:p>
        </w:tc>
      </w:tr>
      <w:tr>
        <w:tc>
          <w:tcPr>
            <w:tcW w:type="dxa" w:w="288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Text extraction</w:t>
            </w:r>
          </w:p>
        </w:tc>
        <w:tc>
          <w:tcPr>
            <w:tcW w:type="dxa" w:w="1944"/>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0.0171 s</w:t>
            </w:r>
          </w:p>
        </w:tc>
        <w:tc>
          <w:tcPr>
            <w:tcW w:type="dxa" w:w="208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0.0201 s</w:t>
            </w:r>
          </w:p>
        </w:tc>
        <w:tc>
          <w:tcPr>
            <w:tcW w:type="dxa" w:w="273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17.5% slower; small absolute overhead</w:t>
            </w:r>
          </w:p>
        </w:tc>
      </w:tr>
      <w:tr>
        <w:tc>
          <w:tcPr>
            <w:tcW w:type="dxa" w:w="288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Semantic matching</w:t>
            </w:r>
          </w:p>
        </w:tc>
        <w:tc>
          <w:tcPr>
            <w:tcW w:type="dxa" w:w="194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0.3297 s</w:t>
            </w:r>
          </w:p>
        </w:tc>
        <w:tc>
          <w:tcPr>
            <w:tcW w:type="dxa" w:w="208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0.1072 s</w:t>
            </w:r>
          </w:p>
        </w:tc>
        <w:tc>
          <w:tcPr>
            <w:tcW w:type="dxa" w:w="273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67.5% faster</w:t>
            </w:r>
          </w:p>
        </w:tc>
      </w:tr>
      <w:tr>
        <w:tc>
          <w:tcPr>
            <w:tcW w:type="dxa" w:w="288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Full ATS pipeline</w:t>
            </w:r>
          </w:p>
        </w:tc>
        <w:tc>
          <w:tcPr>
            <w:tcW w:type="dxa" w:w="1944"/>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28.2071 s</w:t>
            </w:r>
          </w:p>
        </w:tc>
        <w:tc>
          <w:tcPr>
            <w:tcW w:type="dxa" w:w="208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19.8234 s</w:t>
            </w:r>
          </w:p>
        </w:tc>
        <w:tc>
          <w:tcPr>
            <w:tcW w:type="dxa" w:w="273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29.7% faster</w:t>
            </w:r>
          </w:p>
        </w:tc>
      </w:tr>
      <w:tr>
        <w:tc>
          <w:tcPr>
            <w:tcW w:type="dxa" w:w="288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Peak traced allocation</w:t>
            </w:r>
          </w:p>
        </w:tc>
        <w:tc>
          <w:tcPr>
            <w:tcW w:type="dxa" w:w="194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95.71 MB</w:t>
            </w:r>
          </w:p>
        </w:tc>
        <w:tc>
          <w:tcPr>
            <w:tcW w:type="dxa" w:w="208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95.71 MB</w:t>
            </w:r>
          </w:p>
        </w:tc>
        <w:tc>
          <w:tcPr>
            <w:tcW w:type="dxa" w:w="273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Stable</w:t>
            </w:r>
          </w:p>
        </w:tc>
      </w:tr>
    </w:tbl>
    <w:p>
      <w:pPr>
        <w:spacing w:after="0"/>
      </w:pPr>
    </w:p>
    <w:tbl>
      <w:tblPr>
        <w:tblW w:type="auto" w:w="0"/>
        <w:jc w:val="center"/>
        <w:tblLayout w:type="fixed"/>
        <w:tblLook w:firstColumn="1" w:firstRow="1" w:lastColumn="0" w:lastRow="0" w:noHBand="0" w:noVBand="1" w:val="04A0"/>
      </w:tblPr>
      <w:tblGrid>
        <w:gridCol w:w="9648"/>
      </w:tblGrid>
      <w:tr>
        <w:tc>
          <w:tcPr>
            <w:tcW w:type="dxa" w:w="9835"/>
            <w:shd w:fill="EAF7F3"/>
            <w:tcMar>
              <w:top w:w="120" w:type="dxa"/>
              <w:start w:w="160" w:type="dxa"/>
              <w:bottom w:w="120" w:type="dxa"/>
              <w:end w:w="160" w:type="dxa"/>
            </w:tcMar>
            <w:tcBorders>
              <w:top w:val="single" w:sz="8" w:color="19A79A"/>
              <w:left w:val="single" w:sz="8" w:color="19A79A"/>
              <w:bottom w:val="single" w:sz="8" w:color="19A79A"/>
              <w:right w:val="single" w:sz="8" w:color="19A79A"/>
            </w:tcBorders>
          </w:tcPr>
          <w:p>
            <w:pPr>
              <w:spacing w:after="60"/>
            </w:pPr>
            <w:r>
              <w:rPr>
                <w:b/>
                <w:color w:val="19A79A"/>
                <w:sz w:val="22"/>
              </w:rPr>
              <w:t>Key finding</w:t>
            </w:r>
          </w:p>
          <w:p>
            <w:pPr>
              <w:spacing w:after="0"/>
            </w:pPr>
            <w:r>
              <w:rPr>
                <w:sz w:val="19"/>
              </w:rPr>
              <w:t>The largest measurable gain came from eliminating repeated heavy-engine initialization. The end-to-end benchmark moved from 28.2071 s to a three-run Day 18 average of 19.8234 s, a reduction of approximately 8.38 seconds.</w:t>
            </w:r>
          </w:p>
        </w:tc>
      </w:tr>
    </w:tbl>
    <w:p>
      <w:pPr>
        <w:spacing w:after="0"/>
      </w:pPr>
    </w:p>
    <w:p>
      <w:r>
        <w:br w:type="page"/>
      </w:r>
    </w:p>
    <w:p>
      <w:pPr>
        <w:pStyle w:val="Heading1"/>
      </w:pPr>
      <w:r>
        <w:t>2. Day 18 Scope and Requirements</w:t>
      </w:r>
    </w:p>
    <w:p>
      <w:pPr>
        <w:spacing w:before="0" w:after="160"/>
        <w:pBdr>
          <w:bottom w:val="single" w:sz="12" w:space="1" w:color="19A79A"/>
        </w:pBdr>
      </w:pPr>
    </w:p>
    <w:p>
      <w:r>
        <w:t>The official Day 18 task defined the objective as making the ATS production-ready, with five focus areas: extraction speed, model response time, memory handling, entity detection, and noisy-resume handling. The required deliverables were an optimized ATS engine, a performance report, and stability improvements.</w:t>
      </w:r>
    </w:p>
    <w:p>
      <w:pPr>
        <w:spacing w:after="60"/>
        <w:jc w:val="center"/>
      </w:pPr>
      <w:r>
        <w:drawing>
          <wp:inline xmlns:a="http://schemas.openxmlformats.org/drawingml/2006/main" xmlns:pic="http://schemas.openxmlformats.org/drawingml/2006/picture">
            <wp:extent cx="4572000" cy="3611071"/>
            <wp:docPr id="2" name="Picture 2" descr="Day 18 optimization and performance tuning task brief" title="Day 18 optimization and performance tuning task brief"/>
            <wp:cNvGraphicFramePr>
              <a:graphicFrameLocks noChangeAspect="1"/>
            </wp:cNvGraphicFramePr>
            <a:graphic>
              <a:graphicData uri="http://schemas.openxmlformats.org/drawingml/2006/picture">
                <pic:pic>
                  <pic:nvPicPr>
                    <pic:cNvPr id="0" name="day18_task_brief_trimmed.png"/>
                    <pic:cNvPicPr/>
                  </pic:nvPicPr>
                  <pic:blipFill>
                    <a:blip r:embed="rId12"/>
                    <a:stretch>
                      <a:fillRect/>
                    </a:stretch>
                  </pic:blipFill>
                  <pic:spPr>
                    <a:xfrm>
                      <a:off x="0" y="0"/>
                      <a:ext cx="4572000" cy="3611071"/>
                    </a:xfrm>
                    <a:prstGeom prst="rect"/>
                  </pic:spPr>
                </pic:pic>
              </a:graphicData>
            </a:graphic>
          </wp:inline>
        </w:drawing>
      </w:r>
    </w:p>
    <w:p>
      <w:pPr>
        <w:spacing w:after="160"/>
        <w:jc w:val="center"/>
      </w:pPr>
      <w:r>
        <w:rPr>
          <w:i/>
          <w:color w:val="5F6B78"/>
          <w:sz w:val="17"/>
        </w:rPr>
        <w:t>Figure 1. Official Day 18 task brief (project task sheet).</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520"/>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Requirement</w:t>
            </w:r>
          </w:p>
        </w:tc>
        <w:tc>
          <w:tcPr>
            <w:tcW w:type="dxa" w:w="4680"/>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Implementation completed</w:t>
            </w:r>
          </w:p>
        </w:tc>
        <w:tc>
          <w:tcPr>
            <w:tcW w:type="dxa" w:w="2448"/>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Evidence</w:t>
            </w:r>
          </w:p>
        </w:tc>
      </w:tr>
      <w:tr>
        <w:tc>
          <w:tcPr>
            <w:tcW w:type="dxa" w:w="252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Optimize text extraction speed</w:t>
            </w:r>
          </w:p>
        </w:tc>
        <w:tc>
          <w:tcPr>
            <w:tcW w:type="dxa" w:w="468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Added lightweight normalization/entity pass while avoiding repeated heavy work</w:t>
            </w:r>
          </w:p>
        </w:tc>
        <w:tc>
          <w:tcPr>
            <w:tcW w:type="dxa" w:w="244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3-run benchmark</w:t>
            </w:r>
          </w:p>
        </w:tc>
      </w:tr>
      <w:tr>
        <w:tc>
          <w:tcPr>
            <w:tcW w:type="dxa" w:w="252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Reduce model response time</w:t>
            </w:r>
          </w:p>
        </w:tc>
        <w:tc>
          <w:tcPr>
            <w:tcW w:type="dxa" w:w="468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Reused SemanticMatchingEngine and other reusable processing components</w:t>
            </w:r>
          </w:p>
        </w:tc>
        <w:tc>
          <w:tcPr>
            <w:tcW w:type="dxa" w:w="244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Semantic time 0.1072 s average</w:t>
            </w:r>
          </w:p>
        </w:tc>
      </w:tr>
      <w:tr>
        <w:tc>
          <w:tcPr>
            <w:tcW w:type="dxa" w:w="252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Improve memory handling</w:t>
            </w:r>
          </w:p>
        </w:tc>
        <w:tc>
          <w:tcPr>
            <w:tcW w:type="dxa" w:w="468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Monitored allocations with tracemalloc and avoided repeated object creation</w:t>
            </w:r>
          </w:p>
        </w:tc>
        <w:tc>
          <w:tcPr>
            <w:tcW w:type="dxa" w:w="244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Peak 95.71 MB stable</w:t>
            </w:r>
          </w:p>
        </w:tc>
      </w:tr>
      <w:tr>
        <w:tc>
          <w:tcPr>
            <w:tcW w:type="dxa" w:w="252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Refine entity detection</w:t>
            </w:r>
          </w:p>
        </w:tc>
        <w:tc>
          <w:tcPr>
            <w:tcW w:type="dxa" w:w="468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Added conservative name, email, phone and URL detection</w:t>
            </w:r>
          </w:p>
        </w:tc>
        <w:tc>
          <w:tcPr>
            <w:tcW w:type="dxa" w:w="244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Entity regression PASS</w:t>
            </w:r>
          </w:p>
        </w:tc>
      </w:tr>
      <w:tr>
        <w:tc>
          <w:tcPr>
            <w:tcW w:type="dxa" w:w="252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Improve noisy resumes</w:t>
            </w:r>
          </w:p>
        </w:tc>
        <w:tc>
          <w:tcPr>
            <w:tcW w:type="dxa" w:w="468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Added Unicode, whitespace, separator and duplicate-line cleanup</w:t>
            </w:r>
          </w:p>
        </w:tc>
        <w:tc>
          <w:tcPr>
            <w:tcW w:type="dxa" w:w="244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Clean/noisy score diff 0.0000</w:t>
            </w:r>
          </w:p>
        </w:tc>
      </w:tr>
    </w:tbl>
    <w:p>
      <w:pPr>
        <w:spacing w:after="0"/>
      </w:pPr>
    </w:p>
    <w:p>
      <w:r>
        <w:t>Scope boundary: no ATS scoring formula, signal weights, decision thresholds, or ranking strategy were intentionally changed as part of the Day 18 optimization work.</w:t>
      </w:r>
    </w:p>
    <w:p>
      <w:r>
        <w:br w:type="page"/>
      </w:r>
    </w:p>
    <w:p>
      <w:pPr>
        <w:pStyle w:val="Heading1"/>
      </w:pPr>
      <w:r>
        <w:t>3. Work Completed and Implementation</w:t>
      </w:r>
    </w:p>
    <w:p>
      <w:pPr>
        <w:spacing w:before="0" w:after="160"/>
        <w:pBdr>
          <w:bottom w:val="single" w:sz="12" w:space="1" w:color="19A79A"/>
        </w:pBdr>
      </w:pP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816"/>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7"/>
              </w:rPr>
              <w:t>File / component</w:t>
            </w:r>
          </w:p>
        </w:tc>
        <w:tc>
          <w:tcPr>
            <w:tcW w:type="dxa" w:w="3384"/>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7"/>
              </w:rPr>
              <w:t>Day 18 work</w:t>
            </w:r>
          </w:p>
        </w:tc>
        <w:tc>
          <w:tcPr>
            <w:tcW w:type="dxa" w:w="2448"/>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7"/>
              </w:rPr>
              <w:t>Purpose</w:t>
            </w:r>
          </w:p>
        </w:tc>
      </w:tr>
      <w:tr>
        <w:tc>
          <w:tcPr>
            <w:tcW w:type="dxa" w:w="381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scoring/day18_resume_quality.py</w:t>
            </w:r>
          </w:p>
        </w:tc>
        <w:tc>
          <w:tcPr>
            <w:tcW w:type="dxa" w:w="338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New helper module</w:t>
            </w:r>
          </w:p>
        </w:tc>
        <w:tc>
          <w:tcPr>
            <w:tcW w:type="dxa" w:w="244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Normalize noisy text and detect basic candidate entities</w:t>
            </w:r>
          </w:p>
        </w:tc>
      </w:tr>
      <w:tr>
        <w:tc>
          <w:tcPr>
            <w:tcW w:type="dxa" w:w="381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scoring/day14_end_to_end.py</w:t>
            </w:r>
          </w:p>
        </w:tc>
        <w:tc>
          <w:tcPr>
            <w:tcW w:type="dxa" w:w="3384"/>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Integrated preprocessing; reused engines; parsed JD once</w:t>
            </w:r>
          </w:p>
        </w:tc>
        <w:tc>
          <w:tcPr>
            <w:tcW w:type="dxa" w:w="244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Reduce repeated work inside candidate loop</w:t>
            </w:r>
          </w:p>
        </w:tc>
      </w:tr>
      <w:tr>
        <w:tc>
          <w:tcPr>
            <w:tcW w:type="dxa" w:w="381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day18/day18_baseline_benchmark.py</w:t>
            </w:r>
          </w:p>
        </w:tc>
        <w:tc>
          <w:tcPr>
            <w:tcW w:type="dxa" w:w="338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Three-run benchmark harness</w:t>
            </w:r>
          </w:p>
        </w:tc>
        <w:tc>
          <w:tcPr>
            <w:tcW w:type="dxa" w:w="244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Measure extraction, semantic, full-pipeline and memory behavior</w:t>
            </w:r>
          </w:p>
        </w:tc>
      </w:tr>
      <w:tr>
        <w:tc>
          <w:tcPr>
            <w:tcW w:type="dxa" w:w="381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day18/day18_noisy_resume_test.py</w:t>
            </w:r>
          </w:p>
        </w:tc>
        <w:tc>
          <w:tcPr>
            <w:tcW w:type="dxa" w:w="3384"/>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Dedicated stability regression test</w:t>
            </w:r>
          </w:p>
        </w:tc>
        <w:tc>
          <w:tcPr>
            <w:tcW w:type="dxa" w:w="244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Validate robustness against injected formatting noise</w:t>
            </w:r>
          </w:p>
        </w:tc>
      </w:tr>
      <w:tr>
        <w:tc>
          <w:tcPr>
            <w:tcW w:type="dxa" w:w="381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outputs/day14_real_ranked_candidates.json</w:t>
            </w:r>
          </w:p>
        </w:tc>
        <w:tc>
          <w:tcPr>
            <w:tcW w:type="dxa" w:w="338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Generated end-to-end output</w:t>
            </w:r>
          </w:p>
        </w:tc>
        <w:tc>
          <w:tcPr>
            <w:tcW w:type="dxa" w:w="244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Preserve recruiter-facing JSON result</w:t>
            </w:r>
          </w:p>
        </w:tc>
      </w:tr>
    </w:tbl>
    <w:p>
      <w:pPr>
        <w:spacing w:after="0"/>
      </w:pPr>
    </w:p>
    <w:p>
      <w:r>
        <w:t>The optimized batch structure now creates heavy and reusable components once and passes them into each candidate scoring call. The same batch also constructs the validated JobRequirement once instead of rereading and reparsing the Job Description for every resume.</w:t>
      </w:r>
    </w:p>
    <w:p>
      <w:pPr>
        <w:spacing w:before="80" w:after="80"/>
      </w:pPr>
      <w:r>
        <w:rPr>
          <w:b/>
          <w:color w:val="1F5A89"/>
          <w:sz w:val="19"/>
        </w:rPr>
        <w:t>Representative batch-level optimization</w:t>
      </w:r>
    </w:p>
    <w:tbl>
      <w:tblPr>
        <w:tblW w:type="auto" w:w="0"/>
        <w:jc w:val="center"/>
        <w:tblLayout w:type="fixed"/>
        <w:tblLook w:firstColumn="1" w:firstRow="1" w:lastColumn="0" w:lastRow="0" w:noHBand="0" w:noVBand="1" w:val="04A0"/>
      </w:tblPr>
      <w:tblGrid>
        <w:gridCol w:w="9835"/>
      </w:tblGrid>
      <w:tr>
        <w:tc>
          <w:tcPr>
            <w:tcW w:type="dxa" w:w="9835"/>
            <w:shd w:fill="F3F6F8"/>
            <w:tcMar>
              <w:top w:w="90" w:type="dxa"/>
              <w:start w:w="120" w:type="dxa"/>
              <w:bottom w:w="90" w:type="dxa"/>
              <w:end w:w="120" w:type="dxa"/>
            </w:tcMar>
            <w:tcBorders>
              <w:top w:val="single" w:sz="5" w:color="C9D4DE"/>
              <w:left w:val="single" w:sz="5" w:color="C9D4DE"/>
              <w:bottom w:val="single" w:sz="5" w:color="C9D4DE"/>
              <w:right w:val="single" w:sz="5" w:color="C9D4DE"/>
            </w:tcBorders>
          </w:tcPr>
          <w:p>
            <w:pPr>
              <w:pStyle w:val="CodeBlock"/>
            </w:pPr>
            <w:r>
              <w:t>batch_job_requirement = day13.JobRequirement(**job)</w:t>
            </w:r>
            <w:r>
              <w:br/>
            </w:r>
            <w:r>
              <w:t>batch_skill_engine = day13.SkillExtractionEngine()</w:t>
            </w:r>
            <w:r>
              <w:br/>
            </w:r>
            <w:r>
              <w:t>batch_semantic_engine = day13.SemanticMatchingEngine()</w:t>
            </w:r>
            <w:r>
              <w:br/>
            </w:r>
            <w:r>
              <w:t>batch_experience_parser = day13.ExperienceParser()</w:t>
            </w:r>
            <w:r>
              <w:br/>
            </w:r>
            <w:r>
              <w:t>batch_education_parser = day13.EducationCertificationParser()</w:t>
            </w:r>
            <w:r>
              <w:br/>
            </w:r>
            <w:r>
              <w:t>batch_ats_engine = day13.ATSScoringEngine()</w:t>
            </w:r>
            <w:r>
              <w:br/>
            </w:r>
            <w:r/>
            <w:r>
              <w:br/>
            </w:r>
            <w:r>
              <w:t>result = score_candidate(</w:t>
            </w:r>
            <w:r>
              <w:br/>
            </w:r>
            <w:r>
              <w:t xml:space="preserve">    resume_path,</w:t>
            </w:r>
            <w:r>
              <w:br/>
            </w:r>
            <w:r>
              <w:t xml:space="preserve">    jd_path,</w:t>
            </w:r>
            <w:r>
              <w:br/>
            </w:r>
            <w:r>
              <w:t xml:space="preserve">    job_requirement=batch_job_requirement,</w:t>
            </w:r>
            <w:r>
              <w:br/>
            </w:r>
            <w:r>
              <w:t xml:space="preserve">    skill_engine=batch_skill_engine,</w:t>
            </w:r>
            <w:r>
              <w:br/>
            </w:r>
            <w:r>
              <w:t xml:space="preserve">    semantic_engine=batch_semantic_engine,</w:t>
            </w:r>
            <w:r>
              <w:br/>
            </w:r>
            <w:r>
              <w:t xml:space="preserve">    experience_parser=batch_experience_parser,</w:t>
            </w:r>
            <w:r>
              <w:br/>
            </w:r>
            <w:r>
              <w:t xml:space="preserve">    education_parser=batch_education_parser,</w:t>
            </w:r>
            <w:r>
              <w:br/>
            </w:r>
            <w:r>
              <w:t xml:space="preserve">    ats_engine=batch_ats_engine,</w:t>
            </w:r>
            <w:r>
              <w:br/>
            </w:r>
            <w:r>
              <w:t>)</w:t>
            </w:r>
          </w:p>
        </w:tc>
      </w:tr>
    </w:tbl>
    <w:p>
      <w:pPr>
        <w:spacing w:after="0"/>
      </w:pPr>
    </w:p>
    <w:p>
      <w:pPr>
        <w:spacing w:after="60"/>
        <w:jc w:val="center"/>
      </w:pPr>
      <w:r>
        <w:drawing>
          <wp:inline xmlns:a="http://schemas.openxmlformats.org/drawingml/2006/main" xmlns:pic="http://schemas.openxmlformats.org/drawingml/2006/picture">
            <wp:extent cx="6080760" cy="2583135"/>
            <wp:docPr id="3" name="Picture 3" descr="VS Code showing Zecpath AI System Day 18 files and implementation" title="VS Code showing Zecpath AI System Day 18 files and implementation"/>
            <wp:cNvGraphicFramePr>
              <a:graphicFrameLocks noChangeAspect="1"/>
            </wp:cNvGraphicFramePr>
            <a:graphic>
              <a:graphicData uri="http://schemas.openxmlformats.org/drawingml/2006/picture">
                <pic:pic>
                  <pic:nvPicPr>
                    <pic:cNvPr id="0" name="screenshot_implementation.png"/>
                    <pic:cNvPicPr/>
                  </pic:nvPicPr>
                  <pic:blipFill>
                    <a:blip r:embed="rId13"/>
                    <a:stretch>
                      <a:fillRect/>
                    </a:stretch>
                  </pic:blipFill>
                  <pic:spPr>
                    <a:xfrm>
                      <a:off x="0" y="0"/>
                      <a:ext cx="6080760" cy="2583135"/>
                    </a:xfrm>
                    <a:prstGeom prst="rect"/>
                  </pic:spPr>
                </pic:pic>
              </a:graphicData>
            </a:graphic>
          </wp:inline>
        </w:drawing>
      </w:r>
    </w:p>
    <w:p>
      <w:pPr>
        <w:spacing w:after="160"/>
        <w:jc w:val="center"/>
      </w:pPr>
      <w:r>
        <w:rPr>
          <w:i/>
          <w:color w:val="5F6B78"/>
          <w:sz w:val="17"/>
        </w:rPr>
        <w:t>Figure 2. VS Code project view showing resume parsing and Day 18 test implementation (user-provided development screenshot).</w:t>
      </w:r>
    </w:p>
    <w:p>
      <w:r>
        <w:br w:type="page"/>
      </w:r>
    </w:p>
    <w:p>
      <w:pPr>
        <w:pStyle w:val="Heading1"/>
      </w:pPr>
      <w:r>
        <w:t>4. Optimized Architecture</w:t>
      </w:r>
    </w:p>
    <w:p>
      <w:pPr>
        <w:spacing w:before="0" w:after="160"/>
        <w:pBdr>
          <w:bottom w:val="single" w:sz="12" w:space="1" w:color="19A79A"/>
        </w:pBdr>
      </w:pPr>
    </w:p>
    <w:p>
      <w:pPr>
        <w:spacing w:after="60"/>
        <w:jc w:val="center"/>
      </w:pPr>
      <w:r>
        <w:drawing>
          <wp:inline xmlns:a="http://schemas.openxmlformats.org/drawingml/2006/main" xmlns:pic="http://schemas.openxmlformats.org/drawingml/2006/picture">
            <wp:extent cx="6126480" cy="3233420"/>
            <wp:docPr id="4" name="Picture 4" descr="Architecture diagram showing inputs, preprocessing, entities, parsing, reusable engines, scoring and ranking" title="Architecture diagram showing inputs, preprocessing, entities, parsing, reusable engines, scoring and ranking"/>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126480" cy="3233420"/>
                    </a:xfrm>
                    <a:prstGeom prst="rect"/>
                  </pic:spPr>
                </pic:pic>
              </a:graphicData>
            </a:graphic>
          </wp:inline>
        </w:drawing>
      </w:r>
    </w:p>
    <w:p>
      <w:pPr>
        <w:spacing w:after="160"/>
        <w:jc w:val="center"/>
      </w:pPr>
      <w:r>
        <w:rPr>
          <w:i/>
          <w:color w:val="5F6B78"/>
          <w:sz w:val="17"/>
        </w:rPr>
        <w:t>Figure 3. Day 18 optimized ATS architecture and component-reuse strategy.</w:t>
      </w:r>
    </w:p>
    <w:p>
      <w:r>
        <w:t>The architecture preserves the existing Day 9-Day 14 scoring pipeline while adding a Day 18 preprocessing layer before resume parsing and moving reusable components to the batch scope. The semantic model remains the same model used by the existing semantic matching stage; the optimization changes its lifecycle, not its matching objective.</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880"/>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7"/>
              </w:rPr>
              <w:t>Optimization point</w:t>
            </w:r>
          </w:p>
        </w:tc>
        <w:tc>
          <w:tcPr>
            <w:tcW w:type="dxa" w:w="3384"/>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7"/>
              </w:rPr>
              <w:t>Before</w:t>
            </w:r>
          </w:p>
        </w:tc>
        <w:tc>
          <w:tcPr>
            <w:tcW w:type="dxa" w:w="3384"/>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7"/>
              </w:rPr>
              <w:t>After</w:t>
            </w:r>
          </w:p>
        </w:tc>
      </w:tr>
      <w:tr>
        <w:tc>
          <w:tcPr>
            <w:tcW w:type="dxa" w:w="288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Semantic engine lifecycle</w:t>
            </w:r>
          </w:p>
        </w:tc>
        <w:tc>
          <w:tcPr>
            <w:tcW w:type="dxa" w:w="338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Constructed repeatedly inside candidate processing</w:t>
            </w:r>
          </w:p>
        </w:tc>
        <w:tc>
          <w:tcPr>
            <w:tcW w:type="dxa" w:w="338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Constructed once and reused across the batch</w:t>
            </w:r>
          </w:p>
        </w:tc>
      </w:tr>
      <w:tr>
        <w:tc>
          <w:tcPr>
            <w:tcW w:type="dxa" w:w="288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Skill engine lifecycle</w:t>
            </w:r>
          </w:p>
        </w:tc>
        <w:tc>
          <w:tcPr>
            <w:tcW w:type="dxa" w:w="3384"/>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Constructed inside candidate processing</w:t>
            </w:r>
          </w:p>
        </w:tc>
        <w:tc>
          <w:tcPr>
            <w:tcW w:type="dxa" w:w="3384"/>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Constructed once and shared</w:t>
            </w:r>
          </w:p>
        </w:tc>
      </w:tr>
      <w:tr>
        <w:tc>
          <w:tcPr>
            <w:tcW w:type="dxa" w:w="288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JD parsing</w:t>
            </w:r>
          </w:p>
        </w:tc>
        <w:tc>
          <w:tcPr>
            <w:tcW w:type="dxa" w:w="338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Repeated for each candidate</w:t>
            </w:r>
          </w:p>
        </w:tc>
        <w:tc>
          <w:tcPr>
            <w:tcW w:type="dxa" w:w="338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Parsed and validated once per batch</w:t>
            </w:r>
          </w:p>
        </w:tc>
      </w:tr>
      <w:tr>
        <w:tc>
          <w:tcPr>
            <w:tcW w:type="dxa" w:w="288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Resume input</w:t>
            </w:r>
          </w:p>
        </w:tc>
        <w:tc>
          <w:tcPr>
            <w:tcW w:type="dxa" w:w="3384"/>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Raw extracted text sent directly to parser</w:t>
            </w:r>
          </w:p>
        </w:tc>
        <w:tc>
          <w:tcPr>
            <w:tcW w:type="dxa" w:w="3384"/>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Normalized and entity-processed first</w:t>
            </w:r>
          </w:p>
        </w:tc>
      </w:tr>
      <w:tr>
        <w:tc>
          <w:tcPr>
            <w:tcW w:type="dxa" w:w="288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Scoring logic</w:t>
            </w:r>
          </w:p>
        </w:tc>
        <w:tc>
          <w:tcPr>
            <w:tcW w:type="dxa" w:w="338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Day 13 signal calculation</w:t>
            </w:r>
          </w:p>
        </w:tc>
        <w:tc>
          <w:tcPr>
            <w:tcW w:type="dxa" w:w="338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Preserved</w:t>
            </w:r>
          </w:p>
        </w:tc>
      </w:tr>
    </w:tbl>
    <w:p>
      <w:pPr>
        <w:spacing w:after="0"/>
      </w:pPr>
    </w:p>
    <w:p>
      <w:r>
        <w:br w:type="page"/>
      </w:r>
    </w:p>
    <w:p>
      <w:pPr>
        <w:pStyle w:val="Heading1"/>
      </w:pPr>
      <w:r>
        <w:t>5. Processing Workflow</w:t>
      </w:r>
    </w:p>
    <w:p>
      <w:pPr>
        <w:spacing w:before="0" w:after="160"/>
        <w:pBdr>
          <w:bottom w:val="single" w:sz="12" w:space="1" w:color="19A79A"/>
        </w:pBdr>
      </w:pPr>
    </w:p>
    <w:p>
      <w:pPr>
        <w:spacing w:after="60"/>
        <w:jc w:val="center"/>
      </w:pPr>
      <w:r>
        <w:drawing>
          <wp:inline xmlns:a="http://schemas.openxmlformats.org/drawingml/2006/main" xmlns:pic="http://schemas.openxmlformats.org/drawingml/2006/picture">
            <wp:extent cx="6126480" cy="3171354"/>
            <wp:docPr id="5" name="Picture 5" descr="Workflow diagram from resume extraction through normalization, entity detection, parsing, scoring, ranking and regression validation" title="Workflow diagram from resume extraction through normalization, entity detection, parsing, scoring, ranking and regression validation"/>
            <wp:cNvGraphicFramePr>
              <a:graphicFrameLocks noChangeAspect="1"/>
            </wp:cNvGraphicFramePr>
            <a:graphic>
              <a:graphicData uri="http://schemas.openxmlformats.org/drawingml/2006/picture">
                <pic:pic>
                  <pic:nvPicPr>
                    <pic:cNvPr id="0" name="workflow.png"/>
                    <pic:cNvPicPr/>
                  </pic:nvPicPr>
                  <pic:blipFill>
                    <a:blip r:embed="rId15"/>
                    <a:stretch>
                      <a:fillRect/>
                    </a:stretch>
                  </pic:blipFill>
                  <pic:spPr>
                    <a:xfrm>
                      <a:off x="0" y="0"/>
                      <a:ext cx="6126480" cy="3171354"/>
                    </a:xfrm>
                    <a:prstGeom prst="rect"/>
                  </pic:spPr>
                </pic:pic>
              </a:graphicData>
            </a:graphic>
          </wp:inline>
        </w:drawing>
      </w:r>
    </w:p>
    <w:p>
      <w:pPr>
        <w:spacing w:after="160"/>
        <w:jc w:val="center"/>
      </w:pPr>
      <w:r>
        <w:rPr>
          <w:i/>
          <w:color w:val="5F6B78"/>
          <w:sz w:val="17"/>
        </w:rPr>
        <w:t>Figure 4. Day 18 processing workflow from document extraction to validation.</w:t>
      </w:r>
    </w:p>
    <w:p>
      <w:r>
        <w:t>The quality layer is deliberately conservative: it normalizes formatting noise but does not invent missing resume information. Candidate-name detection is restricted to plausible leading lines, while email, phone and URL detection use explicit patterns.</w:t>
      </w:r>
    </w:p>
    <w:tbl>
      <w:tblPr>
        <w:tblW w:type="auto" w:w="0"/>
        <w:jc w:val="center"/>
        <w:tblLayout w:type="fixed"/>
        <w:tblLook w:firstColumn="1" w:firstRow="1" w:lastColumn="0" w:lastRow="0" w:noHBand="0" w:noVBand="1" w:val="04A0"/>
      </w:tblPr>
      <w:tblGrid>
        <w:gridCol w:w="9648"/>
      </w:tblGrid>
      <w:tr>
        <w:tc>
          <w:tcPr>
            <w:tcW w:type="dxa" w:w="9835"/>
            <w:shd w:fill="EAF7F3"/>
            <w:tcMar>
              <w:top w:w="120" w:type="dxa"/>
              <w:start w:w="160" w:type="dxa"/>
              <w:bottom w:w="120" w:type="dxa"/>
              <w:end w:w="160" w:type="dxa"/>
            </w:tcMar>
            <w:tcBorders>
              <w:top w:val="single" w:sz="8" w:color="19A79A"/>
              <w:left w:val="single" w:sz="8" w:color="19A79A"/>
              <w:bottom w:val="single" w:sz="8" w:color="19A79A"/>
              <w:right w:val="single" w:sz="8" w:color="19A79A"/>
            </w:tcBorders>
          </w:tcPr>
          <w:p>
            <w:pPr>
              <w:spacing w:after="60"/>
            </w:pPr>
            <w:r>
              <w:rPr>
                <w:b/>
                <w:color w:val="19A79A"/>
                <w:sz w:val="22"/>
              </w:rPr>
              <w:t>Data-flow principle</w:t>
            </w:r>
          </w:p>
          <w:p>
            <w:pPr>
              <w:spacing w:after="0"/>
            </w:pPr>
            <w:r>
              <w:rPr>
                <w:sz w:val="19"/>
              </w:rPr>
              <w:t>The optimized flow separates input hygiene from scoring. This keeps reliability improvements isolated from the ATS decision model and makes the changes easier to test independently.</w:t>
            </w:r>
          </w:p>
        </w:tc>
      </w:tr>
    </w:tbl>
    <w:p>
      <w:pPr>
        <w:spacing w:after="0"/>
      </w:pPr>
    </w:p>
    <w:p>
      <w:r>
        <w:br w:type="page"/>
      </w:r>
    </w:p>
    <w:p>
      <w:pPr>
        <w:pStyle w:val="Heading1"/>
      </w:pPr>
      <w:r>
        <w:t>6. Key Code Implementations</w:t>
      </w:r>
    </w:p>
    <w:p>
      <w:pPr>
        <w:spacing w:before="0" w:after="160"/>
        <w:pBdr>
          <w:bottom w:val="single" w:sz="12" w:space="1" w:color="19A79A"/>
        </w:pBdr>
      </w:pPr>
    </w:p>
    <w:p>
      <w:pPr>
        <w:spacing w:before="80" w:after="80"/>
      </w:pPr>
      <w:r>
        <w:rPr>
          <w:b/>
          <w:color w:val="1F5A89"/>
          <w:sz w:val="19"/>
        </w:rPr>
        <w:t>6.1 Resume normalization</w:t>
      </w:r>
    </w:p>
    <w:tbl>
      <w:tblPr>
        <w:tblW w:type="auto" w:w="0"/>
        <w:jc w:val="center"/>
        <w:tblLayout w:type="fixed"/>
        <w:tblLook w:firstColumn="1" w:firstRow="1" w:lastColumn="0" w:lastRow="0" w:noHBand="0" w:noVBand="1" w:val="04A0"/>
      </w:tblPr>
      <w:tblGrid>
        <w:gridCol w:w="9835"/>
      </w:tblGrid>
      <w:tr>
        <w:tc>
          <w:tcPr>
            <w:tcW w:type="dxa" w:w="9835"/>
            <w:shd w:fill="F3F6F8"/>
            <w:tcMar>
              <w:top w:w="90" w:type="dxa"/>
              <w:start w:w="120" w:type="dxa"/>
              <w:bottom w:w="90" w:type="dxa"/>
              <w:end w:w="120" w:type="dxa"/>
            </w:tcMar>
            <w:tcBorders>
              <w:top w:val="single" w:sz="5" w:color="C9D4DE"/>
              <w:left w:val="single" w:sz="5" w:color="C9D4DE"/>
              <w:bottom w:val="single" w:sz="5" w:color="C9D4DE"/>
              <w:right w:val="single" w:sz="5" w:color="C9D4DE"/>
            </w:tcBorders>
          </w:tcPr>
          <w:p>
            <w:pPr>
              <w:pStyle w:val="CodeBlock"/>
            </w:pPr>
            <w:r>
              <w:t>text = unicodedata.normalize("NFKC", text)</w:t>
            </w:r>
            <w:r>
              <w:br/>
            </w:r>
            <w:r>
              <w:t>text = text.replace("\u00A0", " ")</w:t>
            </w:r>
            <w:r>
              <w:br/>
            </w:r>
            <w:r>
              <w:t>text = text.replace("\u200B", "")</w:t>
            </w:r>
            <w:r>
              <w:br/>
            </w:r>
            <w:r>
              <w:t>text = text.replace("–", "-").replace("—", "-")</w:t>
            </w:r>
            <w:r>
              <w:br/>
            </w:r>
            <w:r>
              <w:t>text = re.sub(r"[ \t]+", " ", line).strip()</w:t>
            </w:r>
          </w:p>
        </w:tc>
      </w:tr>
    </w:tbl>
    <w:p>
      <w:pPr>
        <w:spacing w:after="0"/>
      </w:pPr>
    </w:p>
    <w:p>
      <w:r>
        <w:t>This step addresses common extraction artifacts such as non-breaking spaces, zero-width characters, inconsistent line endings, Unicode dash variants, and repeated whitespace. After cleanup, repeated lines are removed using a normalized comparison key.</w:t>
      </w:r>
    </w:p>
    <w:p>
      <w:pPr>
        <w:spacing w:before="80" w:after="80"/>
      </w:pPr>
      <w:r>
        <w:rPr>
          <w:b/>
          <w:color w:val="1F5A89"/>
          <w:sz w:val="19"/>
        </w:rPr>
        <w:t>6.2 Conservative entity detection</w:t>
      </w:r>
    </w:p>
    <w:tbl>
      <w:tblPr>
        <w:tblW w:type="auto" w:w="0"/>
        <w:jc w:val="center"/>
        <w:tblLayout w:type="fixed"/>
        <w:tblLook w:firstColumn="1" w:firstRow="1" w:lastColumn="0" w:lastRow="0" w:noHBand="0" w:noVBand="1" w:val="04A0"/>
      </w:tblPr>
      <w:tblGrid>
        <w:gridCol w:w="9835"/>
      </w:tblGrid>
      <w:tr>
        <w:tc>
          <w:tcPr>
            <w:tcW w:type="dxa" w:w="9835"/>
            <w:shd w:fill="F3F6F8"/>
            <w:tcMar>
              <w:top w:w="90" w:type="dxa"/>
              <w:start w:w="120" w:type="dxa"/>
              <w:bottom w:w="90" w:type="dxa"/>
              <w:end w:w="120" w:type="dxa"/>
            </w:tcMar>
            <w:tcBorders>
              <w:top w:val="single" w:sz="5" w:color="C9D4DE"/>
              <w:left w:val="single" w:sz="5" w:color="C9D4DE"/>
              <w:bottom w:val="single" w:sz="5" w:color="C9D4DE"/>
              <w:right w:val="single" w:sz="5" w:color="C9D4DE"/>
            </w:tcBorders>
          </w:tcPr>
          <w:p>
            <w:pPr>
              <w:pStyle w:val="CodeBlock"/>
            </w:pPr>
            <w:r>
              <w:t>def detect_entities(text: str) -&gt; ResumeEntities:</w:t>
            </w:r>
            <w:r>
              <w:br/>
            </w:r>
            <w:r>
              <w:t xml:space="preserve">    normalized_text = normalize_resume_text(text)</w:t>
            </w:r>
            <w:r>
              <w:br/>
            </w:r>
            <w:r>
              <w:t xml:space="preserve">    return ResumeEntities(</w:t>
            </w:r>
            <w:r>
              <w:br/>
            </w:r>
            <w:r>
              <w:t xml:space="preserve">        candidate_name=detect_candidate_name(normalized_text),</w:t>
            </w:r>
            <w:r>
              <w:br/>
            </w:r>
            <w:r>
              <w:t xml:space="preserve">        email=detect_email(normalized_text),</w:t>
            </w:r>
            <w:r>
              <w:br/>
            </w:r>
            <w:r>
              <w:t xml:space="preserve">        phone=detect_phone(normalized_text),</w:t>
            </w:r>
            <w:r>
              <w:br/>
            </w:r>
            <w:r>
              <w:t xml:space="preserve">        urls=detect_urls(normalized_text),</w:t>
            </w:r>
            <w:r>
              <w:br/>
            </w:r>
            <w:r>
              <w:t xml:space="preserve">    )</w:t>
            </w:r>
          </w:p>
        </w:tc>
      </w:tr>
    </w:tbl>
    <w:p>
      <w:pPr>
        <w:spacing w:after="0"/>
      </w:pPr>
    </w:p>
    <w:p>
      <w:r>
        <w:t>The entity layer supports candidate identification and basic contact metadata discovery. It is intentionally conservative, especially for candidate names, to avoid turning arbitrary first-line text into a false identity.</w:t>
      </w:r>
    </w:p>
    <w:p>
      <w:pPr>
        <w:spacing w:before="80" w:after="80"/>
      </w:pPr>
      <w:r>
        <w:rPr>
          <w:b/>
          <w:color w:val="1F5A89"/>
          <w:sz w:val="19"/>
        </w:rPr>
        <w:t>6.3 Day 14 integration boundary</w:t>
      </w:r>
    </w:p>
    <w:tbl>
      <w:tblPr>
        <w:tblW w:type="auto" w:w="0"/>
        <w:jc w:val="center"/>
        <w:tblLayout w:type="fixed"/>
        <w:tblLook w:firstColumn="1" w:firstRow="1" w:lastColumn="0" w:lastRow="0" w:noHBand="0" w:noVBand="1" w:val="04A0"/>
      </w:tblPr>
      <w:tblGrid>
        <w:gridCol w:w="9835"/>
      </w:tblGrid>
      <w:tr>
        <w:tc>
          <w:tcPr>
            <w:tcW w:type="dxa" w:w="9835"/>
            <w:shd w:fill="F3F6F8"/>
            <w:tcMar>
              <w:top w:w="90" w:type="dxa"/>
              <w:start w:w="120" w:type="dxa"/>
              <w:bottom w:w="90" w:type="dxa"/>
              <w:end w:w="120" w:type="dxa"/>
            </w:tcMar>
            <w:tcBorders>
              <w:top w:val="single" w:sz="5" w:color="C9D4DE"/>
              <w:left w:val="single" w:sz="5" w:color="C9D4DE"/>
              <w:bottom w:val="single" w:sz="5" w:color="C9D4DE"/>
              <w:right w:val="single" w:sz="5" w:color="C9D4DE"/>
            </w:tcBorders>
          </w:tcPr>
          <w:p>
            <w:pPr>
              <w:pStyle w:val="CodeBlock"/>
            </w:pPr>
            <w:r>
              <w:t>raw_resume_text = day13.extract_resume_text(str(resume_path))</w:t>
            </w:r>
            <w:r>
              <w:br/>
            </w:r>
            <w:r>
              <w:t>resume_text, resume_entities = prepare_resume(raw_resume_text)</w:t>
            </w:r>
            <w:r>
              <w:br/>
            </w:r>
            <w:r>
              <w:t>detected_name = resume_entities.candidate_name</w:t>
            </w:r>
            <w:r>
              <w:br/>
            </w:r>
            <w:r/>
            <w:r>
              <w:br/>
            </w:r>
            <w:r>
              <w:t>candidate = day13.parse_resume_text(resume_text)</w:t>
            </w:r>
            <w:r>
              <w:br/>
            </w:r>
            <w:r>
              <w:t>candidate_name = detected_name or candidate.get("name") or resume_path.stem</w:t>
            </w:r>
          </w:p>
        </w:tc>
      </w:tr>
    </w:tbl>
    <w:p>
      <w:pPr>
        <w:spacing w:after="0"/>
      </w:pPr>
    </w:p>
    <w:p>
      <w:r>
        <w:t>The original parser remains in use; Day 18 adds a normalized text input and a safe identity fallback rather than replacing the parser.</w:t>
      </w:r>
    </w:p>
    <w:p>
      <w:r>
        <w:br w:type="page"/>
      </w:r>
    </w:p>
    <w:p>
      <w:pPr>
        <w:pStyle w:val="Heading1"/>
      </w:pPr>
      <w:r>
        <w:t>7. Performance Benchmark and Methodology</w:t>
      </w:r>
    </w:p>
    <w:p>
      <w:pPr>
        <w:spacing w:before="0" w:after="160"/>
        <w:pBdr>
          <w:bottom w:val="single" w:sz="12" w:space="1" w:color="19A79A"/>
        </w:pBdr>
      </w:pPr>
    </w:p>
    <w:p>
      <w:r>
        <w:t>The benchmark measured four timing dimensions and one memory indicator: text extraction, semantic model initialization, semantic matching, full ATS pipeline execution, and peak Python allocation using tracemalloc. Three post-optimization runs were recorded on Python 3.14.2.</w:t>
      </w:r>
    </w:p>
    <w:tbl>
      <w:tblPr>
        <w:tblW w:type="auto" w:w="0"/>
        <w:jc w:val="center"/>
        <w:tblLayout w:type="fixed"/>
        <w:tblLook w:firstColumn="1" w:firstRow="1" w:lastColumn="0" w:lastRow="0" w:noHBand="0" w:noVBand="1" w:val="04A0"/>
      </w:tblPr>
      <w:tblGrid>
        <w:gridCol w:w="9648"/>
      </w:tblGrid>
      <w:tr>
        <w:tc>
          <w:tcPr>
            <w:tcW w:type="dxa" w:w="9835"/>
            <w:shd w:fill="FFF4D6"/>
            <w:tcMar>
              <w:top w:w="120" w:type="dxa"/>
              <w:start w:w="160" w:type="dxa"/>
              <w:bottom w:w="120" w:type="dxa"/>
              <w:end w:w="160" w:type="dxa"/>
            </w:tcMar>
            <w:tcBorders>
              <w:top w:val="single" w:sz="8" w:color="B88400"/>
              <w:left w:val="single" w:sz="8" w:color="B88400"/>
              <w:bottom w:val="single" w:sz="8" w:color="B88400"/>
              <w:right w:val="single" w:sz="8" w:color="B88400"/>
            </w:tcBorders>
          </w:tcPr>
          <w:p>
            <w:pPr>
              <w:spacing w:after="60"/>
            </w:pPr>
            <w:r>
              <w:rPr>
                <w:b/>
                <w:color w:val="B88400"/>
                <w:sz w:val="22"/>
              </w:rPr>
              <w:t>Measurement note</w:t>
            </w:r>
          </w:p>
          <w:p>
            <w:pPr>
              <w:spacing w:after="0"/>
            </w:pPr>
            <w:r>
              <w:rPr>
                <w:sz w:val="19"/>
              </w:rPr>
              <w:t>The benchmark script is named day18_baseline_benchmark.py and prints a "BASELINE SUMMARY" label, but the three recorded runs in this report were executed after the Day 18 optimizations were integrated. The original pre-optimization reference values are retained separately for comparison.</w:t>
            </w:r>
          </w:p>
        </w:tc>
      </w:tr>
    </w:tbl>
    <w:p>
      <w:pPr>
        <w:spacing w:after="0"/>
      </w:pPr>
    </w:p>
    <w:tbl>
      <w:tblPr>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trPr>
        <w:tc>
          <w:tcPr>
            <w:tcW w:type="dxa" w:w="3168"/>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Metric</w:t>
            </w:r>
          </w:p>
        </w:tc>
        <w:tc>
          <w:tcPr>
            <w:tcW w:type="dxa" w:w="1656"/>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Run 1</w:t>
            </w:r>
          </w:p>
        </w:tc>
        <w:tc>
          <w:tcPr>
            <w:tcW w:type="dxa" w:w="1656"/>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Run 2</w:t>
            </w:r>
          </w:p>
        </w:tc>
        <w:tc>
          <w:tcPr>
            <w:tcW w:type="dxa" w:w="1656"/>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Run 3</w:t>
            </w:r>
          </w:p>
        </w:tc>
        <w:tc>
          <w:tcPr>
            <w:tcW w:type="dxa" w:w="1800"/>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Day 18 average</w:t>
            </w:r>
          </w:p>
        </w:tc>
      </w:tr>
      <w:tr>
        <w:tc>
          <w:tcPr>
            <w:tcW w:type="dxa" w:w="316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Model initialization</w:t>
            </w:r>
          </w:p>
        </w:tc>
        <w:tc>
          <w:tcPr>
            <w:tcW w:type="dxa" w:w="165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6.2227 s</w:t>
            </w:r>
          </w:p>
        </w:tc>
        <w:tc>
          <w:tcPr>
            <w:tcW w:type="dxa" w:w="165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7.2501 s</w:t>
            </w:r>
          </w:p>
        </w:tc>
        <w:tc>
          <w:tcPr>
            <w:tcW w:type="dxa" w:w="165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6.9405 s</w:t>
            </w:r>
          </w:p>
        </w:tc>
        <w:tc>
          <w:tcPr>
            <w:tcW w:type="dxa" w:w="180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6.8044 s</w:t>
            </w:r>
          </w:p>
        </w:tc>
      </w:tr>
      <w:tr>
        <w:tc>
          <w:tcPr>
            <w:tcW w:type="dxa" w:w="316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Text extraction</w:t>
            </w:r>
          </w:p>
        </w:tc>
        <w:tc>
          <w:tcPr>
            <w:tcW w:type="dxa" w:w="165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0.0206 s</w:t>
            </w:r>
          </w:p>
        </w:tc>
        <w:tc>
          <w:tcPr>
            <w:tcW w:type="dxa" w:w="165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0.0203 s</w:t>
            </w:r>
          </w:p>
        </w:tc>
        <w:tc>
          <w:tcPr>
            <w:tcW w:type="dxa" w:w="165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0.0194 s</w:t>
            </w:r>
          </w:p>
        </w:tc>
        <w:tc>
          <w:tcPr>
            <w:tcW w:type="dxa" w:w="180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0.0201 s</w:t>
            </w:r>
          </w:p>
        </w:tc>
      </w:tr>
      <w:tr>
        <w:tc>
          <w:tcPr>
            <w:tcW w:type="dxa" w:w="316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Semantic matching</w:t>
            </w:r>
          </w:p>
        </w:tc>
        <w:tc>
          <w:tcPr>
            <w:tcW w:type="dxa" w:w="165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0.1078 s</w:t>
            </w:r>
          </w:p>
        </w:tc>
        <w:tc>
          <w:tcPr>
            <w:tcW w:type="dxa" w:w="165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0.1031 s</w:t>
            </w:r>
          </w:p>
        </w:tc>
        <w:tc>
          <w:tcPr>
            <w:tcW w:type="dxa" w:w="165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0.1106 s</w:t>
            </w:r>
          </w:p>
        </w:tc>
        <w:tc>
          <w:tcPr>
            <w:tcW w:type="dxa" w:w="180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0.1072 s</w:t>
            </w:r>
          </w:p>
        </w:tc>
      </w:tr>
      <w:tr>
        <w:tc>
          <w:tcPr>
            <w:tcW w:type="dxa" w:w="316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Full ATS pipeline</w:t>
            </w:r>
          </w:p>
        </w:tc>
        <w:tc>
          <w:tcPr>
            <w:tcW w:type="dxa" w:w="165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19.2633 s</w:t>
            </w:r>
          </w:p>
        </w:tc>
        <w:tc>
          <w:tcPr>
            <w:tcW w:type="dxa" w:w="165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20.4150 s</w:t>
            </w:r>
          </w:p>
        </w:tc>
        <w:tc>
          <w:tcPr>
            <w:tcW w:type="dxa" w:w="165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19.7918 s</w:t>
            </w:r>
          </w:p>
        </w:tc>
        <w:tc>
          <w:tcPr>
            <w:tcW w:type="dxa" w:w="180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19.8234 s</w:t>
            </w:r>
          </w:p>
        </w:tc>
      </w:tr>
      <w:tr>
        <w:tc>
          <w:tcPr>
            <w:tcW w:type="dxa" w:w="316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Peak traced allocation</w:t>
            </w:r>
          </w:p>
        </w:tc>
        <w:tc>
          <w:tcPr>
            <w:tcW w:type="dxa" w:w="165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95.71 MB</w:t>
            </w:r>
          </w:p>
        </w:tc>
        <w:tc>
          <w:tcPr>
            <w:tcW w:type="dxa" w:w="165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95.71 MB</w:t>
            </w:r>
          </w:p>
        </w:tc>
        <w:tc>
          <w:tcPr>
            <w:tcW w:type="dxa" w:w="165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95.71 MB</w:t>
            </w:r>
          </w:p>
        </w:tc>
        <w:tc>
          <w:tcPr>
            <w:tcW w:type="dxa" w:w="180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95.71 MB</w:t>
            </w:r>
          </w:p>
        </w:tc>
      </w:tr>
    </w:tbl>
    <w:p>
      <w:pPr>
        <w:spacing w:after="0"/>
      </w:pPr>
    </w:p>
    <w:p>
      <w:pPr>
        <w:spacing w:after="60"/>
        <w:jc w:val="center"/>
      </w:pPr>
      <w:r>
        <w:drawing>
          <wp:inline xmlns:a="http://schemas.openxmlformats.org/drawingml/2006/main" xmlns:pic="http://schemas.openxmlformats.org/drawingml/2006/picture">
            <wp:extent cx="6080760" cy="2206057"/>
            <wp:docPr id="6" name="Picture 6" descr="VS Code terminal showing Day 18 ATS benchmark summary" title="VS Code terminal showing Day 18 ATS benchmark summary"/>
            <wp:cNvGraphicFramePr>
              <a:graphicFrameLocks noChangeAspect="1"/>
            </wp:cNvGraphicFramePr>
            <a:graphic>
              <a:graphicData uri="http://schemas.openxmlformats.org/drawingml/2006/picture">
                <pic:pic>
                  <pic:nvPicPr>
                    <pic:cNvPr id="0" name="screenshot_terminal.png"/>
                    <pic:cNvPicPr/>
                  </pic:nvPicPr>
                  <pic:blipFill>
                    <a:blip r:embed="rId16"/>
                    <a:stretch>
                      <a:fillRect/>
                    </a:stretch>
                  </pic:blipFill>
                  <pic:spPr>
                    <a:xfrm>
                      <a:off x="0" y="0"/>
                      <a:ext cx="6080760" cy="2206057"/>
                    </a:xfrm>
                    <a:prstGeom prst="rect"/>
                  </pic:spPr>
                </pic:pic>
              </a:graphicData>
            </a:graphic>
          </wp:inline>
        </w:drawing>
      </w:r>
    </w:p>
    <w:p>
      <w:pPr>
        <w:spacing w:after="160"/>
        <w:jc w:val="center"/>
      </w:pPr>
      <w:r>
        <w:rPr>
          <w:i/>
          <w:color w:val="5F6B78"/>
          <w:sz w:val="17"/>
        </w:rPr>
        <w:t>Figure 5. Benchmark console output visible in the development environment (user-provided screenshot).</w:t>
      </w:r>
    </w:p>
    <w:p>
      <w:r>
        <w:br w:type="page"/>
      </w:r>
    </w:p>
    <w:p>
      <w:pPr>
        <w:pStyle w:val="Heading1"/>
      </w:pPr>
      <w:r>
        <w:t>8. Performance Results</w:t>
      </w:r>
    </w:p>
    <w:p>
      <w:pPr>
        <w:spacing w:before="0" w:after="160"/>
        <w:pBdr>
          <w:bottom w:val="single" w:sz="12" w:space="1" w:color="19A79A"/>
        </w:pBdr>
      </w:pPr>
    </w:p>
    <w:p>
      <w:pPr>
        <w:spacing w:after="60"/>
        <w:jc w:val="center"/>
      </w:pPr>
      <w:r>
        <w:drawing>
          <wp:inline xmlns:a="http://schemas.openxmlformats.org/drawingml/2006/main" xmlns:pic="http://schemas.openxmlformats.org/drawingml/2006/picture">
            <wp:extent cx="5989320" cy="3156317"/>
            <wp:docPr id="7" name="Picture 7" descr="Bar chart of percentage performance changes for model initialization, extraction, semantic matching and full ATS pipeline" title="Bar chart of percentage performance changes for model initialization, extraction, semantic matching and full ATS pipeline"/>
            <wp:cNvGraphicFramePr>
              <a:graphicFrameLocks noChangeAspect="1"/>
            </wp:cNvGraphicFramePr>
            <a:graphic>
              <a:graphicData uri="http://schemas.openxmlformats.org/drawingml/2006/picture">
                <pic:pic>
                  <pic:nvPicPr>
                    <pic:cNvPr id="0" name="performance_chart.png"/>
                    <pic:cNvPicPr/>
                  </pic:nvPicPr>
                  <pic:blipFill>
                    <a:blip r:embed="rId17"/>
                    <a:stretch>
                      <a:fillRect/>
                    </a:stretch>
                  </pic:blipFill>
                  <pic:spPr>
                    <a:xfrm>
                      <a:off x="0" y="0"/>
                      <a:ext cx="5989320" cy="3156317"/>
                    </a:xfrm>
                    <a:prstGeom prst="rect"/>
                  </pic:spPr>
                </pic:pic>
              </a:graphicData>
            </a:graphic>
          </wp:inline>
        </w:drawing>
      </w:r>
    </w:p>
    <w:p>
      <w:pPr>
        <w:spacing w:after="160"/>
        <w:jc w:val="center"/>
      </w:pPr>
      <w:r>
        <w:rPr>
          <w:i/>
          <w:color w:val="5F6B78"/>
          <w:sz w:val="17"/>
        </w:rPr>
        <w:t>Figure 6. Percentage change in Day 18 performance metrics versus the original recorded baseline.</w:t>
      </w:r>
    </w:p>
    <w:tbl>
      <w:tblPr>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trPr>
        <w:tc>
          <w:tcPr>
            <w:tcW w:type="dxa" w:w="2520"/>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Metric</w:t>
            </w:r>
          </w:p>
        </w:tc>
        <w:tc>
          <w:tcPr>
            <w:tcW w:type="dxa" w:w="1800"/>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Original baseline</w:t>
            </w:r>
          </w:p>
        </w:tc>
        <w:tc>
          <w:tcPr>
            <w:tcW w:type="dxa" w:w="1944"/>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Day 18 average</w:t>
            </w:r>
          </w:p>
        </w:tc>
        <w:tc>
          <w:tcPr>
            <w:tcW w:type="dxa" w:w="1368"/>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Change</w:t>
            </w:r>
          </w:p>
        </w:tc>
        <w:tc>
          <w:tcPr>
            <w:tcW w:type="dxa" w:w="2952"/>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Interpretation</w:t>
            </w:r>
          </w:p>
        </w:tc>
      </w:tr>
      <w:tr>
        <w:tc>
          <w:tcPr>
            <w:tcW w:type="dxa" w:w="252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Model initialization</w:t>
            </w:r>
          </w:p>
        </w:tc>
        <w:tc>
          <w:tcPr>
            <w:tcW w:type="dxa" w:w="180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8.4438 s</w:t>
            </w:r>
          </w:p>
        </w:tc>
        <w:tc>
          <w:tcPr>
            <w:tcW w:type="dxa" w:w="194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6.8044 s</w:t>
            </w:r>
          </w:p>
        </w:tc>
        <w:tc>
          <w:tcPr>
            <w:tcW w:type="dxa" w:w="136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-19.4%</w:t>
            </w:r>
          </w:p>
        </w:tc>
        <w:tc>
          <w:tcPr>
            <w:tcW w:type="dxa" w:w="295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Lower initialization overhead</w:t>
            </w:r>
          </w:p>
        </w:tc>
      </w:tr>
      <w:tr>
        <w:tc>
          <w:tcPr>
            <w:tcW w:type="dxa" w:w="252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Text extraction</w:t>
            </w:r>
          </w:p>
        </w:tc>
        <w:tc>
          <w:tcPr>
            <w:tcW w:type="dxa" w:w="180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0.0171 s</w:t>
            </w:r>
          </w:p>
        </w:tc>
        <w:tc>
          <w:tcPr>
            <w:tcW w:type="dxa" w:w="1944"/>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0.0201 s</w:t>
            </w:r>
          </w:p>
        </w:tc>
        <w:tc>
          <w:tcPr>
            <w:tcW w:type="dxa" w:w="136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+17.5%</w:t>
            </w:r>
          </w:p>
        </w:tc>
        <w:tc>
          <w:tcPr>
            <w:tcW w:type="dxa" w:w="295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Small absolute overhead from quality layer</w:t>
            </w:r>
          </w:p>
        </w:tc>
      </w:tr>
      <w:tr>
        <w:tc>
          <w:tcPr>
            <w:tcW w:type="dxa" w:w="252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Semantic matching</w:t>
            </w:r>
          </w:p>
        </w:tc>
        <w:tc>
          <w:tcPr>
            <w:tcW w:type="dxa" w:w="180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0.3297 s</w:t>
            </w:r>
          </w:p>
        </w:tc>
        <w:tc>
          <w:tcPr>
            <w:tcW w:type="dxa" w:w="194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0.1072 s</w:t>
            </w:r>
          </w:p>
        </w:tc>
        <w:tc>
          <w:tcPr>
            <w:tcW w:type="dxa" w:w="136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-67.5%</w:t>
            </w:r>
          </w:p>
        </w:tc>
        <w:tc>
          <w:tcPr>
            <w:tcW w:type="dxa" w:w="295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Largest component-level gain</w:t>
            </w:r>
          </w:p>
        </w:tc>
      </w:tr>
      <w:tr>
        <w:tc>
          <w:tcPr>
            <w:tcW w:type="dxa" w:w="252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Full ATS pipeline</w:t>
            </w:r>
          </w:p>
        </w:tc>
        <w:tc>
          <w:tcPr>
            <w:tcW w:type="dxa" w:w="180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28.2071 s</w:t>
            </w:r>
          </w:p>
        </w:tc>
        <w:tc>
          <w:tcPr>
            <w:tcW w:type="dxa" w:w="1944"/>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19.8234 s</w:t>
            </w:r>
          </w:p>
        </w:tc>
        <w:tc>
          <w:tcPr>
            <w:tcW w:type="dxa" w:w="136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-29.7%</w:t>
            </w:r>
          </w:p>
        </w:tc>
        <w:tc>
          <w:tcPr>
            <w:tcW w:type="dxa" w:w="295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Main production-readiness result</w:t>
            </w:r>
          </w:p>
        </w:tc>
      </w:tr>
      <w:tr>
        <w:tc>
          <w:tcPr>
            <w:tcW w:type="dxa" w:w="252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Peak traced allocation</w:t>
            </w:r>
          </w:p>
        </w:tc>
        <w:tc>
          <w:tcPr>
            <w:tcW w:type="dxa" w:w="180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95.71 MB</w:t>
            </w:r>
          </w:p>
        </w:tc>
        <w:tc>
          <w:tcPr>
            <w:tcW w:type="dxa" w:w="194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95.71 MB</w:t>
            </w:r>
          </w:p>
        </w:tc>
        <w:tc>
          <w:tcPr>
            <w:tcW w:type="dxa" w:w="136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0.0%</w:t>
            </w:r>
          </w:p>
        </w:tc>
        <w:tc>
          <w:tcPr>
            <w:tcW w:type="dxa" w:w="295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Stable under tracemalloc</w:t>
            </w:r>
          </w:p>
        </w:tc>
      </w:tr>
    </w:tbl>
    <w:p>
      <w:pPr>
        <w:spacing w:after="0"/>
      </w:pPr>
    </w:p>
    <w:tbl>
      <w:tblPr>
        <w:tblW w:type="auto" w:w="0"/>
        <w:jc w:val="center"/>
        <w:tblLayout w:type="fixed"/>
        <w:tblLook w:firstColumn="1" w:firstRow="1" w:lastColumn="0" w:lastRow="0" w:noHBand="0" w:noVBand="1" w:val="04A0"/>
      </w:tblPr>
      <w:tblGrid>
        <w:gridCol w:w="9648"/>
      </w:tblGrid>
      <w:tr>
        <w:tc>
          <w:tcPr>
            <w:tcW w:type="dxa" w:w="9835"/>
            <w:shd w:fill="EAF7F3"/>
            <w:tcMar>
              <w:top w:w="120" w:type="dxa"/>
              <w:start w:w="160" w:type="dxa"/>
              <w:bottom w:w="120" w:type="dxa"/>
              <w:end w:w="160" w:type="dxa"/>
            </w:tcMar>
            <w:tcBorders>
              <w:top w:val="single" w:sz="8" w:color="19A79A"/>
              <w:left w:val="single" w:sz="8" w:color="19A79A"/>
              <w:bottom w:val="single" w:sz="8" w:color="19A79A"/>
              <w:right w:val="single" w:sz="8" w:color="19A79A"/>
            </w:tcBorders>
          </w:tcPr>
          <w:p>
            <w:pPr>
              <w:spacing w:after="60"/>
            </w:pPr>
            <w:r>
              <w:rPr>
                <w:b/>
                <w:color w:val="19A79A"/>
                <w:sz w:val="22"/>
              </w:rPr>
              <w:t>Performance conclusion</w:t>
            </w:r>
          </w:p>
          <w:p>
            <w:pPr>
              <w:spacing w:after="0"/>
            </w:pPr>
            <w:r>
              <w:rPr>
                <w:sz w:val="19"/>
              </w:rPr>
              <w:t>The three-run Day 18 average reduces full ATS processing by approximately 8.38 seconds relative to the original recorded baseline. The measured result is strong enough to document a meaningful optimization, while memory remains stable rather than reduced.</w:t>
            </w:r>
          </w:p>
        </w:tc>
      </w:tr>
    </w:tbl>
    <w:p>
      <w:pPr>
        <w:spacing w:after="0"/>
      </w:pPr>
    </w:p>
    <w:p>
      <w:r>
        <w:br w:type="page"/>
      </w:r>
    </w:p>
    <w:p>
      <w:pPr>
        <w:pStyle w:val="Heading1"/>
      </w:pPr>
      <w:r>
        <w:t>9. Noisy Resume Stability Regression</w:t>
      </w:r>
    </w:p>
    <w:p>
      <w:pPr>
        <w:spacing w:before="0" w:after="160"/>
        <w:pBdr>
          <w:bottom w:val="single" w:sz="12" w:space="1" w:color="19A79A"/>
        </w:pBdr>
      </w:pPr>
    </w:p>
    <w:p>
      <w:r>
        <w:t>A dedicated regression script generated a temporary noisy TXT version of the clean AI-developer resume and injected common text-extraction disturbances. The same Job Description and scoring path were then applied to the clean and noisy inputs.</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520"/>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Test</w:t>
            </w:r>
          </w:p>
        </w:tc>
        <w:tc>
          <w:tcPr>
            <w:tcW w:type="dxa" w:w="3240"/>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Expected behavior</w:t>
            </w:r>
          </w:p>
        </w:tc>
        <w:tc>
          <w:tcPr>
            <w:tcW w:type="dxa" w:w="2376"/>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Observed result</w:t>
            </w:r>
          </w:p>
        </w:tc>
        <w:tc>
          <w:tcPr>
            <w:tcW w:type="dxa" w:w="1152"/>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Status</w:t>
            </w:r>
          </w:p>
        </w:tc>
      </w:tr>
      <w:tr>
        <w:tc>
          <w:tcPr>
            <w:tcW w:type="dxa" w:w="252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Text not empty</w:t>
            </w:r>
          </w:p>
        </w:tc>
        <w:tc>
          <w:tcPr>
            <w:tcW w:type="dxa" w:w="324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Normalized text remains usable</w:t>
            </w:r>
          </w:p>
        </w:tc>
        <w:tc>
          <w:tcPr>
            <w:tcW w:type="dxa" w:w="237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PASS</w:t>
            </w:r>
          </w:p>
        </w:tc>
        <w:tc>
          <w:tcPr>
            <w:tcW w:type="dxa" w:w="115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PASS</w:t>
            </w:r>
          </w:p>
        </w:tc>
      </w:tr>
      <w:tr>
        <w:tc>
          <w:tcPr>
            <w:tcW w:type="dxa" w:w="252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NBSP removal</w:t>
            </w:r>
          </w:p>
        </w:tc>
        <w:tc>
          <w:tcPr>
            <w:tcW w:type="dxa" w:w="324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Non-breaking spaces removed</w:t>
            </w:r>
          </w:p>
        </w:tc>
        <w:tc>
          <w:tcPr>
            <w:tcW w:type="dxa" w:w="237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PASS</w:t>
            </w:r>
          </w:p>
        </w:tc>
        <w:tc>
          <w:tcPr>
            <w:tcW w:type="dxa" w:w="115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PASS</w:t>
            </w:r>
          </w:p>
        </w:tc>
      </w:tr>
      <w:tr>
        <w:tc>
          <w:tcPr>
            <w:tcW w:type="dxa" w:w="252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Zero-width removal</w:t>
            </w:r>
          </w:p>
        </w:tc>
        <w:tc>
          <w:tcPr>
            <w:tcW w:type="dxa" w:w="324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Hidden zero-width characters removed</w:t>
            </w:r>
          </w:p>
        </w:tc>
        <w:tc>
          <w:tcPr>
            <w:tcW w:type="dxa" w:w="237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PASS</w:t>
            </w:r>
          </w:p>
        </w:tc>
        <w:tc>
          <w:tcPr>
            <w:tcW w:type="dxa" w:w="115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PASS</w:t>
            </w:r>
          </w:p>
        </w:tc>
      </w:tr>
      <w:tr>
        <w:tc>
          <w:tcPr>
            <w:tcW w:type="dxa" w:w="252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Candidate-name detection</w:t>
            </w:r>
          </w:p>
        </w:tc>
        <w:tc>
          <w:tcPr>
            <w:tcW w:type="dxa" w:w="324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Sophia Martinez recovered</w:t>
            </w:r>
          </w:p>
        </w:tc>
        <w:tc>
          <w:tcPr>
            <w:tcW w:type="dxa" w:w="237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PASS</w:t>
            </w:r>
          </w:p>
        </w:tc>
        <w:tc>
          <w:tcPr>
            <w:tcW w:type="dxa" w:w="115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PASS</w:t>
            </w:r>
          </w:p>
        </w:tc>
      </w:tr>
      <w:tr>
        <w:tc>
          <w:tcPr>
            <w:tcW w:type="dxa" w:w="252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Email detection</w:t>
            </w:r>
          </w:p>
        </w:tc>
        <w:tc>
          <w:tcPr>
            <w:tcW w:type="dxa" w:w="324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Sophia.Martinez@example.com recovered</w:t>
            </w:r>
          </w:p>
        </w:tc>
        <w:tc>
          <w:tcPr>
            <w:tcW w:type="dxa" w:w="237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PASS</w:t>
            </w:r>
          </w:p>
        </w:tc>
        <w:tc>
          <w:tcPr>
            <w:tcW w:type="dxa" w:w="115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PASS</w:t>
            </w:r>
          </w:p>
        </w:tc>
      </w:tr>
      <w:tr>
        <w:tc>
          <w:tcPr>
            <w:tcW w:type="dxa" w:w="252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URL output type</w:t>
            </w:r>
          </w:p>
        </w:tc>
        <w:tc>
          <w:tcPr>
            <w:tcW w:type="dxa" w:w="324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Entity collection remains a list</w:t>
            </w:r>
          </w:p>
        </w:tc>
        <w:tc>
          <w:tcPr>
            <w:tcW w:type="dxa" w:w="237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PASS</w:t>
            </w:r>
          </w:p>
        </w:tc>
        <w:tc>
          <w:tcPr>
            <w:tcW w:type="dxa" w:w="115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PASS</w:t>
            </w:r>
          </w:p>
        </w:tc>
      </w:tr>
      <w:tr>
        <w:tc>
          <w:tcPr>
            <w:tcW w:type="dxa" w:w="252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Candidate identity</w:t>
            </w:r>
          </w:p>
        </w:tc>
        <w:tc>
          <w:tcPr>
            <w:tcW w:type="dxa" w:w="324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Clean and noisy names match</w:t>
            </w:r>
          </w:p>
        </w:tc>
        <w:tc>
          <w:tcPr>
            <w:tcW w:type="dxa" w:w="237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PASS</w:t>
            </w:r>
          </w:p>
        </w:tc>
        <w:tc>
          <w:tcPr>
            <w:tcW w:type="dxa" w:w="115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PASS</w:t>
            </w:r>
          </w:p>
        </w:tc>
      </w:tr>
      <w:tr>
        <w:tc>
          <w:tcPr>
            <w:tcW w:type="dxa" w:w="252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ATS score availability</w:t>
            </w:r>
          </w:p>
        </w:tc>
        <w:tc>
          <w:tcPr>
            <w:tcW w:type="dxa" w:w="324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Both runs produce valid score</w:t>
            </w:r>
          </w:p>
        </w:tc>
        <w:tc>
          <w:tcPr>
            <w:tcW w:type="dxa" w:w="237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PASS</w:t>
            </w:r>
          </w:p>
        </w:tc>
        <w:tc>
          <w:tcPr>
            <w:tcW w:type="dxa" w:w="115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PASS</w:t>
            </w:r>
          </w:p>
        </w:tc>
      </w:tr>
    </w:tbl>
    <w:p>
      <w:pPr>
        <w:spacing w:after="0"/>
      </w:pPr>
    </w:p>
    <w:tbl>
      <w:tblPr>
        <w:tblW w:type="auto" w:w="0"/>
        <w:jc w:val="center"/>
        <w:tblLayout w:type="fixed"/>
        <w:tblLook w:firstColumn="1" w:firstRow="1" w:lastColumn="0" w:lastRow="0" w:noHBand="0" w:noVBand="1" w:val="04A0"/>
      </w:tblPr>
      <w:tblGrid>
        <w:gridCol w:w="2459"/>
        <w:gridCol w:w="2459"/>
        <w:gridCol w:w="2459"/>
        <w:gridCol w:w="2459"/>
      </w:tblGrid>
      <w:tr>
        <w:tc>
          <w:tcPr>
            <w:tcW w:type="dxa" w:w="2459"/>
            <w:shd w:fill="F4F7FA"/>
            <w:tcMar>
              <w:top w:w="100" w:type="dxa"/>
              <w:start w:w="90" w:type="dxa"/>
              <w:bottom w:w="100" w:type="dxa"/>
              <w:end w:w="90" w:type="dxa"/>
            </w:tcMar>
            <w:tcBorders>
              <w:top w:val="single" w:sz="8" w:color="19A79A"/>
              <w:left w:val="single" w:sz="8" w:color="D3DDE5"/>
              <w:bottom w:val="single" w:sz="8" w:color="19A79A"/>
              <w:right w:val="single" w:sz="8" w:color="D3DDE5"/>
            </w:tcBorders>
          </w:tcPr>
          <w:p>
            <w:pPr>
              <w:jc w:val="center"/>
            </w:pPr>
            <w:r>
              <w:rPr>
                <w:b/>
                <w:color w:val="12345B"/>
                <w:sz w:val="36"/>
              </w:rPr>
              <w:t>Sophia Martinez</w:t>
            </w:r>
          </w:p>
          <w:p>
            <w:pPr>
              <w:spacing w:after="0"/>
              <w:jc w:val="center"/>
            </w:pPr>
            <w:r>
              <w:rPr>
                <w:color w:val="5F6B78"/>
                <w:sz w:val="16"/>
              </w:rPr>
              <w:t>Clean candidate</w:t>
            </w:r>
          </w:p>
        </w:tc>
        <w:tc>
          <w:tcPr>
            <w:tcW w:type="dxa" w:w="2459"/>
            <w:shd w:fill="F4F7FA"/>
            <w:tcMar>
              <w:top w:w="100" w:type="dxa"/>
              <w:start w:w="90" w:type="dxa"/>
              <w:bottom w:w="100" w:type="dxa"/>
              <w:end w:w="90" w:type="dxa"/>
            </w:tcMar>
            <w:tcBorders>
              <w:top w:val="single" w:sz="8" w:color="19A79A"/>
              <w:left w:val="single" w:sz="8" w:color="D3DDE5"/>
              <w:bottom w:val="single" w:sz="8" w:color="19A79A"/>
              <w:right w:val="single" w:sz="8" w:color="D3DDE5"/>
            </w:tcBorders>
          </w:tcPr>
          <w:p>
            <w:pPr>
              <w:jc w:val="center"/>
            </w:pPr>
            <w:r>
              <w:rPr>
                <w:b/>
                <w:color w:val="12345B"/>
                <w:sz w:val="36"/>
              </w:rPr>
              <w:t>Sophia Martinez</w:t>
            </w:r>
          </w:p>
          <w:p>
            <w:pPr>
              <w:spacing w:after="0"/>
              <w:jc w:val="center"/>
            </w:pPr>
            <w:r>
              <w:rPr>
                <w:color w:val="5F6B78"/>
                <w:sz w:val="16"/>
              </w:rPr>
              <w:t>Noisy candidate</w:t>
            </w:r>
          </w:p>
        </w:tc>
        <w:tc>
          <w:tcPr>
            <w:tcW w:type="dxa" w:w="2459"/>
            <w:shd w:fill="F4F7FA"/>
            <w:tcMar>
              <w:top w:w="100" w:type="dxa"/>
              <w:start w:w="90" w:type="dxa"/>
              <w:bottom w:w="100" w:type="dxa"/>
              <w:end w:w="90" w:type="dxa"/>
            </w:tcMar>
            <w:tcBorders>
              <w:top w:val="single" w:sz="8" w:color="19A79A"/>
              <w:left w:val="single" w:sz="8" w:color="D3DDE5"/>
              <w:bottom w:val="single" w:sz="8" w:color="19A79A"/>
              <w:right w:val="single" w:sz="8" w:color="D3DDE5"/>
            </w:tcBorders>
          </w:tcPr>
          <w:p>
            <w:pPr>
              <w:jc w:val="center"/>
            </w:pPr>
            <w:r>
              <w:rPr>
                <w:b/>
                <w:color w:val="12345B"/>
                <w:sz w:val="36"/>
              </w:rPr>
              <w:t>0.5797</w:t>
            </w:r>
          </w:p>
          <w:p>
            <w:pPr>
              <w:spacing w:after="0"/>
              <w:jc w:val="center"/>
            </w:pPr>
            <w:r>
              <w:rPr>
                <w:color w:val="5F6B78"/>
                <w:sz w:val="16"/>
              </w:rPr>
              <w:t>Clean ATS score</w:t>
            </w:r>
          </w:p>
        </w:tc>
        <w:tc>
          <w:tcPr>
            <w:tcW w:type="dxa" w:w="2459"/>
            <w:shd w:fill="F4F7FA"/>
            <w:tcMar>
              <w:top w:w="100" w:type="dxa"/>
              <w:start w:w="90" w:type="dxa"/>
              <w:bottom w:w="100" w:type="dxa"/>
              <w:end w:w="90" w:type="dxa"/>
            </w:tcMar>
            <w:tcBorders>
              <w:top w:val="single" w:sz="8" w:color="19A79A"/>
              <w:left w:val="single" w:sz="8" w:color="D3DDE5"/>
              <w:bottom w:val="single" w:sz="8" w:color="19A79A"/>
              <w:right w:val="single" w:sz="8" w:color="D3DDE5"/>
            </w:tcBorders>
          </w:tcPr>
          <w:p>
            <w:pPr>
              <w:jc w:val="center"/>
            </w:pPr>
            <w:r>
              <w:rPr>
                <w:b/>
                <w:color w:val="12345B"/>
                <w:sz w:val="36"/>
              </w:rPr>
              <w:t>0.5797</w:t>
            </w:r>
          </w:p>
          <w:p>
            <w:pPr>
              <w:spacing w:after="0"/>
              <w:jc w:val="center"/>
            </w:pPr>
            <w:r>
              <w:rPr>
                <w:color w:val="5F6B78"/>
                <w:sz w:val="16"/>
              </w:rPr>
              <w:t>Noisy ATS score</w:t>
            </w:r>
          </w:p>
        </w:tc>
      </w:tr>
    </w:tbl>
    <w:p>
      <w:pPr>
        <w:spacing w:after="0"/>
      </w:pPr>
    </w:p>
    <w:tbl>
      <w:tblPr>
        <w:tblW w:type="auto" w:w="0"/>
        <w:jc w:val="center"/>
        <w:tblLayout w:type="fixed"/>
        <w:tblLook w:firstColumn="1" w:firstRow="1" w:lastColumn="0" w:lastRow="0" w:noHBand="0" w:noVBand="1" w:val="04A0"/>
      </w:tblPr>
      <w:tblGrid>
        <w:gridCol w:w="9648"/>
      </w:tblGrid>
      <w:tr>
        <w:tc>
          <w:tcPr>
            <w:tcW w:type="dxa" w:w="9835"/>
            <w:shd w:fill="EAF7F3"/>
            <w:tcMar>
              <w:top w:w="120" w:type="dxa"/>
              <w:start w:w="160" w:type="dxa"/>
              <w:bottom w:w="120" w:type="dxa"/>
              <w:end w:w="160" w:type="dxa"/>
            </w:tcMar>
            <w:tcBorders>
              <w:top w:val="single" w:sz="8" w:color="19A79A"/>
              <w:left w:val="single" w:sz="8" w:color="19A79A"/>
              <w:bottom w:val="single" w:sz="8" w:color="19A79A"/>
              <w:right w:val="single" w:sz="8" w:color="19A79A"/>
            </w:tcBorders>
          </w:tcPr>
          <w:p>
            <w:pPr>
              <w:spacing w:after="60"/>
            </w:pPr>
            <w:r>
              <w:rPr>
                <w:b/>
                <w:color w:val="19A79A"/>
                <w:sz w:val="22"/>
              </w:rPr>
              <w:t>Regression result</w:t>
            </w:r>
          </w:p>
          <w:p>
            <w:pPr>
              <w:spacing w:after="0"/>
            </w:pPr>
            <w:r>
              <w:rPr>
                <w:sz w:val="19"/>
              </w:rPr>
              <w:t>Absolute ATS score difference = 0.0000. Candidate identity = PASS. Pipeline execution = PASS. The final console status reported: DAY 18 NOISY RESUME TEST PASSED.</w:t>
            </w:r>
          </w:p>
        </w:tc>
      </w:tr>
    </w:tbl>
    <w:p>
      <w:pPr>
        <w:spacing w:after="0"/>
      </w:pPr>
    </w:p>
    <w:p>
      <w:r>
        <w:t>The test reported an empty detected URL list; this is not a failure because the test resume did not contain a URL. The important regression conditions were identity preservation, score preservation, and successful pipeline execution.</w:t>
      </w:r>
    </w:p>
    <w:p>
      <w:r>
        <w:br w:type="page"/>
      </w:r>
    </w:p>
    <w:p>
      <w:pPr>
        <w:pStyle w:val="Heading1"/>
      </w:pPr>
      <w:r>
        <w:t>10. End-to-End ATS Regression</w:t>
      </w:r>
    </w:p>
    <w:p>
      <w:pPr>
        <w:spacing w:before="0" w:after="160"/>
        <w:pBdr>
          <w:bottom w:val="single" w:sz="12" w:space="1" w:color="19A79A"/>
        </w:pBdr>
      </w:pPr>
    </w:p>
    <w:p>
      <w:r>
        <w:t>The optimized Day 14 end-to-end pipeline was executed against the same three representative resumes used by the benchmark. All three candidates completed successfully and the recruiter-facing output remained valid.</w:t>
      </w:r>
    </w:p>
    <w:tbl>
      <w:tblPr>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trPr>
        <w:tc>
          <w:tcPr>
            <w:tcW w:type="dxa" w:w="792"/>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7"/>
              </w:rPr>
              <w:t>Rank</w:t>
            </w:r>
          </w:p>
        </w:tc>
        <w:tc>
          <w:tcPr>
            <w:tcW w:type="dxa" w:w="3528"/>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7"/>
              </w:rPr>
              <w:t>Candidate</w:t>
            </w:r>
          </w:p>
        </w:tc>
        <w:tc>
          <w:tcPr>
            <w:tcW w:type="dxa" w:w="1512"/>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7"/>
              </w:rPr>
              <w:t>ATS score</w:t>
            </w:r>
          </w:p>
        </w:tc>
        <w:tc>
          <w:tcPr>
            <w:tcW w:type="dxa" w:w="1512"/>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7"/>
              </w:rPr>
              <w:t>Status</w:t>
            </w:r>
          </w:p>
        </w:tc>
        <w:tc>
          <w:tcPr>
            <w:tcW w:type="dxa" w:w="2304"/>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7"/>
              </w:rPr>
              <w:t>Role</w:t>
            </w:r>
          </w:p>
        </w:tc>
      </w:tr>
      <w:tr>
        <w:tc>
          <w:tcPr>
            <w:tcW w:type="dxa" w:w="79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1</w:t>
            </w:r>
          </w:p>
        </w:tc>
        <w:tc>
          <w:tcPr>
            <w:tcW w:type="dxa" w:w="352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Sophia Martinez</w:t>
            </w:r>
          </w:p>
        </w:tc>
        <w:tc>
          <w:tcPr>
            <w:tcW w:type="dxa" w:w="151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57.97%</w:t>
            </w:r>
          </w:p>
        </w:tc>
        <w:tc>
          <w:tcPr>
            <w:tcW w:type="dxa" w:w="151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REVIEW</w:t>
            </w:r>
          </w:p>
        </w:tc>
        <w:tc>
          <w:tcPr>
            <w:tcW w:type="dxa" w:w="230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AI/ML Engineer</w:t>
            </w:r>
          </w:p>
        </w:tc>
      </w:tr>
      <w:tr>
        <w:tc>
          <w:tcPr>
            <w:tcW w:type="dxa" w:w="79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2</w:t>
            </w:r>
          </w:p>
        </w:tc>
        <w:tc>
          <w:tcPr>
            <w:tcW w:type="dxa" w:w="352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Entry-Level Data Scientist</w:t>
            </w:r>
          </w:p>
        </w:tc>
        <w:tc>
          <w:tcPr>
            <w:tcW w:type="dxa" w:w="151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29.02%</w:t>
            </w:r>
          </w:p>
        </w:tc>
        <w:tc>
          <w:tcPr>
            <w:tcW w:type="dxa" w:w="151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REJECT</w:t>
            </w:r>
          </w:p>
        </w:tc>
        <w:tc>
          <w:tcPr>
            <w:tcW w:type="dxa" w:w="2304"/>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AI/ML Engineer</w:t>
            </w:r>
          </w:p>
        </w:tc>
      </w:tr>
      <w:tr>
        <w:tc>
          <w:tcPr>
            <w:tcW w:type="dxa" w:w="79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3</w:t>
            </w:r>
          </w:p>
        </w:tc>
        <w:tc>
          <w:tcPr>
            <w:tcW w:type="dxa" w:w="352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Sanskar Sankar</w:t>
            </w:r>
          </w:p>
        </w:tc>
        <w:tc>
          <w:tcPr>
            <w:tcW w:type="dxa" w:w="151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13.69%</w:t>
            </w:r>
          </w:p>
        </w:tc>
        <w:tc>
          <w:tcPr>
            <w:tcW w:type="dxa" w:w="151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REJECT</w:t>
            </w:r>
          </w:p>
        </w:tc>
        <w:tc>
          <w:tcPr>
            <w:tcW w:type="dxa" w:w="230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AI/ML Engineer</w:t>
            </w:r>
          </w:p>
        </w:tc>
      </w:tr>
    </w:tbl>
    <w:p>
      <w:pPr>
        <w:spacing w:after="0"/>
      </w:pPr>
    </w:p>
    <w:tbl>
      <w:tblPr>
        <w:tblW w:type="auto" w:w="0"/>
        <w:jc w:val="center"/>
        <w:tblLayout w:type="fixed"/>
        <w:tblLook w:firstColumn="1" w:firstRow="1" w:lastColumn="0" w:lastRow="0" w:noHBand="0" w:noVBand="1" w:val="04A0"/>
      </w:tblPr>
      <w:tblGrid>
        <w:gridCol w:w="4917"/>
        <w:gridCol w:w="4917"/>
      </w:tblGrid>
      <w:tr>
        <w:trPr>
          <w:tblHeader w:val="true"/>
        </w:trPr>
        <w:tc>
          <w:tcPr>
            <w:tcW w:type="dxa" w:w="5040"/>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7"/>
              </w:rPr>
              <w:t>Regression check</w:t>
            </w:r>
          </w:p>
        </w:tc>
        <w:tc>
          <w:tcPr>
            <w:tcW w:type="dxa" w:w="4608"/>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7"/>
              </w:rPr>
              <w:t>Result</w:t>
            </w:r>
          </w:p>
        </w:tc>
      </w:tr>
      <w:tr>
        <w:tc>
          <w:tcPr>
            <w:tcW w:type="dxa" w:w="504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Three candidates processed</w:t>
            </w:r>
          </w:p>
        </w:tc>
        <w:tc>
          <w:tcPr>
            <w:tcW w:type="dxa" w:w="460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PASS</w:t>
            </w:r>
          </w:p>
        </w:tc>
      </w:tr>
      <w:tr>
        <w:tc>
          <w:tcPr>
            <w:tcW w:type="dxa" w:w="504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Ranking output generated</w:t>
            </w:r>
          </w:p>
        </w:tc>
        <w:tc>
          <w:tcPr>
            <w:tcW w:type="dxa" w:w="460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PASS</w:t>
            </w:r>
          </w:p>
        </w:tc>
      </w:tr>
      <w:tr>
        <w:tc>
          <w:tcPr>
            <w:tcW w:type="dxa" w:w="504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JSON output generated</w:t>
            </w:r>
          </w:p>
        </w:tc>
        <w:tc>
          <w:tcPr>
            <w:tcW w:type="dxa" w:w="460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PASS</w:t>
            </w:r>
          </w:p>
        </w:tc>
      </w:tr>
      <w:tr>
        <w:tc>
          <w:tcPr>
            <w:tcW w:type="dxa" w:w="504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Shortlist decision executed</w:t>
            </w:r>
          </w:p>
        </w:tc>
        <w:tc>
          <w:tcPr>
            <w:tcW w:type="dxa" w:w="460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No candidates shortlisted</w:t>
            </w:r>
          </w:p>
        </w:tc>
      </w:tr>
      <w:tr>
        <w:tc>
          <w:tcPr>
            <w:tcW w:type="dxa" w:w="504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Review queue</w:t>
            </w:r>
          </w:p>
        </w:tc>
        <w:tc>
          <w:tcPr>
            <w:tcW w:type="dxa" w:w="460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7"/>
              </w:rPr>
              <w:t>Sophia Martinez only</w:t>
            </w:r>
          </w:p>
        </w:tc>
      </w:tr>
      <w:tr>
        <w:tc>
          <w:tcPr>
            <w:tcW w:type="dxa" w:w="504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Auto-rejection queue</w:t>
            </w:r>
          </w:p>
        </w:tc>
        <w:tc>
          <w:tcPr>
            <w:tcW w:type="dxa" w:w="460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7"/>
              </w:rPr>
              <w:t>Entry-Level Data Scientist; Sanskar Sankar</w:t>
            </w:r>
          </w:p>
        </w:tc>
      </w:tr>
    </w:tbl>
    <w:p>
      <w:pPr>
        <w:spacing w:after="0"/>
      </w:pPr>
    </w:p>
    <w:tbl>
      <w:tblPr>
        <w:tblW w:type="auto" w:w="0"/>
        <w:jc w:val="center"/>
        <w:tblLayout w:type="fixed"/>
        <w:tblLook w:firstColumn="1" w:firstRow="1" w:lastColumn="0" w:lastRow="0" w:noHBand="0" w:noVBand="1" w:val="04A0"/>
      </w:tblPr>
      <w:tblGrid>
        <w:gridCol w:w="9648"/>
      </w:tblGrid>
      <w:tr>
        <w:tc>
          <w:tcPr>
            <w:tcW w:type="dxa" w:w="9835"/>
            <w:shd w:fill="EAF7F3"/>
            <w:tcMar>
              <w:top w:w="120" w:type="dxa"/>
              <w:start w:w="160" w:type="dxa"/>
              <w:bottom w:w="120" w:type="dxa"/>
              <w:end w:w="160" w:type="dxa"/>
            </w:tcMar>
            <w:tcBorders>
              <w:top w:val="single" w:sz="8" w:color="19A79A"/>
              <w:left w:val="single" w:sz="8" w:color="19A79A"/>
              <w:bottom w:val="single" w:sz="8" w:color="19A79A"/>
              <w:right w:val="single" w:sz="8" w:color="19A79A"/>
            </w:tcBorders>
          </w:tcPr>
          <w:p>
            <w:pPr>
              <w:spacing w:after="60"/>
            </w:pPr>
            <w:r>
              <w:rPr>
                <w:b/>
                <w:color w:val="19A79A"/>
                <w:sz w:val="22"/>
              </w:rPr>
              <w:t>Stability statement</w:t>
            </w:r>
          </w:p>
          <w:p>
            <w:pPr>
              <w:spacing w:after="0"/>
            </w:pPr>
            <w:r>
              <w:rPr>
                <w:sz w:val="19"/>
              </w:rPr>
              <w:t>The benchmark and end-to-end run completed without pipeline failure. The ordering of the three representative candidates remained stable after the Day 18 integration.</w:t>
            </w:r>
          </w:p>
        </w:tc>
      </w:tr>
    </w:tbl>
    <w:p>
      <w:pPr>
        <w:spacing w:after="0"/>
      </w:pPr>
    </w:p>
    <w:p>
      <w:r>
        <w:br w:type="page"/>
      </w:r>
    </w:p>
    <w:p>
      <w:pPr>
        <w:pStyle w:val="Heading1"/>
      </w:pPr>
      <w:r>
        <w:t>11. Challenges and Solutions</w:t>
      </w:r>
    </w:p>
    <w:p>
      <w:pPr>
        <w:spacing w:before="0" w:after="160"/>
        <w:pBdr>
          <w:bottom w:val="single" w:sz="12" w:space="1" w:color="19A79A"/>
        </w:pBdr>
      </w:pP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088"/>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Challenge</w:t>
            </w:r>
          </w:p>
        </w:tc>
        <w:tc>
          <w:tcPr>
            <w:tcW w:type="dxa" w:w="2952"/>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Observed issue</w:t>
            </w:r>
          </w:p>
        </w:tc>
        <w:tc>
          <w:tcPr>
            <w:tcW w:type="dxa" w:w="3672"/>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Day 18 solution</w:t>
            </w:r>
          </w:p>
        </w:tc>
        <w:tc>
          <w:tcPr>
            <w:tcW w:type="dxa" w:w="1440"/>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Outcome</w:t>
            </w:r>
          </w:p>
        </w:tc>
      </w:tr>
      <w:tr>
        <w:tc>
          <w:tcPr>
            <w:tcW w:type="dxa" w:w="208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Repeated model initialization</w:t>
            </w:r>
          </w:p>
        </w:tc>
        <w:tc>
          <w:tcPr>
            <w:tcW w:type="dxa" w:w="295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Heavy semantic engine lifecycle repeated in candidate processing</w:t>
            </w:r>
          </w:p>
        </w:tc>
        <w:tc>
          <w:tcPr>
            <w:tcW w:type="dxa" w:w="367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Create once at batch scope and reuse</w:t>
            </w:r>
          </w:p>
        </w:tc>
        <w:tc>
          <w:tcPr>
            <w:tcW w:type="dxa" w:w="144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Semantic matching substantially faster</w:t>
            </w:r>
          </w:p>
        </w:tc>
      </w:tr>
      <w:tr>
        <w:tc>
          <w:tcPr>
            <w:tcW w:type="dxa" w:w="208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Repeated Job Description parsing</w:t>
            </w:r>
          </w:p>
        </w:tc>
        <w:tc>
          <w:tcPr>
            <w:tcW w:type="dxa" w:w="295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Same JD processed for every resume</w:t>
            </w:r>
          </w:p>
        </w:tc>
        <w:tc>
          <w:tcPr>
            <w:tcW w:type="dxa" w:w="367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Parse and validate once per batch</w:t>
            </w:r>
          </w:p>
        </w:tc>
        <w:tc>
          <w:tcPr>
            <w:tcW w:type="dxa" w:w="144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Removes repeated work</w:t>
            </w:r>
          </w:p>
        </w:tc>
      </w:tr>
      <w:tr>
        <w:tc>
          <w:tcPr>
            <w:tcW w:type="dxa" w:w="208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Noisy extraction artifacts</w:t>
            </w:r>
          </w:p>
        </w:tc>
        <w:tc>
          <w:tcPr>
            <w:tcW w:type="dxa" w:w="295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Unicode/whitespace/hidden characters can disturb downstream parsing</w:t>
            </w:r>
          </w:p>
        </w:tc>
        <w:tc>
          <w:tcPr>
            <w:tcW w:type="dxa" w:w="367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Normalize text before resume parsing</w:t>
            </w:r>
          </w:p>
        </w:tc>
        <w:tc>
          <w:tcPr>
            <w:tcW w:type="dxa" w:w="144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Noisy regression passed</w:t>
            </w:r>
          </w:p>
        </w:tc>
      </w:tr>
      <w:tr>
        <w:tc>
          <w:tcPr>
            <w:tcW w:type="dxa" w:w="208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Candidate identity under noise</w:t>
            </w:r>
          </w:p>
        </w:tc>
        <w:tc>
          <w:tcPr>
            <w:tcW w:type="dxa" w:w="295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First line can be malformed or mixed with metadata</w:t>
            </w:r>
          </w:p>
        </w:tc>
        <w:tc>
          <w:tcPr>
            <w:tcW w:type="dxa" w:w="367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Conservative candidate-name detector</w:t>
            </w:r>
          </w:p>
        </w:tc>
        <w:tc>
          <w:tcPr>
            <w:tcW w:type="dxa" w:w="144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Identity preserved</w:t>
            </w:r>
          </w:p>
        </w:tc>
      </w:tr>
      <w:tr>
        <w:tc>
          <w:tcPr>
            <w:tcW w:type="dxa" w:w="208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Memory interpretation</w:t>
            </w:r>
          </w:p>
        </w:tc>
        <w:tc>
          <w:tcPr>
            <w:tcW w:type="dxa" w:w="295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tracemalloc does not equal OS RSS</w:t>
            </w:r>
          </w:p>
        </w:tc>
        <w:tc>
          <w:tcPr>
            <w:tcW w:type="dxa" w:w="367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Report traced allocations explicitly and avoid claiming RSS reduction</w:t>
            </w:r>
          </w:p>
        </w:tc>
        <w:tc>
          <w:tcPr>
            <w:tcW w:type="dxa" w:w="144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Memory result documented accurately</w:t>
            </w:r>
          </w:p>
        </w:tc>
      </w:tr>
      <w:tr>
        <w:tc>
          <w:tcPr>
            <w:tcW w:type="dxa" w:w="208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Library/API warnings</w:t>
            </w:r>
          </w:p>
        </w:tc>
        <w:tc>
          <w:tcPr>
            <w:tcW w:type="dxa" w:w="295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fitz deprecation and unauthenticated HF Hub warnings remained</w:t>
            </w:r>
          </w:p>
        </w:tc>
        <w:tc>
          <w:tcPr>
            <w:tcW w:type="dxa" w:w="367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Record as maintenance items rather than changing scope mid-task</w:t>
            </w:r>
          </w:p>
        </w:tc>
        <w:tc>
          <w:tcPr>
            <w:tcW w:type="dxa" w:w="144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Pipeline still passed</w:t>
            </w:r>
          </w:p>
        </w:tc>
      </w:tr>
    </w:tbl>
    <w:p>
      <w:pPr>
        <w:spacing w:after="0"/>
      </w:pPr>
    </w:p>
    <w:tbl>
      <w:tblPr>
        <w:tblW w:type="auto" w:w="0"/>
        <w:jc w:val="center"/>
        <w:tblLayout w:type="fixed"/>
        <w:tblLook w:firstColumn="1" w:firstRow="1" w:lastColumn="0" w:lastRow="0" w:noHBand="0" w:noVBand="1" w:val="04A0"/>
      </w:tblPr>
      <w:tblGrid>
        <w:gridCol w:w="9648"/>
      </w:tblGrid>
      <w:tr>
        <w:tc>
          <w:tcPr>
            <w:tcW w:type="dxa" w:w="9835"/>
            <w:shd w:fill="F0F4F8"/>
            <w:tcMar>
              <w:top w:w="120" w:type="dxa"/>
              <w:start w:w="160" w:type="dxa"/>
              <w:bottom w:w="120" w:type="dxa"/>
              <w:end w:w="160" w:type="dxa"/>
            </w:tcMar>
            <w:tcBorders>
              <w:top w:val="single" w:sz="8" w:color="1F5A89"/>
              <w:left w:val="single" w:sz="8" w:color="1F5A89"/>
              <w:bottom w:val="single" w:sz="8" w:color="1F5A89"/>
              <w:right w:val="single" w:sz="8" w:color="1F5A89"/>
            </w:tcBorders>
          </w:tcPr>
          <w:p>
            <w:pPr>
              <w:spacing w:after="60"/>
            </w:pPr>
            <w:r>
              <w:rPr>
                <w:b/>
                <w:color w:val="1F5A89"/>
                <w:sz w:val="22"/>
              </w:rPr>
              <w:t>Engineering lesson</w:t>
            </w:r>
          </w:p>
          <w:p>
            <w:pPr>
              <w:spacing w:after="0"/>
            </w:pPr>
            <w:r>
              <w:rPr>
                <w:sz w:val="19"/>
              </w:rPr>
              <w:t>The most reliable optimization was lifecycle-level: expensive objects were reused rather than repeatedly recreated. Reliability work was kept at the text-input boundary so the existing scoring behavior remained easy to compare.</w:t>
            </w:r>
          </w:p>
        </w:tc>
      </w:tr>
    </w:tbl>
    <w:p>
      <w:pPr>
        <w:spacing w:after="0"/>
      </w:pPr>
    </w:p>
    <w:p>
      <w:r>
        <w:br w:type="page"/>
      </w:r>
    </w:p>
    <w:p>
      <w:pPr>
        <w:pStyle w:val="Heading1"/>
      </w:pPr>
      <w:r>
        <w:t>12. Deliverables and Artifacts</w:t>
      </w:r>
    </w:p>
    <w:p>
      <w:pPr>
        <w:spacing w:before="0" w:after="160"/>
        <w:pBdr>
          <w:bottom w:val="single" w:sz="12" w:space="1" w:color="19A79A"/>
        </w:pBdr>
      </w:pPr>
    </w:p>
    <w:tbl>
      <w:tblPr>
        <w:tblW w:type="auto" w:w="0"/>
        <w:jc w:val="center"/>
        <w:tblLayout w:type="fixed"/>
        <w:tblLook w:firstColumn="1" w:firstRow="1" w:lastColumn="0" w:lastRow="0" w:noHBand="0" w:noVBand="1" w:val="04A0"/>
      </w:tblPr>
      <w:tblGrid>
        <w:gridCol w:w="9648"/>
      </w:tblGrid>
      <w:tr>
        <w:tc>
          <w:tcPr>
            <w:tcW w:type="dxa" w:w="9835"/>
            <w:shd w:fill="EAF7F3"/>
            <w:tcMar>
              <w:top w:w="120" w:type="dxa"/>
              <w:start w:w="160" w:type="dxa"/>
              <w:bottom w:w="120" w:type="dxa"/>
              <w:end w:w="160" w:type="dxa"/>
            </w:tcMar>
            <w:tcBorders>
              <w:top w:val="single" w:sz="8" w:color="19A79A"/>
              <w:left w:val="single" w:sz="8" w:color="19A79A"/>
              <w:bottom w:val="single" w:sz="8" w:color="19A79A"/>
              <w:right w:val="single" w:sz="8" w:color="19A79A"/>
            </w:tcBorders>
          </w:tcPr>
          <w:p>
            <w:pPr>
              <w:spacing w:after="60"/>
            </w:pPr>
            <w:r>
              <w:rPr>
                <w:b/>
                <w:color w:val="19A79A"/>
                <w:sz w:val="22"/>
              </w:rPr>
              <w:t>OFFICIAL DAY 18 DELIVERABLES</w:t>
            </w:r>
          </w:p>
          <w:p>
            <w:pPr>
              <w:spacing w:after="0"/>
            </w:pPr>
            <w:r>
              <w:rPr>
                <w:sz w:val="19"/>
              </w:rPr>
              <w:t>1. Optimized ATS engine</w:t>
              <w:br/>
              <w:t>2. Performance report</w:t>
              <w:br/>
              <w:t>3. Stability improvements</w:t>
            </w:r>
          </w:p>
        </w:tc>
      </w:tr>
    </w:tbl>
    <w:p>
      <w:pPr>
        <w:spacing w:after="0"/>
      </w:pP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096"/>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Deliverable / artifact</w:t>
            </w:r>
          </w:p>
        </w:tc>
        <w:tc>
          <w:tcPr>
            <w:tcW w:type="dxa" w:w="1728"/>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Ready state</w:t>
            </w:r>
          </w:p>
        </w:tc>
        <w:tc>
          <w:tcPr>
            <w:tcW w:type="dxa" w:w="4824"/>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Description</w:t>
            </w:r>
          </w:p>
        </w:tc>
      </w:tr>
      <w:tr>
        <w:tc>
          <w:tcPr>
            <w:tcW w:type="dxa" w:w="309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Optimized ATS engine</w:t>
            </w:r>
          </w:p>
        </w:tc>
        <w:tc>
          <w:tcPr>
            <w:tcW w:type="dxa" w:w="172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READY</w:t>
            </w:r>
          </w:p>
        </w:tc>
        <w:tc>
          <w:tcPr>
            <w:tcW w:type="dxa" w:w="482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Reusable ATS components, batch-level JD parsing, resume-quality preprocessing integrated into Day 14 flow</w:t>
            </w:r>
          </w:p>
        </w:tc>
      </w:tr>
      <w:tr>
        <w:tc>
          <w:tcPr>
            <w:tcW w:type="dxa" w:w="309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Performance report</w:t>
            </w:r>
          </w:p>
        </w:tc>
        <w:tc>
          <w:tcPr>
            <w:tcW w:type="dxa" w:w="172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READY</w:t>
            </w:r>
          </w:p>
        </w:tc>
        <w:tc>
          <w:tcPr>
            <w:tcW w:type="dxa" w:w="4824"/>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Three benchmark runs, average metrics, baseline comparison, interpretation and limitations</w:t>
            </w:r>
          </w:p>
        </w:tc>
      </w:tr>
      <w:tr>
        <w:tc>
          <w:tcPr>
            <w:tcW w:type="dxa" w:w="309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Stability improvements</w:t>
            </w:r>
          </w:p>
        </w:tc>
        <w:tc>
          <w:tcPr>
            <w:tcW w:type="dxa" w:w="172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READY</w:t>
            </w:r>
          </w:p>
        </w:tc>
        <w:tc>
          <w:tcPr>
            <w:tcW w:type="dxa" w:w="482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Entity detection, noisy-text normalization, noisy-resume regression and end-to-end regression</w:t>
            </w:r>
          </w:p>
        </w:tc>
      </w:tr>
      <w:tr>
        <w:tc>
          <w:tcPr>
            <w:tcW w:type="dxa" w:w="309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day18_resume_quality.py</w:t>
            </w:r>
          </w:p>
        </w:tc>
        <w:tc>
          <w:tcPr>
            <w:tcW w:type="dxa" w:w="172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READY</w:t>
            </w:r>
          </w:p>
        </w:tc>
        <w:tc>
          <w:tcPr>
            <w:tcW w:type="dxa" w:w="4824"/>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Normalization + candidate entity helper</w:t>
            </w:r>
          </w:p>
        </w:tc>
      </w:tr>
      <w:tr>
        <w:tc>
          <w:tcPr>
            <w:tcW w:type="dxa" w:w="309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day18_baseline_benchmark.py</w:t>
            </w:r>
          </w:p>
        </w:tc>
        <w:tc>
          <w:tcPr>
            <w:tcW w:type="dxa" w:w="172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READY</w:t>
            </w:r>
          </w:p>
        </w:tc>
        <w:tc>
          <w:tcPr>
            <w:tcW w:type="dxa" w:w="482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Benchmark harness used for recorded measurements</w:t>
            </w:r>
          </w:p>
        </w:tc>
      </w:tr>
      <w:tr>
        <w:tc>
          <w:tcPr>
            <w:tcW w:type="dxa" w:w="309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day18_noisy_resume_test.py</w:t>
            </w:r>
          </w:p>
        </w:tc>
        <w:tc>
          <w:tcPr>
            <w:tcW w:type="dxa" w:w="172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READY</w:t>
            </w:r>
          </w:p>
        </w:tc>
        <w:tc>
          <w:tcPr>
            <w:tcW w:type="dxa" w:w="4824"/>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Noisy resume regression harness</w:t>
            </w:r>
          </w:p>
        </w:tc>
      </w:tr>
      <w:tr>
        <w:tc>
          <w:tcPr>
            <w:tcW w:type="dxa" w:w="309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day14_real_ranked_candidates.json</w:t>
            </w:r>
          </w:p>
        </w:tc>
        <w:tc>
          <w:tcPr>
            <w:tcW w:type="dxa" w:w="172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GENERATED</w:t>
            </w:r>
          </w:p>
        </w:tc>
        <w:tc>
          <w:tcPr>
            <w:tcW w:type="dxa" w:w="482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Recruiter-facing JSON output from successful end-to-end execution</w:t>
            </w:r>
          </w:p>
        </w:tc>
      </w:tr>
    </w:tbl>
    <w:p>
      <w:pPr>
        <w:spacing w:after="0"/>
      </w:pPr>
    </w:p>
    <w:tbl>
      <w:tblPr>
        <w:tblW w:type="auto" w:w="0"/>
        <w:jc w:val="center"/>
        <w:tblLayout w:type="fixed"/>
        <w:tblLook w:firstColumn="1" w:firstRow="1" w:lastColumn="0" w:lastRow="0" w:noHBand="0" w:noVBand="1" w:val="04A0"/>
      </w:tblPr>
      <w:tblGrid>
        <w:gridCol w:w="2459"/>
        <w:gridCol w:w="2459"/>
        <w:gridCol w:w="2459"/>
        <w:gridCol w:w="2459"/>
      </w:tblGrid>
      <w:tr>
        <w:tc>
          <w:tcPr>
            <w:tcW w:type="dxa" w:w="2459"/>
            <w:shd w:fill="F4F7FA"/>
            <w:tcMar>
              <w:top w:w="100" w:type="dxa"/>
              <w:start w:w="90" w:type="dxa"/>
              <w:bottom w:w="100" w:type="dxa"/>
              <w:end w:w="90" w:type="dxa"/>
            </w:tcMar>
            <w:tcBorders>
              <w:top w:val="single" w:sz="8" w:color="19A79A"/>
              <w:left w:val="single" w:sz="8" w:color="D3DDE5"/>
              <w:bottom w:val="single" w:sz="8" w:color="19A79A"/>
              <w:right w:val="single" w:sz="8" w:color="D3DDE5"/>
            </w:tcBorders>
          </w:tcPr>
          <w:p>
            <w:pPr>
              <w:jc w:val="center"/>
            </w:pPr>
            <w:r>
              <w:rPr>
                <w:b/>
                <w:color w:val="12345B"/>
                <w:sz w:val="36"/>
              </w:rPr>
              <w:t>3 / 3 ready</w:t>
            </w:r>
          </w:p>
          <w:p>
            <w:pPr>
              <w:spacing w:after="0"/>
              <w:jc w:val="center"/>
            </w:pPr>
            <w:r>
              <w:rPr>
                <w:color w:val="5F6B78"/>
                <w:sz w:val="16"/>
              </w:rPr>
              <w:t>Official deliverables</w:t>
            </w:r>
          </w:p>
        </w:tc>
        <w:tc>
          <w:tcPr>
            <w:tcW w:type="dxa" w:w="2459"/>
            <w:shd w:fill="F4F7FA"/>
            <w:tcMar>
              <w:top w:w="100" w:type="dxa"/>
              <w:start w:w="90" w:type="dxa"/>
              <w:bottom w:w="100" w:type="dxa"/>
              <w:end w:w="90" w:type="dxa"/>
            </w:tcMar>
            <w:tcBorders>
              <w:top w:val="single" w:sz="8" w:color="19A79A"/>
              <w:left w:val="single" w:sz="8" w:color="D3DDE5"/>
              <w:bottom w:val="single" w:sz="8" w:color="19A79A"/>
              <w:right w:val="single" w:sz="8" w:color="D3DDE5"/>
            </w:tcBorders>
          </w:tcPr>
          <w:p>
            <w:pPr>
              <w:jc w:val="center"/>
            </w:pPr>
            <w:r>
              <w:rPr>
                <w:b/>
                <w:color w:val="12345B"/>
                <w:sz w:val="36"/>
              </w:rPr>
              <w:t>PASS</w:t>
            </w:r>
          </w:p>
          <w:p>
            <w:pPr>
              <w:spacing w:after="0"/>
              <w:jc w:val="center"/>
            </w:pPr>
            <w:r>
              <w:rPr>
                <w:color w:val="5F6B78"/>
                <w:sz w:val="16"/>
              </w:rPr>
              <w:t>Syntax checks</w:t>
            </w:r>
          </w:p>
        </w:tc>
        <w:tc>
          <w:tcPr>
            <w:tcW w:type="dxa" w:w="2459"/>
            <w:shd w:fill="F4F7FA"/>
            <w:tcMar>
              <w:top w:w="100" w:type="dxa"/>
              <w:start w:w="90" w:type="dxa"/>
              <w:bottom w:w="100" w:type="dxa"/>
              <w:end w:w="90" w:type="dxa"/>
            </w:tcMar>
            <w:tcBorders>
              <w:top w:val="single" w:sz="8" w:color="19A79A"/>
              <w:left w:val="single" w:sz="8" w:color="D3DDE5"/>
              <w:bottom w:val="single" w:sz="8" w:color="19A79A"/>
              <w:right w:val="single" w:sz="8" w:color="D3DDE5"/>
            </w:tcBorders>
          </w:tcPr>
          <w:p>
            <w:pPr>
              <w:jc w:val="center"/>
            </w:pPr>
            <w:r>
              <w:rPr>
                <w:b/>
                <w:color w:val="12345B"/>
                <w:sz w:val="36"/>
              </w:rPr>
              <w:t>3</w:t>
            </w:r>
          </w:p>
          <w:p>
            <w:pPr>
              <w:spacing w:after="0"/>
              <w:jc w:val="center"/>
            </w:pPr>
            <w:r>
              <w:rPr>
                <w:color w:val="5F6B78"/>
                <w:sz w:val="16"/>
              </w:rPr>
              <w:t>Benchmark runs</w:t>
            </w:r>
          </w:p>
        </w:tc>
        <w:tc>
          <w:tcPr>
            <w:tcW w:type="dxa" w:w="2459"/>
            <w:shd w:fill="F4F7FA"/>
            <w:tcMar>
              <w:top w:w="100" w:type="dxa"/>
              <w:start w:w="90" w:type="dxa"/>
              <w:bottom w:w="100" w:type="dxa"/>
              <w:end w:w="90" w:type="dxa"/>
            </w:tcMar>
            <w:tcBorders>
              <w:top w:val="single" w:sz="8" w:color="19A79A"/>
              <w:left w:val="single" w:sz="8" w:color="D3DDE5"/>
              <w:bottom w:val="single" w:sz="8" w:color="19A79A"/>
              <w:right w:val="single" w:sz="8" w:color="D3DDE5"/>
            </w:tcBorders>
          </w:tcPr>
          <w:p>
            <w:pPr>
              <w:jc w:val="center"/>
            </w:pPr>
            <w:r>
              <w:rPr>
                <w:b/>
                <w:color w:val="12345B"/>
                <w:sz w:val="36"/>
              </w:rPr>
              <w:t>PASS</w:t>
            </w:r>
          </w:p>
          <w:p>
            <w:pPr>
              <w:spacing w:after="0"/>
              <w:jc w:val="center"/>
            </w:pPr>
            <w:r>
              <w:rPr>
                <w:color w:val="5F6B78"/>
                <w:sz w:val="16"/>
              </w:rPr>
              <w:t>Noise regression</w:t>
            </w:r>
          </w:p>
        </w:tc>
      </w:tr>
    </w:tbl>
    <w:p>
      <w:pPr>
        <w:spacing w:after="0"/>
      </w:pPr>
    </w:p>
    <w:p>
      <w:r>
        <w:br w:type="page"/>
      </w:r>
    </w:p>
    <w:p>
      <w:pPr>
        <w:pStyle w:val="Heading1"/>
      </w:pPr>
      <w:r>
        <w:t>13. Verification and Reproducibility</w:t>
      </w:r>
    </w:p>
    <w:p>
      <w:pPr>
        <w:spacing w:before="0" w:after="160"/>
        <w:pBdr>
          <w:bottom w:val="single" w:sz="12" w:space="1" w:color="19A79A"/>
        </w:pBdr>
      </w:pPr>
    </w:p>
    <w:p>
      <w:r>
        <w:t>The work was verified through syntax compilation, real end-to-end execution, a three-run performance benchmark, and a dedicated noisy-resume regression test. The commands below reproduce the core checks from the project root.</w:t>
      </w:r>
    </w:p>
    <w:p>
      <w:pPr>
        <w:spacing w:before="80" w:after="80"/>
      </w:pPr>
      <w:r>
        <w:rPr>
          <w:b/>
          <w:color w:val="1F5A89"/>
          <w:sz w:val="19"/>
        </w:rPr>
        <w:t>Syntax verification</w:t>
      </w:r>
    </w:p>
    <w:tbl>
      <w:tblPr>
        <w:tblW w:type="auto" w:w="0"/>
        <w:jc w:val="center"/>
        <w:tblLayout w:type="fixed"/>
        <w:tblLook w:firstColumn="1" w:firstRow="1" w:lastColumn="0" w:lastRow="0" w:noHBand="0" w:noVBand="1" w:val="04A0"/>
      </w:tblPr>
      <w:tblGrid>
        <w:gridCol w:w="9835"/>
      </w:tblGrid>
      <w:tr>
        <w:tc>
          <w:tcPr>
            <w:tcW w:type="dxa" w:w="9835"/>
            <w:shd w:fill="F3F6F8"/>
            <w:tcMar>
              <w:top w:w="90" w:type="dxa"/>
              <w:start w:w="120" w:type="dxa"/>
              <w:bottom w:w="90" w:type="dxa"/>
              <w:end w:w="120" w:type="dxa"/>
            </w:tcMar>
            <w:tcBorders>
              <w:top w:val="single" w:sz="5" w:color="C9D4DE"/>
              <w:left w:val="single" w:sz="5" w:color="C9D4DE"/>
              <w:bottom w:val="single" w:sz="5" w:color="C9D4DE"/>
              <w:right w:val="single" w:sz="5" w:color="C9D4DE"/>
            </w:tcBorders>
          </w:tcPr>
          <w:p>
            <w:pPr>
              <w:pStyle w:val="CodeBlock"/>
            </w:pPr>
            <w:r>
              <w:t>python -m py_compile scoring\day18_resume_quality.py</w:t>
            </w:r>
            <w:r>
              <w:br/>
            </w:r>
            <w:r>
              <w:t>python -m py_compile scoring\day14_end_to_end.py</w:t>
            </w:r>
          </w:p>
        </w:tc>
      </w:tr>
    </w:tbl>
    <w:p>
      <w:pPr>
        <w:spacing w:after="0"/>
      </w:pPr>
    </w:p>
    <w:p>
      <w:pPr>
        <w:spacing w:before="80" w:after="80"/>
      </w:pPr>
      <w:r>
        <w:rPr>
          <w:b/>
          <w:color w:val="1F5A89"/>
          <w:sz w:val="19"/>
        </w:rPr>
        <w:t>Performance benchmark</w:t>
      </w:r>
    </w:p>
    <w:tbl>
      <w:tblPr>
        <w:tblW w:type="auto" w:w="0"/>
        <w:jc w:val="center"/>
        <w:tblLayout w:type="fixed"/>
        <w:tblLook w:firstColumn="1" w:firstRow="1" w:lastColumn="0" w:lastRow="0" w:noHBand="0" w:noVBand="1" w:val="04A0"/>
      </w:tblPr>
      <w:tblGrid>
        <w:gridCol w:w="9835"/>
      </w:tblGrid>
      <w:tr>
        <w:tc>
          <w:tcPr>
            <w:tcW w:type="dxa" w:w="9835"/>
            <w:shd w:fill="F3F6F8"/>
            <w:tcMar>
              <w:top w:w="90" w:type="dxa"/>
              <w:start w:w="120" w:type="dxa"/>
              <w:bottom w:w="90" w:type="dxa"/>
              <w:end w:w="120" w:type="dxa"/>
            </w:tcMar>
            <w:tcBorders>
              <w:top w:val="single" w:sz="5" w:color="C9D4DE"/>
              <w:left w:val="single" w:sz="5" w:color="C9D4DE"/>
              <w:bottom w:val="single" w:sz="5" w:color="C9D4DE"/>
              <w:right w:val="single" w:sz="5" w:color="C9D4DE"/>
            </w:tcBorders>
          </w:tcPr>
          <w:p>
            <w:pPr>
              <w:pStyle w:val="CodeBlock"/>
            </w:pPr>
            <w:r>
              <w:t>python day18\day18_baseline_benchmark.py</w:t>
            </w:r>
          </w:p>
        </w:tc>
      </w:tr>
    </w:tbl>
    <w:p>
      <w:pPr>
        <w:spacing w:after="0"/>
      </w:pPr>
    </w:p>
    <w:p>
      <w:pPr>
        <w:spacing w:before="80" w:after="80"/>
      </w:pPr>
      <w:r>
        <w:rPr>
          <w:b/>
          <w:color w:val="1F5A89"/>
          <w:sz w:val="19"/>
        </w:rPr>
        <w:t>Noisy-resume stability regression</w:t>
      </w:r>
    </w:p>
    <w:tbl>
      <w:tblPr>
        <w:tblW w:type="auto" w:w="0"/>
        <w:jc w:val="center"/>
        <w:tblLayout w:type="fixed"/>
        <w:tblLook w:firstColumn="1" w:firstRow="1" w:lastColumn="0" w:lastRow="0" w:noHBand="0" w:noVBand="1" w:val="04A0"/>
      </w:tblPr>
      <w:tblGrid>
        <w:gridCol w:w="9835"/>
      </w:tblGrid>
      <w:tr>
        <w:tc>
          <w:tcPr>
            <w:tcW w:type="dxa" w:w="9835"/>
            <w:shd w:fill="F3F6F8"/>
            <w:tcMar>
              <w:top w:w="90" w:type="dxa"/>
              <w:start w:w="120" w:type="dxa"/>
              <w:bottom w:w="90" w:type="dxa"/>
              <w:end w:w="120" w:type="dxa"/>
            </w:tcMar>
            <w:tcBorders>
              <w:top w:val="single" w:sz="5" w:color="C9D4DE"/>
              <w:left w:val="single" w:sz="5" w:color="C9D4DE"/>
              <w:bottom w:val="single" w:sz="5" w:color="C9D4DE"/>
              <w:right w:val="single" w:sz="5" w:color="C9D4DE"/>
            </w:tcBorders>
          </w:tcPr>
          <w:p>
            <w:pPr>
              <w:pStyle w:val="CodeBlock"/>
            </w:pPr>
            <w:r>
              <w:t>python day18\day18_noisy_resume_test.py</w:t>
            </w:r>
          </w:p>
        </w:tc>
      </w:tr>
    </w:tbl>
    <w:p>
      <w:pPr>
        <w:spacing w:after="0"/>
      </w:pPr>
    </w:p>
    <w:p>
      <w:pPr>
        <w:spacing w:before="80" w:after="80"/>
      </w:pPr>
      <w:r>
        <w:rPr>
          <w:b/>
          <w:color w:val="1F5A89"/>
          <w:sz w:val="19"/>
        </w:rPr>
        <w:t>End-to-end ATS regression</w:t>
      </w:r>
    </w:p>
    <w:tbl>
      <w:tblPr>
        <w:tblW w:type="auto" w:w="0"/>
        <w:jc w:val="center"/>
        <w:tblLayout w:type="fixed"/>
        <w:tblLook w:firstColumn="1" w:firstRow="1" w:lastColumn="0" w:lastRow="0" w:noHBand="0" w:noVBand="1" w:val="04A0"/>
      </w:tblPr>
      <w:tblGrid>
        <w:gridCol w:w="9835"/>
      </w:tblGrid>
      <w:tr>
        <w:tc>
          <w:tcPr>
            <w:tcW w:type="dxa" w:w="9835"/>
            <w:shd w:fill="F3F6F8"/>
            <w:tcMar>
              <w:top w:w="90" w:type="dxa"/>
              <w:start w:w="120" w:type="dxa"/>
              <w:bottom w:w="90" w:type="dxa"/>
              <w:end w:w="120" w:type="dxa"/>
            </w:tcMar>
            <w:tcBorders>
              <w:top w:val="single" w:sz="5" w:color="C9D4DE"/>
              <w:left w:val="single" w:sz="5" w:color="C9D4DE"/>
              <w:bottom w:val="single" w:sz="5" w:color="C9D4DE"/>
              <w:right w:val="single" w:sz="5" w:color="C9D4DE"/>
            </w:tcBorders>
          </w:tcPr>
          <w:p>
            <w:pPr>
              <w:pStyle w:val="CodeBlock"/>
            </w:pPr>
            <w:r>
              <w:t>python -m scoring.day14_end_to_end ^</w:t>
            </w:r>
            <w:r>
              <w:br/>
            </w:r>
            <w:r>
              <w:t xml:space="preserve">    data\day12_benchmarks\ai_ml_engineer.txt ^</w:t>
            </w:r>
            <w:r>
              <w:br/>
            </w:r>
            <w:r>
              <w:t xml:space="preserve">    data\resumes\ai-developer-resume.docx ^</w:t>
            </w:r>
            <w:r>
              <w:br/>
            </w:r>
            <w:r>
              <w:t xml:space="preserve">    data\resumes\data-scientist-resume.pdf ^</w:t>
            </w:r>
            <w:r>
              <w:br/>
            </w:r>
            <w:r>
              <w:t xml:space="preserve">    data\resumes\finance-resume.docx</w:t>
            </w:r>
          </w:p>
        </w:tc>
      </w:tr>
    </w:tbl>
    <w:p>
      <w:pPr>
        <w:spacing w:after="0"/>
      </w:pP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880"/>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Verification dimension</w:t>
            </w:r>
          </w:p>
        </w:tc>
        <w:tc>
          <w:tcPr>
            <w:tcW w:type="dxa" w:w="5328"/>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Recorded evidence</w:t>
            </w:r>
          </w:p>
        </w:tc>
        <w:tc>
          <w:tcPr>
            <w:tcW w:type="dxa" w:w="1296"/>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Status</w:t>
            </w:r>
          </w:p>
        </w:tc>
      </w:tr>
      <w:tr>
        <w:tc>
          <w:tcPr>
            <w:tcW w:type="dxa" w:w="288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Compilation</w:t>
            </w:r>
          </w:p>
        </w:tc>
        <w:tc>
          <w:tcPr>
            <w:tcW w:type="dxa" w:w="532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Both modified Python modules compile without output/error</w:t>
            </w:r>
          </w:p>
        </w:tc>
        <w:tc>
          <w:tcPr>
            <w:tcW w:type="dxa" w:w="129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PASS</w:t>
            </w:r>
          </w:p>
        </w:tc>
      </w:tr>
      <w:tr>
        <w:tc>
          <w:tcPr>
            <w:tcW w:type="dxa" w:w="288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Real batch scoring</w:t>
            </w:r>
          </w:p>
        </w:tc>
        <w:tc>
          <w:tcPr>
            <w:tcW w:type="dxa" w:w="532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Three representative resumes completed</w:t>
            </w:r>
          </w:p>
        </w:tc>
        <w:tc>
          <w:tcPr>
            <w:tcW w:type="dxa" w:w="129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PASS</w:t>
            </w:r>
          </w:p>
        </w:tc>
      </w:tr>
      <w:tr>
        <w:tc>
          <w:tcPr>
            <w:tcW w:type="dxa" w:w="288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Performance</w:t>
            </w:r>
          </w:p>
        </w:tc>
        <w:tc>
          <w:tcPr>
            <w:tcW w:type="dxa" w:w="532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Three benchmark runs recorded</w:t>
            </w:r>
          </w:p>
        </w:tc>
        <w:tc>
          <w:tcPr>
            <w:tcW w:type="dxa" w:w="129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PASS</w:t>
            </w:r>
          </w:p>
        </w:tc>
      </w:tr>
      <w:tr>
        <w:tc>
          <w:tcPr>
            <w:tcW w:type="dxa" w:w="288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Memory measurement</w:t>
            </w:r>
          </w:p>
        </w:tc>
        <w:tc>
          <w:tcPr>
            <w:tcW w:type="dxa" w:w="532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Peak traced allocation 95.71 MB</w:t>
            </w:r>
          </w:p>
        </w:tc>
        <w:tc>
          <w:tcPr>
            <w:tcW w:type="dxa" w:w="129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PASS</w:t>
            </w:r>
          </w:p>
        </w:tc>
      </w:tr>
      <w:tr>
        <w:tc>
          <w:tcPr>
            <w:tcW w:type="dxa" w:w="2880"/>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Noise robustness</w:t>
            </w:r>
          </w:p>
        </w:tc>
        <w:tc>
          <w:tcPr>
            <w:tcW w:type="dxa" w:w="532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Clean/noisy candidate and score identical</w:t>
            </w:r>
          </w:p>
        </w:tc>
        <w:tc>
          <w:tcPr>
            <w:tcW w:type="dxa" w:w="1296"/>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PASS</w:t>
            </w:r>
          </w:p>
        </w:tc>
      </w:tr>
      <w:tr>
        <w:tc>
          <w:tcPr>
            <w:tcW w:type="dxa" w:w="2880"/>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Output artifact</w:t>
            </w:r>
          </w:p>
        </w:tc>
        <w:tc>
          <w:tcPr>
            <w:tcW w:type="dxa" w:w="532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outputs/day14_real_ranked_candidates.json generated</w:t>
            </w:r>
          </w:p>
        </w:tc>
        <w:tc>
          <w:tcPr>
            <w:tcW w:type="dxa" w:w="1296"/>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PASS</w:t>
            </w:r>
          </w:p>
        </w:tc>
      </w:tr>
    </w:tbl>
    <w:p>
      <w:pPr>
        <w:spacing w:after="0"/>
      </w:pPr>
    </w:p>
    <w:p>
      <w:r>
        <w:br w:type="page"/>
      </w:r>
    </w:p>
    <w:p>
      <w:pPr>
        <w:pStyle w:val="Heading1"/>
      </w:pPr>
      <w:r>
        <w:t>14. Next Steps</w:t>
      </w:r>
    </w:p>
    <w:p>
      <w:pPr>
        <w:spacing w:before="0" w:after="160"/>
        <w:pBdr>
          <w:bottom w:val="single" w:sz="12" w:space="1" w:color="19A79A"/>
        </w:pBdr>
      </w:pP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744"/>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Next step</w:t>
            </w:r>
          </w:p>
        </w:tc>
        <w:tc>
          <w:tcPr>
            <w:tcW w:type="dxa" w:w="4752"/>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Reason</w:t>
            </w:r>
          </w:p>
        </w:tc>
        <w:tc>
          <w:tcPr>
            <w:tcW w:type="dxa" w:w="1008"/>
            <w:shd w:fill="12345B"/>
            <w:tcMar>
              <w:top w:w="75" w:type="dxa"/>
              <w:start w:w="85" w:type="dxa"/>
              <w:bottom w:w="75" w:type="dxa"/>
              <w:end w:w="85" w:type="dxa"/>
            </w:tcMar>
            <w:tcBorders>
              <w:top w:val="single" w:sz="6" w:color="12345B"/>
              <w:left w:val="single" w:sz="4" w:color="B9C5D0"/>
              <w:bottom w:val="single" w:sz="6" w:color="12345B"/>
              <w:right w:val="single" w:sz="4" w:color="B9C5D0"/>
            </w:tcBorders>
            <w:vAlign w:val="center"/>
          </w:tcPr>
          <w:p>
            <w:pPr>
              <w:jc w:val="center"/>
            </w:pPr>
            <w:r>
              <w:rPr>
                <w:b/>
                <w:color w:val="FFFFFF"/>
                <w:sz w:val="16"/>
              </w:rPr>
              <w:t>Priority</w:t>
            </w:r>
          </w:p>
        </w:tc>
      </w:tr>
      <w:tr>
        <w:tc>
          <w:tcPr>
            <w:tcW w:type="dxa" w:w="374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Replace deprecated fitz usage with current PyMuPDF import path</w:t>
            </w:r>
          </w:p>
        </w:tc>
        <w:tc>
          <w:tcPr>
            <w:tcW w:type="dxa" w:w="475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Remove future API compatibility warning</w:t>
            </w:r>
          </w:p>
        </w:tc>
        <w:tc>
          <w:tcPr>
            <w:tcW w:type="dxa" w:w="100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High</w:t>
            </w:r>
          </w:p>
        </w:tc>
      </w:tr>
      <w:tr>
        <w:tc>
          <w:tcPr>
            <w:tcW w:type="dxa" w:w="3744"/>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Add operating-system RSS measurement to benchmark</w:t>
            </w:r>
          </w:p>
        </w:tc>
        <w:tc>
          <w:tcPr>
            <w:tcW w:type="dxa" w:w="475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Complement tracemalloc with process-level memory visibility</w:t>
            </w:r>
          </w:p>
        </w:tc>
        <w:tc>
          <w:tcPr>
            <w:tcW w:type="dxa" w:w="100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High</w:t>
            </w:r>
          </w:p>
        </w:tc>
      </w:tr>
      <w:tr>
        <w:tc>
          <w:tcPr>
            <w:tcW w:type="dxa" w:w="374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Expand benchmark dataset beyond three resumes</w:t>
            </w:r>
          </w:p>
        </w:tc>
        <w:tc>
          <w:tcPr>
            <w:tcW w:type="dxa" w:w="475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Improve statistical confidence and reduce sensitivity to individual runs</w:t>
            </w:r>
          </w:p>
        </w:tc>
        <w:tc>
          <w:tcPr>
            <w:tcW w:type="dxa" w:w="100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High</w:t>
            </w:r>
          </w:p>
        </w:tc>
      </w:tr>
      <w:tr>
        <w:tc>
          <w:tcPr>
            <w:tcW w:type="dxa" w:w="3744"/>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Harden semantic-score boundary handling</w:t>
            </w:r>
          </w:p>
        </w:tc>
        <w:tc>
          <w:tcPr>
            <w:tcW w:type="dxa" w:w="475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Prevent future contract issues when similarity outputs are outside scorer expectations</w:t>
            </w:r>
          </w:p>
        </w:tc>
        <w:tc>
          <w:tcPr>
            <w:tcW w:type="dxa" w:w="100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High</w:t>
            </w:r>
          </w:p>
        </w:tc>
      </w:tr>
      <w:tr>
        <w:tc>
          <w:tcPr>
            <w:tcW w:type="dxa" w:w="3744"/>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Add more noisy-resume fixtures</w:t>
            </w:r>
          </w:p>
        </w:tc>
        <w:tc>
          <w:tcPr>
            <w:tcW w:type="dxa" w:w="4752"/>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Cover OCR-like spacing, column flattening, malformed headers and repeated blocks</w:t>
            </w:r>
          </w:p>
        </w:tc>
        <w:tc>
          <w:tcPr>
            <w:tcW w:type="dxa" w:w="1008"/>
            <w:tcMar>
              <w:top w:w="70" w:type="dxa"/>
              <w:start w:w="85" w:type="dxa"/>
              <w:bottom w:w="70" w:type="dxa"/>
              <w:end w:w="85" w:type="dxa"/>
            </w:tcMar>
            <w:shd w:fill="FFFFFF"/>
            <w:tcBorders>
              <w:top w:val="single" w:sz="4" w:color="D5DEE6"/>
              <w:left w:val="single" w:sz="4" w:color="D5DEE6"/>
              <w:bottom w:val="single" w:sz="4" w:color="D5DEE6"/>
              <w:right w:val="single" w:sz="4" w:color="D5DEE6"/>
            </w:tcBorders>
          </w:tcPr>
          <w:p>
            <w:pPr>
              <w:spacing w:after="0"/>
            </w:pPr>
            <w:r>
              <w:rPr>
                <w:sz w:val="16"/>
              </w:rPr>
              <w:t>Medium</w:t>
            </w:r>
          </w:p>
        </w:tc>
      </w:tr>
      <w:tr>
        <w:tc>
          <w:tcPr>
            <w:tcW w:type="dxa" w:w="3744"/>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Add performance trend tracking</w:t>
            </w:r>
          </w:p>
        </w:tc>
        <w:tc>
          <w:tcPr>
            <w:tcW w:type="dxa" w:w="4752"/>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Make future Day 19+ changes comparable against the Day 18 baseline</w:t>
            </w:r>
          </w:p>
        </w:tc>
        <w:tc>
          <w:tcPr>
            <w:tcW w:type="dxa" w:w="1008"/>
            <w:tcMar>
              <w:top w:w="70" w:type="dxa"/>
              <w:start w:w="85" w:type="dxa"/>
              <w:bottom w:w="70" w:type="dxa"/>
              <w:end w:w="85" w:type="dxa"/>
            </w:tcMar>
            <w:shd w:fill="F4F7FA"/>
            <w:tcBorders>
              <w:top w:val="single" w:sz="4" w:color="D5DEE6"/>
              <w:left w:val="single" w:sz="4" w:color="D5DEE6"/>
              <w:bottom w:val="single" w:sz="4" w:color="D5DEE6"/>
              <w:right w:val="single" w:sz="4" w:color="D5DEE6"/>
            </w:tcBorders>
          </w:tcPr>
          <w:p>
            <w:pPr>
              <w:spacing w:after="0"/>
            </w:pPr>
            <w:r>
              <w:rPr>
                <w:sz w:val="16"/>
              </w:rPr>
              <w:t>Medium</w:t>
            </w:r>
          </w:p>
        </w:tc>
      </w:tr>
    </w:tbl>
    <w:p>
      <w:pPr>
        <w:spacing w:after="0"/>
      </w:pPr>
    </w:p>
    <w:tbl>
      <w:tblPr>
        <w:tblW w:type="auto" w:w="0"/>
        <w:jc w:val="center"/>
        <w:tblLayout w:type="fixed"/>
        <w:tblLook w:firstColumn="1" w:firstRow="1" w:lastColumn="0" w:lastRow="0" w:noHBand="0" w:noVBand="1" w:val="04A0"/>
      </w:tblPr>
      <w:tblGrid>
        <w:gridCol w:w="9648"/>
      </w:tblGrid>
      <w:tr>
        <w:tc>
          <w:tcPr>
            <w:tcW w:type="dxa" w:w="9835"/>
            <w:shd w:fill="F0F4F8"/>
            <w:tcMar>
              <w:top w:w="120" w:type="dxa"/>
              <w:start w:w="160" w:type="dxa"/>
              <w:bottom w:w="120" w:type="dxa"/>
              <w:end w:w="160" w:type="dxa"/>
            </w:tcMar>
            <w:tcBorders>
              <w:top w:val="single" w:sz="8" w:color="1F5A89"/>
              <w:left w:val="single" w:sz="8" w:color="1F5A89"/>
              <w:bottom w:val="single" w:sz="8" w:color="1F5A89"/>
              <w:right w:val="single" w:sz="8" w:color="1F5A89"/>
            </w:tcBorders>
          </w:tcPr>
          <w:p>
            <w:pPr>
              <w:spacing w:after="60"/>
            </w:pPr>
            <w:r>
              <w:rPr>
                <w:b/>
                <w:color w:val="1F5A89"/>
                <w:sz w:val="22"/>
              </w:rPr>
              <w:t>Forward plan</w:t>
            </w:r>
          </w:p>
          <w:p>
            <w:pPr>
              <w:spacing w:after="0"/>
            </w:pPr>
            <w:r>
              <w:rPr>
                <w:sz w:val="19"/>
              </w:rPr>
              <w:t>Day 18 establishes a measured performance and reliability reference point. Future optimization should build on these measurements while keeping scoring behavior explicitly versioned and regression-tested.</w:t>
            </w:r>
          </w:p>
        </w:tc>
      </w:tr>
    </w:tbl>
    <w:p>
      <w:pPr>
        <w:spacing w:after="0"/>
      </w:pPr>
    </w:p>
    <w:p>
      <w:r>
        <w:br w:type="page"/>
      </w:r>
    </w:p>
    <w:p>
      <w:pPr>
        <w:pStyle w:val="Heading1"/>
      </w:pPr>
      <w:r>
        <w:t>15. Conclusion</w:t>
      </w:r>
    </w:p>
    <w:p>
      <w:pPr>
        <w:spacing w:before="0" w:after="160"/>
        <w:pBdr>
          <w:bottom w:val="single" w:sz="12" w:space="1" w:color="19A79A"/>
        </w:pBdr>
      </w:pPr>
    </w:p>
    <w:p>
      <w:r>
        <w:t>Day 18 completed the requested Optimization &amp; Performance Tuning phase for the Zecpath AI System. The implementation improved the lifecycle of reusable ATS components, introduced a dedicated resume-quality/entity layer, reduced repeated Job Description parsing, and added dedicated performance and noisy-input validation.</w:t>
      </w:r>
    </w:p>
    <w:p>
      <w:r>
        <w:t>The final three-run benchmark recorded an average full ATS pipeline time of 19.8234 seconds versus the original recorded baseline of 28.2071 seconds, representing approximately 29.7% faster processing. Semantic matching improved by approximately 67.5%, while peak traced Python allocation remained stable at 95.71 MB.</w:t>
      </w:r>
    </w:p>
    <w:p>
      <w:r>
        <w:t>The most important robustness result came from the noisy-resume regression: the clean and intentionally noisy versions produced the same candidate identity and the exact same ATS score of 0.5797, with a score difference of 0.0000 and a final PASS status.</w:t>
      </w:r>
    </w:p>
    <w:tbl>
      <w:tblPr>
        <w:tblW w:type="auto" w:w="0"/>
        <w:jc w:val="center"/>
        <w:tblLayout w:type="fixed"/>
        <w:tblLook w:firstColumn="1" w:firstRow="1" w:lastColumn="0" w:lastRow="0" w:noHBand="0" w:noVBand="1" w:val="04A0"/>
      </w:tblPr>
      <w:tblGrid>
        <w:gridCol w:w="9648"/>
      </w:tblGrid>
      <w:tr>
        <w:tc>
          <w:tcPr>
            <w:tcW w:type="dxa" w:w="9835"/>
            <w:shd w:fill="EAF7F3"/>
            <w:tcMar>
              <w:top w:w="120" w:type="dxa"/>
              <w:start w:w="160" w:type="dxa"/>
              <w:bottom w:w="120" w:type="dxa"/>
              <w:end w:w="160" w:type="dxa"/>
            </w:tcMar>
            <w:tcBorders>
              <w:top w:val="single" w:sz="8" w:color="19A79A"/>
              <w:left w:val="single" w:sz="8" w:color="19A79A"/>
              <w:bottom w:val="single" w:sz="8" w:color="19A79A"/>
              <w:right w:val="single" w:sz="8" w:color="19A79A"/>
            </w:tcBorders>
          </w:tcPr>
          <w:p>
            <w:pPr>
              <w:spacing w:after="60"/>
            </w:pPr>
            <w:r>
              <w:rPr>
                <w:b/>
                <w:color w:val="19A79A"/>
                <w:sz w:val="22"/>
              </w:rPr>
              <w:t>Day 18 completion status</w:t>
            </w:r>
          </w:p>
          <w:p>
            <w:pPr>
              <w:spacing w:after="0"/>
            </w:pPr>
            <w:r>
              <w:rPr>
                <w:sz w:val="19"/>
              </w:rPr>
              <w:t>COMPLETE - Optimized ATS engine, performance evidence, stability improvements, noisy-resume regression, end-to-end regression, and supporting artifacts are ready for internship documentation.</w:t>
            </w:r>
          </w:p>
        </w:tc>
      </w:tr>
    </w:tbl>
    <w:p>
      <w:pPr>
        <w:spacing w:after="0"/>
      </w:pPr>
    </w:p>
    <w:p>
      <w:pPr>
        <w:spacing w:before="200" w:after="0"/>
      </w:pPr>
      <w:r>
        <w:rPr>
          <w:b/>
          <w:color w:val="5F6B78"/>
          <w:sz w:val="16"/>
        </w:rPr>
        <w:t xml:space="preserve">Source note: </w:t>
      </w:r>
      <w:r>
        <w:rPr>
          <w:color w:val="5F6B78"/>
          <w:sz w:val="16"/>
        </w:rPr>
        <w:t>Day 18 task specification, recorded benchmark outputs, project implementation notes, and user-provided development screenshot.</w:t>
      </w:r>
    </w:p>
    <w:sectPr w:rsidR="00FC693F" w:rsidRPr="0006063C" w:rsidSect="00034616">
      <w:pgSz w:w="11909" w:h="16834"/>
      <w:pgMar w:top="1037" w:right="1037" w:bottom="1037" w:left="1037" w:header="720" w:footer="720" w:gutter="0"/>
      <w:cols w:space="720"/>
      <w:docGrid w:linePitch="360"/>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8"/>
        <w:sz w:val="16"/>
      </w:rPr>
      <w:t xml:space="preserve">Day 18 Technical Internship Report  |  Page </w:t>
    </w:r>
    <w:r>
      <w:rPr>
        <w:color w:val="5F6B7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2" w:color="19A79A"/>
      </w:pBdr>
    </w:pPr>
    <w:r>
      <w:rPr>
        <w:rFonts w:ascii="Aptos" w:hAnsi="Aptos"/>
        <w:b/>
        <w:color w:val="5F6B78"/>
        <w:sz w:val="16"/>
      </w:rPr>
      <w:t>ZECSER TECHNOLOGY  |  ZECPATH AI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D26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b/>
      <w:bCs/>
      <w:color w:val="12345B"/>
      <w:sz w:val="4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1F5A89"/>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ptos Display" w:hAnsi="Aptos Display"/>
      <w:b/>
      <w:bCs/>
      <w:color w:val="19A79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60"/>
      <w:contextualSpacing/>
    </w:pPr>
    <w:rPr>
      <w:rFonts w:asciiTheme="majorHAnsi" w:eastAsiaTheme="majorEastAsia" w:hAnsiTheme="majorHAnsi" w:cstheme="majorBidi" w:ascii="Aptos Display" w:hAnsi="Aptos Display"/>
      <w:b/>
      <w:color w:val="12345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28" w:lineRule="auto"/>
    </w:pPr>
    <w:rPr>
      <w:rFonts w:ascii="Consolas" w:hAnsi="Consolas"/>
      <w:color w:val="2632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Zecpath AI System - Day 18 Technical Internship Report</dc:title>
  <dc:subject>Optimization &amp; Performance Tuning</dc:subject>
  <dc:creator>Sanjay Manoj K</dc:creator>
  <cp:keywords>Zecpath, ATS, Day 18, optimization, performance, internship</cp:keywords>
  <dc:description>generated by python-docx</dc:description>
  <cp:lastModifiedBy/>
  <cp:revision>1</cp:revision>
  <dcterms:created xsi:type="dcterms:W3CDTF">2013-12-23T23:15:00Z</dcterms:created>
  <dcterms:modified xsi:type="dcterms:W3CDTF">2013-12-23T23:15:00Z</dcterms:modified>
  <cp:category/>
</cp:coreProperties>
</file>