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b/>
          <w:color w:val="1B2A3D"/>
          <w:sz w:val="60"/>
        </w:rPr>
        <w:t>Work Record</w:t>
      </w:r>
    </w:p>
    <w:p>
      <w:pPr>
        <w:spacing w:after="600"/>
      </w:pPr>
      <w:r>
        <w:rPr>
          <w:color w:val="5A5A5A"/>
          <w:sz w:val="30"/>
        </w:rPr>
        <w:t>Digital Energy Grid / India Energy Stack — Exploration and Prototyping</w:t>
      </w:r>
    </w:p>
    <w:p>
      <w:pPr>
        <w:spacing w:after="80"/>
      </w:pPr>
      <w:r>
        <w:rPr>
          <w:color w:val="222222"/>
          <w:sz w:val="22"/>
        </w:rPr>
        <w:t>Period covered: 14 August – 8 September 2026 (Weeks 1–4)</w:t>
      </w:r>
    </w:p>
    <w:p>
      <w:pPr>
        <w:spacing w:after="800"/>
      </w:pPr>
      <w:r>
        <w:rPr>
          <w:i/>
          <w:color w:val="5A5A5A"/>
          <w:sz w:val="21"/>
        </w:rPr>
        <w:t>Prepared as a chronological record of work completed, for team review.</w:t>
      </w:r>
    </w:p>
    <w:p>
      <w:pPr>
        <w:spacing w:after="400" w:line="288" w:lineRule="auto"/>
      </w:pPr>
      <w:r>
        <w:rPr>
          <w:color w:val="222222"/>
          <w:sz w:val="22"/>
        </w:rPr>
        <w:t>This record covers four weeks of self-directed research and prototyping on India's Digital Energy Grid / India Energy Stack initiative, from the first read of the founding proposal through three separate, concrete explorations: tariff data as verifiable signed information, vehicle-to-grid coordination, and peer-to-peer energy trading between two different utility customers. Each week below describes what was studied, what was built, what was tested, and what was found — in plain terms, without implementation-level detail.</w:t>
      </w:r>
    </w:p>
    <w:p>
      <w:r>
        <w:br w:type="page"/>
      </w:r>
    </w:p>
    <w:p>
      <w:pPr>
        <w:keepNext/>
        <w:spacing w:before="440" w:after="80"/>
        <w:pBdr>
          <w:bottom w:val="single" w:sz="6" w:space="4" w:color="1B2A3D"/>
        </w:pBdr>
      </w:pPr>
      <w:r>
        <w:rPr>
          <w:b/>
          <w:color w:val="1B2A3D"/>
          <w:sz w:val="34"/>
        </w:rPr>
        <w:t>Week 1 — 14 to 20 August</w:t>
      </w:r>
    </w:p>
    <w:p>
      <w:pPr>
        <w:spacing w:before="80" w:after="200"/>
      </w:pPr>
      <w:r>
        <w:rPr>
          <w:i/>
          <w:color w:val="5A5A5A"/>
          <w:sz w:val="21"/>
        </w:rPr>
        <w:t>Understanding the problem, and a first working prototype</w:t>
      </w:r>
    </w:p>
    <w:p>
      <w:pPr>
        <w:spacing w:after="160" w:line="288" w:lineRule="auto"/>
      </w:pPr>
      <w:r>
        <w:rPr>
          <w:color w:val="222222"/>
          <w:sz w:val="22"/>
        </w:rPr>
        <w:t>Began by reading the full founding proposal for the Digital Energy Grid (DEG) concept end to end, together with its official supporting technical documentation, to understand what problem it is actually trying to solve. The core issue: electricity grids are shifting from a one-way, centrally controlled system to a two-way network of millions of small producers and consumers — rooftop solar, home batteries, electric vehicles — and today's utility software, subsidy systems, and regulatory processes were never built to coordinate that shift.</w:t>
      </w:r>
    </w:p>
    <w:p>
      <w:pPr>
        <w:spacing w:after="160" w:line="288" w:lineRule="auto"/>
      </w:pPr>
      <w:r>
        <w:rPr>
          <w:color w:val="222222"/>
          <w:sz w:val="22"/>
        </w:rPr>
        <w:t>Verified the scale of this with real published figures rather than taking the proposal's word for it: India's rooftop solar capacity is projected to grow 429% by 2035; blackouts and outages cost roughly $100 billion globally every year; over 748 million people worldwide still have no electricity access at all; and India is in the middle of deploying 250 million smart meters under its national metering programme. Also read a real, current Indian government consultation document — a draft national electricity data-sharing framework from the Ministry of Power — and found it proposes essentially the same standardised, tiered data-sharing approach as the DEG concept, independently.</w:t>
      </w:r>
    </w:p>
    <w:p>
      <w:pPr>
        <w:spacing w:after="160" w:line="288" w:lineRule="auto"/>
      </w:pPr>
      <w:r>
        <w:rPr>
          <w:color w:val="222222"/>
          <w:sz w:val="22"/>
        </w:rPr>
        <w:t>Confirmed that DEG itself is not a company or a piece of software, but a proposed open protocol — conceived by the same non-profit organisation behind the original architecture of Aadhaar, UPI, and ONDC, together with the International Energy Agency — intended to give the power sector a shared digital language the way UPI gave Indian banks one for payments.</w:t>
      </w:r>
    </w:p>
    <w:p>
      <w:pPr>
        <w:spacing w:after="160" w:line="288" w:lineRule="auto"/>
      </w:pPr>
      <w:r>
        <w:rPr>
          <w:color w:val="222222"/>
          <w:sz w:val="22"/>
        </w:rPr>
        <w:t>Researched what India's government is concretely doing with this idea: a national programme run by the Ministry of Power, being built as official digital public infrastructure — the same category as Aadhaar and UPI. Found this is not theoretical: four real electricity distribution companies had already built working integrations and demonstrated live use cases in a government-run 30-day challenge, and a real inter-state peer-to-peer solar trade (a farmer near Meerut selling surplus power to a shop in Delhi) had already been demonstrated publicly at a national summit.</w:t>
      </w:r>
    </w:p>
    <w:p>
      <w:pPr>
        <w:spacing w:after="160" w:line="288" w:lineRule="auto"/>
      </w:pPr>
      <w:r>
        <w:rPr>
          <w:color w:val="222222"/>
          <w:sz w:val="22"/>
        </w:rPr>
        <w:t>Studied the programme's own published list of open use cases and found that five of eight had already been claimed or piloted by others, leaving one genuinely open, unclaimed opportunity worth pursuing hands-on: publishing electricity tariffs as verifiable, machine-readable data instead of the legal PDFs that every billing system currently has to re-interpret by hand, independently, every time a regulator issues one. Chose this as a concrete way to test whether the whole architecture actually works end to end, not just on paper.</w:t>
      </w:r>
    </w:p>
    <w:p>
      <w:pPr>
        <w:spacing w:after="160" w:line="288" w:lineRule="auto"/>
      </w:pPr>
      <w:r>
        <w:rPr>
          <w:color w:val="222222"/>
          <w:sz w:val="22"/>
        </w:rPr>
        <w:t>Studied the exact real data structure the programme publishes for this and found it was explicitly marked as still a work in progress, with several acknowledged open gaps: no defined way to prove who published a given tariff or that it had not been altered afterward, no explicit currency field, and no defined process for how a corrected tariff should formally replace an earlier one.</w:t>
      </w:r>
    </w:p>
    <w:p>
      <w:pPr>
        <w:spacing w:after="160" w:line="288" w:lineRule="auto"/>
      </w:pPr>
      <w:r>
        <w:rPr>
          <w:color w:val="222222"/>
          <w:sz w:val="22"/>
        </w:rPr>
        <w:t>Over the rest of the week, built a complete, working, self-contained prototype addressing this:</w:t>
      </w:r>
    </w:p>
    <w:p>
      <w:pPr>
        <w:pStyle w:val="ListBullet"/>
        <w:spacing w:after="120" w:line="276" w:lineRule="auto"/>
      </w:pPr>
      <w:r>
        <w:rPr>
          <w:color w:val="222222"/>
          <w:sz w:val="22"/>
        </w:rPr>
        <w:t>A real cryptographic signing and verification pipeline for tariff data, so any system reading a published tariff could independently confirm who published it and that it had not been tampered with.</w:t>
      </w:r>
    </w:p>
    <w:p>
      <w:pPr>
        <w:pStyle w:val="ListBullet"/>
        <w:spacing w:after="120" w:line="276" w:lineRule="auto"/>
      </w:pPr>
      <w:r>
        <w:rPr>
          <w:color w:val="222222"/>
          <w:sz w:val="22"/>
        </w:rPr>
        <w:t>Two independently written billing calculation engines — one in JavaScript, one in Python — to prove that two completely different systems, reading the same signed tariff, would always compute an identical bill. Tested against four realistic scenarios, including tricky edge cases such as a discount period spanning midnight and an unbounded top pricing tier; both engines agreed exactly in every case.</w:t>
      </w:r>
    </w:p>
    <w:p>
      <w:pPr>
        <w:pStyle w:val="ListBullet"/>
        <w:spacing w:after="120" w:line="276" w:lineRule="auto"/>
      </w:pPr>
      <w:r>
        <w:rPr>
          <w:color w:val="222222"/>
          <w:sz w:val="22"/>
        </w:rPr>
        <w:t>Identified, independently, one further real ambiguity in the tariff structure not mentioned anywhere in the official documentation — how a time-of-day surcharge should interact with a tiered pricing structure — and proposed a specific, tested resolution for it.</w:t>
      </w:r>
    </w:p>
    <w:p>
      <w:pPr>
        <w:spacing w:after="160" w:line="288" w:lineRule="auto"/>
      </w:pPr>
      <w:r>
        <w:rPr>
          <w:color w:val="222222"/>
          <w:sz w:val="22"/>
        </w:rPr>
        <w:t>Set up the programme's own official test network software locally and ran a full real message exchange through it successfully. In the process, found that this test network genuinely reaches other, real, independently registered organisations already using it — solid evidence this is a live, shared system, not an internal simulation. Replaced an early shortcut (a canned example response) with a fully working backend that authors and signs a real tariff live, on every request, and confirmed this by checking that the signed response's timestamp matched the exact moment of the request rather than a pre-baked example.</w:t>
      </w:r>
    </w:p>
    <w:p>
      <w:pPr>
        <w:spacing w:after="160" w:line="288" w:lineRule="auto"/>
      </w:pPr>
      <w:r>
        <w:rPr>
          <w:color w:val="222222"/>
          <w:sz w:val="22"/>
        </w:rPr>
        <w:t>By the end of the week, drafted (but deliberately did not yet submit) the information needed to formally propose this work back to the programme itself, since that final step requires binding personal contact details best confirmed before committing to it.</w:t>
      </w:r>
    </w:p>
    <w:p>
      <w:pPr>
        <w:keepNext/>
        <w:spacing w:before="440" w:after="80"/>
        <w:pBdr>
          <w:bottom w:val="single" w:sz="6" w:space="4" w:color="1B2A3D"/>
        </w:pBdr>
      </w:pPr>
      <w:r>
        <w:rPr>
          <w:b/>
          <w:color w:val="1B2A3D"/>
          <w:sz w:val="34"/>
        </w:rPr>
        <w:t>Week 2 — 21 to 27 August</w:t>
      </w:r>
    </w:p>
    <w:p>
      <w:pPr>
        <w:spacing w:before="80" w:after="200"/>
      </w:pPr>
      <w:r>
        <w:rPr>
          <w:i/>
          <w:color w:val="5A5A5A"/>
          <w:sz w:val="21"/>
        </w:rPr>
        <w:t>Presenting the work, tightening every claim, and a first look at Vehicle-to-Grid</w:t>
      </w:r>
    </w:p>
    <w:p>
      <w:pPr>
        <w:spacing w:after="160" w:line="288" w:lineRule="auto"/>
      </w:pPr>
      <w:r>
        <w:rPr>
          <w:color w:val="222222"/>
          <w:sz w:val="22"/>
        </w:rPr>
        <w:t>Prepared the first formal presentation of this work for the wider team — built to introduce the underlying opportunity and concept from first principles, for an audience seeing it for the first time.</w:t>
      </w:r>
    </w:p>
    <w:p>
      <w:pPr>
        <w:spacing w:after="160" w:line="288" w:lineRule="auto"/>
      </w:pPr>
      <w:r>
        <w:rPr>
          <w:color w:val="222222"/>
          <w:sz w:val="22"/>
        </w:rPr>
        <w:t>Went through the material rigorously before presenting it and caught two real overstatements, corrected before anything was shown: the number of genuinely new gaps found in the tariff data structure had been slightly inflated (three of the four had, in fact, already been acknowledged by the programme's own documentation, with only one being independently identified); and two genuinely different layers of cryptographic signing — the network's own automatic transport-level signing versus the tariff-content-level signing built specifically for this work — had been conflated in an early explanation and were separated out clearly. Also caught and removed one settlement figure that had been used as a placeholder example before it was properly cross-checked against the real tested numbers.</w:t>
      </w:r>
    </w:p>
    <w:p>
      <w:pPr>
        <w:spacing w:after="160" w:line="288" w:lineRule="auto"/>
      </w:pPr>
      <w:r>
        <w:rPr>
          <w:color w:val="222222"/>
          <w:sz w:val="22"/>
        </w:rPr>
        <w:t>Reproduced the entire technical setup successfully on a second machine ahead of presenting it live, resolving some genuine environment differences along the way (a missing command-line tool, a configuration file that only existed on the first machine).</w:t>
      </w:r>
    </w:p>
    <w:p>
      <w:pPr>
        <w:spacing w:after="160" w:line="288" w:lineRule="auto"/>
      </w:pPr>
      <w:r>
        <w:rPr>
          <w:color w:val="222222"/>
          <w:sz w:val="22"/>
        </w:rPr>
        <w:t>Took a first, brief look at whether Vehicle-to-Grid — the idea that an electric vehicle's battery could send power back to the grid when needed — had any working example anywhere in the programme's technical materials, and found it currently exists only as a named category with no fleshed-out example flow anywhere: a genuinely open area, not yet built out by anyone.</w:t>
      </w:r>
    </w:p>
    <w:p>
      <w:pPr>
        <w:spacing w:after="160" w:line="288" w:lineRule="auto"/>
      </w:pPr>
      <w:r>
        <w:rPr>
          <w:color w:val="222222"/>
          <w:sz w:val="22"/>
        </w:rPr>
        <w:t>After further consideration, made a deliberate decision to pause the tariff-intelligence work at this point, having concluded there was not a clear, direct commercial angle in that specific narrow niche worth committing further time to right now — while treating the finished, fully working prototype itself as a demonstrated technical result regardless. This decision was later revisited: after a full review pass caught and fixed a handful of small consistency issues left over from earlier in the build, the completed work was made available as a genuine, working technical contribution.</w:t>
      </w:r>
    </w:p>
    <w:p>
      <w:pPr>
        <w:keepNext/>
        <w:spacing w:before="440" w:after="80"/>
        <w:pBdr>
          <w:bottom w:val="single" w:sz="6" w:space="4" w:color="1B2A3D"/>
        </w:pBdr>
      </w:pPr>
      <w:r>
        <w:rPr>
          <w:b/>
          <w:color w:val="1B2A3D"/>
          <w:sz w:val="34"/>
        </w:rPr>
        <w:t>Week 3 — 28 August to 3 September</w:t>
      </w:r>
    </w:p>
    <w:p>
      <w:pPr>
        <w:spacing w:before="80" w:after="200"/>
      </w:pPr>
      <w:r>
        <w:rPr>
          <w:i/>
          <w:color w:val="5A5A5A"/>
          <w:sz w:val="21"/>
        </w:rPr>
        <w:t>Researching Vehicle-to-Grid properly, and building a real, verifiable identity on the network</w:t>
      </w:r>
    </w:p>
    <w:p>
      <w:pPr>
        <w:spacing w:after="160" w:line="288" w:lineRule="auto"/>
      </w:pPr>
      <w:r>
        <w:rPr>
          <w:color w:val="222222"/>
          <w:sz w:val="22"/>
        </w:rPr>
        <w:t>Explored, in real depth this time, exactly how Vehicle-to-Grid could fit into the same open energy network. Found that the network's existing general-purpose flexibility mechanism (the one used for asking any resource to reduce grid demand) could technically carry an EV charger as one type of resource — but that nobody had ever actually built out a real, complete example message flow specific to Vehicle-to-Grid anywhere in the available reference material. Wrote up a clear, honestly scoped case document treating this explicitly as a proposal worth evaluating, not yet a decision to build — the same cautious posture the tariff work had before it was actually built.</w:t>
      </w:r>
    </w:p>
    <w:p>
      <w:pPr>
        <w:spacing w:after="160" w:line="288" w:lineRule="auto"/>
      </w:pPr>
      <w:r>
        <w:rPr>
          <w:color w:val="222222"/>
          <w:sz w:val="22"/>
        </w:rPr>
        <w:t>Carried out real market research, not assumption, into how Vehicle-to-Grid is already being handled by real automotive and component suppliers and by regulation elsewhere. Found that major automotive suppliers already sell real bidirectional vehicle-charging hardware today, and that European Union regulation will require newly installed public chargers to support exactly this bidirectional capability from January 2027 — a genuine, near-term, external reason this is a live topic rather than a speculative one.</w:t>
      </w:r>
    </w:p>
    <w:p>
      <w:pPr>
        <w:spacing w:after="160" w:line="288" w:lineRule="auto"/>
      </w:pPr>
      <w:r>
        <w:rPr>
          <w:color w:val="222222"/>
          <w:sz w:val="22"/>
        </w:rPr>
        <w:t>Took the more ambitious next step of registering a real, independent, cryptographically verifiable digital identity on the actual live network, using a personally-owned domain rather than a disposable test identity — going through the network's own official, multi-step registration process exactly as any real organisation would have to: proving domain ownership, generating and publishing real cryptographic keypairs, and registering with the network's official identity directory.</w:t>
      </w:r>
    </w:p>
    <w:p>
      <w:pPr>
        <w:spacing w:after="160" w:line="288" w:lineRule="auto"/>
      </w:pPr>
      <w:r>
        <w:rPr>
          <w:color w:val="222222"/>
          <w:sz w:val="22"/>
        </w:rPr>
        <w:t>Along the way, worked through several genuine real-world obstacles:</w:t>
      </w:r>
    </w:p>
    <w:p>
      <w:pPr>
        <w:pStyle w:val="ListBullet"/>
        <w:spacing w:after="120" w:line="276" w:lineRule="auto"/>
      </w:pPr>
      <w:r>
        <w:rPr>
          <w:color w:val="222222"/>
          <w:sz w:val="22"/>
        </w:rPr>
        <w:t>A domain-verification restriction that required a specific subdomain-style setup rather than the originally planned approach.</w:t>
      </w:r>
    </w:p>
    <w:p>
      <w:pPr>
        <w:pStyle w:val="ListBullet"/>
        <w:spacing w:after="120" w:line="276" w:lineRule="auto"/>
      </w:pPr>
      <w:r>
        <w:rPr>
          <w:color w:val="222222"/>
          <w:sz w:val="22"/>
        </w:rPr>
        <w:t>A website redirect rule that was quietly breaking identity resolution until it was found and corrected.</w:t>
      </w:r>
    </w:p>
    <w:p>
      <w:pPr>
        <w:pStyle w:val="ListBullet"/>
        <w:spacing w:after="120" w:line="276" w:lineRule="auto"/>
      </w:pPr>
      <w:r>
        <w:rPr>
          <w:color w:val="222222"/>
          <w:sz w:val="22"/>
        </w:rPr>
        <w:t>One substantive open technical question — exactly which cryptographic signing method the network expects — that could only be settled by reading the actual reference software's source code directly, since the available written documentation turned out to disagree with itself on this point.</w:t>
      </w:r>
    </w:p>
    <w:p>
      <w:pPr>
        <w:spacing w:after="160" w:line="288" w:lineRule="auto"/>
      </w:pPr>
      <w:r>
        <w:rPr>
          <w:color w:val="222222"/>
          <w:sz w:val="22"/>
        </w:rPr>
        <w:t>Built and deployed the real signature-verification logic needed to receive and validate genuinely signed messages addressed to this new identity, and proved the whole thing worked correctly with a real end-to-end test: sending a genuinely signed message from the new identity to itself over the live internet, and separately sending a deliberately tampered version to confirm the network correctly rejected it. Both outcomes matched exactly as expected.</w:t>
      </w:r>
    </w:p>
    <w:p>
      <w:pPr>
        <w:spacing w:after="160" w:line="288" w:lineRule="auto"/>
      </w:pPr>
      <w:r>
        <w:rPr>
          <w:color w:val="222222"/>
          <w:sz w:val="22"/>
        </w:rPr>
        <w:t>Discovered, through direct testing, that simply holding a verified identity on the network is not the same as being a recognised member of any specific trading network built on top of it — broadly comparable to holding a valid passport without yet holding a visa for a particular country. Explored the available self-service path for standing up an entirely new, independent trading network under this same identity, successfully created one, and began investigating a remaining technical gap in how new members formally get recognised as part of it — concluded this most likely requires one additional, undocumented configuration step, and noted it as a question worth raising with the network operator's own support channel directly.</w:t>
      </w:r>
    </w:p>
    <w:p>
      <w:pPr>
        <w:spacing w:after="160" w:line="288" w:lineRule="auto"/>
      </w:pPr>
      <w:r>
        <w:rPr>
          <w:color w:val="222222"/>
          <w:sz w:val="22"/>
        </w:rPr>
        <w:t>Given a request to present this new area of work to the team the next day, built and refined a second formal presentation across two full rounds of direct team feedback — starting from a broad first draft that was found too technical, narrowing to a version centred on one single, concrete, easy-to-follow example scenario, and finally adding a further deep-dive specifically on the technical vehicle-to-charger communication standard once the team asked to understand that layer in more detail. Every technical claim in that deep-dive was individually checked against the actual published international standard before being included, rather than relying on memory or secondary sources.</w:t>
      </w:r>
    </w:p>
    <w:p>
      <w:pPr>
        <w:keepNext/>
        <w:spacing w:before="440" w:after="80"/>
        <w:pBdr>
          <w:bottom w:val="single" w:sz="6" w:space="4" w:color="1B2A3D"/>
        </w:pBdr>
      </w:pPr>
      <w:r>
        <w:rPr>
          <w:b/>
          <w:color w:val="1B2A3D"/>
          <w:sz w:val="34"/>
        </w:rPr>
        <w:t>Week 4 — 4 to 8 September (ongoing)</w:t>
      </w:r>
    </w:p>
    <w:p>
      <w:pPr>
        <w:spacing w:before="80" w:after="200"/>
      </w:pPr>
      <w:r>
        <w:rPr>
          <w:i/>
          <w:color w:val="5A5A5A"/>
          <w:sz w:val="21"/>
        </w:rPr>
        <w:t>Peer-to-peer energy trading — from a live backend to a full interactive demonstration</w:t>
      </w:r>
    </w:p>
    <w:p>
      <w:pPr>
        <w:spacing w:after="160" w:line="288" w:lineRule="auto"/>
      </w:pPr>
      <w:r>
        <w:rPr>
          <w:color w:val="222222"/>
          <w:sz w:val="22"/>
        </w:rPr>
        <w:t>Shifted focus to a third, different concrete use case already proven live within the government programme itself: peer-to-peer energy trading, where a solar power owner who is a customer of one electricity utility can sell directly to a buyer who is a customer of a completely different utility — with both utilities still automatically getting their correct share, without either being cut out of the loop or needing to manually reconcile anything afterward.</w:t>
      </w:r>
    </w:p>
    <w:p>
      <w:pPr>
        <w:spacing w:after="160" w:line="288" w:lineRule="auto"/>
      </w:pPr>
      <w:r>
        <w:rPr>
          <w:color w:val="222222"/>
          <w:sz w:val="22"/>
        </w:rPr>
        <w:t>Evaluated the several available reference versions of this exact scenario before choosing the most current and complete one to build against, then stood up the programme's own real, official multi-service test network locally and ran a complete, live trade through it end to end for the first time: publish an offer, discover it, agree terms, confirm, and settle — seven real, individually signed protocol messages in sequence, every one successfully acknowledged, with the final payment amount (roughly ₹437) computed automatically by policy rather than typed in by hand. Deliberately also ran the same trade using a buyer who was not on the seller's approved list, to confirm the network genuinely and correctly refuses it live, with a clear, specific, human-readable reason rather than a generic failure.</w:t>
      </w:r>
    </w:p>
    <w:p>
      <w:pPr>
        <w:spacing w:after="160" w:line="288" w:lineRule="auto"/>
      </w:pPr>
      <w:r>
        <w:rPr>
          <w:color w:val="222222"/>
          <w:sz w:val="22"/>
        </w:rPr>
        <w:t>Independently confirmed that the completed trade had genuinely been recorded on a separate, real, externally hosted ledger service — not just visible locally — by querying that ledger directly using a different set of access credentials than the ones that had originally written the trade to it, and finding the real record there.</w:t>
      </w:r>
    </w:p>
    <w:p>
      <w:pPr>
        <w:spacing w:after="160" w:line="288" w:lineRule="auto"/>
      </w:pPr>
      <w:r>
        <w:rPr>
          <w:color w:val="222222"/>
          <w:sz w:val="22"/>
        </w:rPr>
        <w:t>Designed and built, from scratch, a polished, fully interactive visual tool that lets anyone click through every one of the real 31 individual network messages involved in a complete trade, explained in plain, non-technical language alongside the real underlying technical detail for anyone who wants to go deeper. This went through several rounds of direct feedback and rebuilding — moving from an early, more abstract visual concept to a version that clearly shows the real participants, the real message hops between them, and what each one actually means — before being published as a live, public page, together with two companion written guides: one in plain English for a non-technical reader, and one written specifically for someone who wants to replay every step themselves using request-testing tools, grounded directly in the real underlying service configuration rather than general assumptions.</w:t>
      </w:r>
    </w:p>
    <w:p>
      <w:pPr>
        <w:spacing w:after="160" w:line="288" w:lineRule="auto"/>
      </w:pPr>
      <w:r>
        <w:rPr>
          <w:color w:val="222222"/>
          <w:sz w:val="22"/>
        </w:rPr>
        <w:t>Returned to the independent digital identity built in Week 3 to re-check and further investigate the unresolved network-membership question, this time reading the network operator's own official technical documentation in full rather than continuing to guess. Confirmed precisely that network membership genuinely gates which trading networks a search request is allowed to reach; that it is a backend-controlled value that cannot be self-edited from the identity's own management dashboard; and pinned down the exact, official process for formally requesting that a real, personally registered identity be recognised as part of an official government trading network — a specific contact channel with a defined checklist of information to provide, distinct from, and simpler than, initially assumed.</w:t>
      </w:r>
    </w:p>
    <w:p>
      <w:pPr>
        <w:spacing w:after="160" w:line="288" w:lineRule="auto"/>
      </w:pPr>
      <w:r>
        <w:rPr>
          <w:color w:val="222222"/>
          <w:sz w:val="22"/>
        </w:rPr>
        <w:t>Built a second, separate, fully interactive demonstration from the ground up: two small real web applications, one representing a buyer and one a seller, that a live audience can click through directly to publish a real offer, discover it, buy it, and watch it settle in real time over the real network — rather than watching a pre-recorded or scripted replay. Along the way, found and fixed several real issues that only surfaced under close, repeated real-world use: an inconsistent record-identifier bug, a case where a genuine rejection reason was being silently swallowed and shown as a blank error instead, and a missing piece of the interface that made it hard to find a specific offer's identifier when buying it manually.</w:t>
      </w:r>
    </w:p>
    <w:p>
      <w:pPr>
        <w:spacing w:after="160" w:line="288" w:lineRule="auto"/>
      </w:pPr>
      <w:r>
        <w:rPr>
          <w:color w:val="222222"/>
          <w:sz w:val="22"/>
        </w:rPr>
        <w:t>Tested the entire setup on a second, corporate-managed laptop to confirm it could realistically be run and presented from a different machine. This surfaced and resolved a real installation compatibility issue (switching to an approach that needed no external download step at all) and, separately, uncovered and fixed a genuine networking configuration issue specific to how that managed laptop reaches the internet through its own corporate network. When it became clear the corporate laptop could not reliably run the full backing system itself, set up a way to securely expose the already-running system to the public internet instead, so it could be viewed and used from any ordinary browser without needing anything installed locally — and, in doing so, found and fixed a related issue where live updates on the dashboard silently stopped working once accessed over a secure connection.</w:t>
      </w:r>
    </w:p>
    <w:p>
      <w:pPr>
        <w:spacing w:after="160" w:line="288" w:lineRule="auto"/>
      </w:pPr>
      <w:r>
        <w:rPr>
          <w:color w:val="222222"/>
          <w:sz w:val="22"/>
        </w:rPr>
        <w:t>Diagnosed and fixed a genuine, previously unnoticed bug in the offer-discovery mechanism itself, tracing it back to three separate real causes acting together, and confirmed the fix by successfully retrieving dozens of real, currently live offers from the shared network — including several clearly published by other real, unrelated people also testing the same public network, which was strong independent confirmation that this is a genuinely shared, multi-participant system rather than an isolated local exercise.</w:t>
      </w:r>
    </w:p>
    <w:p>
      <w:pPr>
        <w:spacing w:after="160" w:line="288" w:lineRule="auto"/>
      </w:pPr>
      <w:r>
        <w:rPr>
          <w:color w:val="222222"/>
          <w:sz w:val="22"/>
        </w:rPr>
        <w:t>Reviewed and tightened how the demonstration correctly validates a purchase: confirmed the price shown always comes from the real seller's own published listing rather than being freely editable by a buyer, and that a purchase quantity can never exceed what was actually made available — enforced consistently on both the visual interface and, independently and non-negotiably, on the underlying server logic itself, so neither check can be bypassed.</w:t>
      </w:r>
    </w:p>
    <w:p>
      <w:pPr>
        <w:spacing w:after="160" w:line="288" w:lineRule="auto"/>
      </w:pPr>
      <w:r>
        <w:rPr>
          <w:color w:val="222222"/>
          <w:sz w:val="22"/>
        </w:rPr>
        <w:t>Built a further live view showing, side by side, every offer currently available anywhere on the shared network (clearly distinguishing genuinely own listings from everyone else's) alongside a real-time, independently verifiable record of completed trades, each cross-checked directly and cryptographically against the same external ledger service used earlier in the week — closing the loop from “a trade happened” to “here is independent, outside proof that it really did.” In building this, found and fixed a related gap: newly completed trades from the interactive demonstration were not yet being recorded on that same external ledger (only on two smaller internal ones) — traced this to a specific configuration detail carried over from an earlier stage of the work, corrected it, and confirmed with a fresh, live, end-to-end trade that it now appears correctly on the real external ledger, complete with its own verifiable cryptographic proof.</w:t>
      </w:r>
    </w:p>
    <w:p>
      <w:pPr>
        <w:keepNext/>
        <w:spacing w:before="440" w:after="80"/>
        <w:pBdr>
          <w:bottom w:val="single" w:sz="6" w:space="4" w:color="1B2A3D"/>
        </w:pBdr>
      </w:pPr>
      <w:r>
        <w:rPr>
          <w:b/>
          <w:color w:val="1B2A3D"/>
          <w:sz w:val="34"/>
        </w:rPr>
        <w:t>Summary as of 8 September</w:t>
      </w:r>
    </w:p>
    <w:p>
      <w:pPr>
        <w:spacing w:after="160" w:line="288" w:lineRule="auto"/>
      </w:pPr>
      <w:r>
        <w:rPr>
          <w:color w:val="222222"/>
          <w:sz w:val="22"/>
        </w:rPr>
        <w:t>Across these four weeks, three separate, concrete explorations were carried out on the same underlying open energy network: tariff data as verifiable signed information (researched, built, and proven working end to end, then deliberately paused after concluding there was no clear commercial angle for this specifically), Vehicle-to-Grid coordination (researched and scoped into a clear, credible, concrete proposal, with no prototype built yet), and peer-to-peer energy trading (fully built, tested under both normal and adversarial conditions, and demonstrable live today, including independent, cryptographic proof on a real external ledger). A real, independently verifiable digital identity was also registered and proven functional on the live network itself, separate from and underlying all three explorations.</w:t>
      </w:r>
    </w:p>
    <w:p>
      <w:pPr>
        <w:spacing w:after="80" w:line="288" w:lineRule="auto"/>
      </w:pPr>
      <w:r>
        <w:rPr>
          <w:color w:val="222222"/>
          <w:sz w:val="22"/>
        </w:rPr>
        <w:t>Every claim above reflects something actually run, tested, or independently verified — not a plan or an assumption — and is available to walk through directly on request.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