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A365D"/>
          <w:sz w:val="48"/>
        </w:rPr>
        <w:t>AI-Based Detection of Malicious Sideloaded Android Applications</w:t>
      </w:r>
    </w:p>
    <w:p>
      <w:pPr>
        <w:spacing w:after="400"/>
        <w:jc w:val="center"/>
      </w:pPr>
      <w:r>
        <w:rPr>
          <w:i/>
          <w:color w:val="2B6CB0"/>
          <w:sz w:val="26"/>
        </w:rPr>
        <w:t>Comprehensive System Architecture, Design Flow, Dataflow &amp; Technical Specifications</w:t>
      </w:r>
    </w:p>
    <w:p>
      <w:pPr>
        <w:spacing w:before="280" w:after="120"/>
      </w:pPr>
      <w:r>
        <w:rPr>
          <w:b/>
          <w:color w:val="1A365D"/>
          <w:sz w:val="32"/>
        </w:rPr>
        <w:t>Executive Summary</w:t>
      </w:r>
    </w:p>
    <w:p>
      <w:pPr>
        <w:spacing w:after="120" w:line="276" w:lineRule="auto"/>
      </w:pPr>
      <w:r>
        <w:t>Sideloaded Android applications—installed outside official app stores like Google Play—bypass pre-deployment vetting, exposing mobile ecosystems to sophisticated adware, spyware, banking Trojans, and root exploits. Modern Android malware routinely employs obfuscation and dynamic payload loading that readily defeat signature-based static antiviruses.</w:t>
      </w:r>
    </w:p>
    <w:p>
      <w:pPr>
        <w:spacing w:after="120" w:line="276" w:lineRule="auto"/>
      </w:pPr>
      <w:r>
        <w:t>This system provides a holistic, multi-tier defense-in-depth architecture combining: (1) safe static APK decompilation and 215 Drebin feature extraction, (2) Random Forest and XGBoost soft voting ensemble achieving 98.14% test accuracy, (3) local Explainable AI via SHAP TreeExplainer, (4) automated runtime threat intelligence via AbuseIPDB API v2, (5) dynamic Android sandbox emulation capturing 139 Linux kernel system calls, and (6) a modern reactive Streamlit web dashboard.</w:t>
      </w:r>
    </w:p>
    <w:tbl>
      <w:tblPr>
        <w:tblW w:type="auto" w:w="0"/>
        <w:jc w:val="center"/>
        <w:tblLook w:firstColumn="1" w:firstRow="1" w:lastColumn="0" w:lastRow="0" w:noHBand="0" w:noVBand="1" w:val="04A0"/>
      </w:tblPr>
      <w:tblGrid>
        <w:gridCol w:w="9936"/>
      </w:tblGrid>
      <w:tr>
        <w:tc>
          <w:tcPr>
            <w:tcW w:type="dxa" w:w="9792"/>
            <w:shd w:val="clear" w:color="auto" w:fill="F0F4F8"/>
          </w:tcPr>
          <w:p>
            <w:pPr>
              <w:spacing w:before="80" w:after="80"/>
            </w:pPr>
            <w:r>
              <w:rPr>
                <w:b/>
                <w:color w:val="2B6CB0"/>
              </w:rPr>
              <w:t xml:space="preserve">[KEY HIGHLIGHT] </w:t>
            </w:r>
            <w:r>
              <w:t>Key Innovation: Dual static-dynamic synergy augmented by runtime threat intelligence and local Shapley feature attribution delivers both high detection accuracy (98.14% static / 97.31% dynamic) and verifiable human-in-the-loop auditability.</w:t>
            </w:r>
          </w:p>
        </w:tc>
      </w:tr>
    </w:tbl>
    <w:p>
      <w:pPr>
        <w:spacing w:after="80"/>
      </w:pPr>
    </w:p>
    <w:p>
      <w:pPr>
        <w:spacing w:before="280" w:after="120"/>
      </w:pPr>
      <w:r>
        <w:rPr>
          <w:b/>
          <w:color w:val="1A365D"/>
          <w:sz w:val="32"/>
        </w:rPr>
        <w:t>1. System Architecture &amp; High-Level Design Flow</w:t>
      </w:r>
    </w:p>
    <w:p>
      <w:pPr>
        <w:spacing w:after="120" w:line="276" w:lineRule="auto"/>
      </w:pPr>
      <w:r>
        <w:t>The architecture is organized into five decoupled tiers ensuring fault tolerance, strict isolation, and high modularity:</w:t>
      </w:r>
    </w:p>
    <w:p>
      <w:pPr>
        <w:spacing w:after="120" w:line="276" w:lineRule="auto"/>
      </w:pPr>
      <w:r>
        <w:t>1. Presentation Tier (Streamlit Web Dashboard): Provides reactive tabs for APK triage, model evaluation metrics, dynamic sandbox execution, and threat intelligence visualization.</w:t>
        <w:br/>
        <w:t>2. Static Ingestion &amp; Bytecode Engine: Uses Androguard 4.x to inspect AndroidManifest.xml and classes.dex bytecode without executing untrusted code.</w:t>
        <w:br/>
        <w:t>3. Static ML &amp; Explainability Engine: Evaluates the 215-dimensional Drebin binary vector across Random Forest and XGBoost, computing soft ensemble probabilities and SHAP TreeExplainer attributions.</w:t>
        <w:br/>
        <w:t>4. Threat Intelligence Engine: Harvests embedded public IPv4 addresses and domain hostnames, filters RFC 1918 private scopes, performs live DNS lookups, and queries AbuseIPDB v2.</w:t>
        <w:br/>
        <w:t>5. Dynamic Emulation Sandbox: Connects via ADB bridge to a rooted Android Virtual Device (AVD), injects the APK, fuzzes the UI with Monkey, and records 139 Linux kernel syscalls via strace.</w:t>
      </w:r>
    </w:p>
    <w:p>
      <w:pPr>
        <w:spacing w:before="280" w:after="120"/>
      </w:pPr>
      <w:r>
        <w:rPr>
          <w:b/>
          <w:color w:val="1A365D"/>
          <w:sz w:val="32"/>
        </w:rPr>
        <w:t>2. Dataflow Architecture (DFD Specifications)</w:t>
      </w:r>
    </w:p>
    <w:p>
      <w:pPr>
        <w:spacing w:before="200" w:after="80"/>
      </w:pPr>
      <w:r>
        <w:rPr>
          <w:b/>
          <w:color w:val="2B6CB0"/>
          <w:sz w:val="26"/>
        </w:rPr>
        <w:t>2.1 DFD Level 0 (Context Level)</w:t>
      </w:r>
    </w:p>
    <w:p>
      <w:pPr>
        <w:spacing w:after="120" w:line="276" w:lineRule="auto"/>
      </w:pPr>
      <w:r>
        <w:t>The external security analyst supplies an Android APK file and execution duration parameters. The system queries external AbuseIPDB threat intelligence feeds and outputs comprehensive verdicts, SHAP feature rankings, network risk scores, and downloadable JSON audit reports.</w:t>
      </w:r>
    </w:p>
    <w:p>
      <w:pPr>
        <w:spacing w:before="200" w:after="80"/>
      </w:pPr>
      <w:r>
        <w:rPr>
          <w:b/>
          <w:color w:val="2B6CB0"/>
          <w:sz w:val="26"/>
        </w:rPr>
        <w:t>2.2 DFD Level 1 (Subsystem Decomposition)</w:t>
      </w:r>
    </w:p>
    <w:p>
      <w:pPr>
        <w:spacing w:after="120" w:line="276" w:lineRule="auto"/>
      </w:pPr>
      <w:r>
        <w:t>- Process 1.0 (Static Extraction): Parses APK ZIP containers, generating a 215-dimensional binary feature vector and extracting string pool indicators.</w:t>
        <w:br/>
        <w:t>- Process 2.0 (Threat Intel Enrichment): Filters public IPs and queries AbuseIPDB v2, returning abuse confidence scores and geographic metadata.</w:t>
        <w:br/>
        <w:t>- Process 3.0 (Static ML &amp; SHAP): Feeds feature vectors to RF and XGBoost models, generating ensemble probabilities and Shapley attribution values.</w:t>
        <w:br/>
        <w:t>- Process 4.0 (Dynamic Emulation): Installs APK on emulator, runs UI Monkey, records strace output, normalizes syscall frequencies, and evaluates against dynamic XGBoost and TCN.</w:t>
        <w:br/>
        <w:t>- Process 5.0 (Reporting &amp; UI Aggregation): Combines multi-modal outputs into reactive Streamlit components and exportable audit JSON.</w:t>
      </w:r>
    </w:p>
    <w:p>
      <w:pPr>
        <w:spacing w:before="280" w:after="120"/>
      </w:pPr>
      <w:r>
        <w:rPr>
          <w:b/>
          <w:color w:val="1A365D"/>
          <w:sz w:val="32"/>
        </w:rPr>
        <w:t>3. Machine Learning &amp; Deep Learning Algorithms</w:t>
      </w:r>
    </w:p>
    <w:p>
      <w:pPr>
        <w:spacing w:after="120" w:line="276" w:lineRule="auto"/>
      </w:pPr>
      <w:r>
        <w:t>The system leverages specialized models optimized for static tabular feature vectors and dynamic sequential system-call frequencies:</w:t>
      </w:r>
    </w:p>
    <w:p>
      <w:pPr>
        <w:spacing w:before="200" w:after="80"/>
      </w:pPr>
      <w:r>
        <w:rPr>
          <w:b/>
          <w:color w:val="2B6CB0"/>
          <w:sz w:val="26"/>
        </w:rPr>
        <w:t>3.1 Static Analysis (Drebin-215)</w:t>
      </w:r>
    </w:p>
    <w:p>
      <w:pPr>
        <w:spacing w:after="120" w:line="276" w:lineRule="auto"/>
      </w:pPr>
      <w:r>
        <w:t>- Random Forest: 100 de-correlated decision trees with bootstrap aggregation (bagging) and Gini impurity splits.</w:t>
        <w:br/>
        <w:t>- XGBoost: Gradient boosted decision trees using second-order Taylor expansion loss approximation, shrinkage (0.1), and depth-6 tree pruning.</w:t>
        <w:br/>
        <w:t>- Soft Voting Ensemble: Combines probabilities via P_ensemble = 0.5 * (P_RF + P_XGB), minimizing individual model variance and achieving 98.14% test accuracy.</w:t>
      </w:r>
    </w:p>
    <w:p>
      <w:pPr>
        <w:spacing w:before="200" w:after="80"/>
      </w:pPr>
      <w:r>
        <w:rPr>
          <w:b/>
          <w:color w:val="2B6CB0"/>
          <w:sz w:val="26"/>
        </w:rPr>
        <w:t>3.2 Dynamic Analysis (CICMalDroid2020: 11,520 Apps)</w:t>
      </w:r>
    </w:p>
    <w:p>
      <w:pPr>
        <w:spacing w:after="120" w:line="276" w:lineRule="auto"/>
      </w:pPr>
      <w:r>
        <w:t>- XGBoost Classifier: Outperformed deep learning architectures on tabular syscall frequency counts (97.31% accuracy).</w:t>
        <w:br/>
        <w:t>- Multi-Branch Temporal Convolutional Network (TCN): Utilizes causal dilated 1D convolutions and residual blocks.</w:t>
        <w:br/>
        <w:t>- Bidirectional LSTM (BiLSTM): Recurrent network capturing forward and backward temporal dependencies.</w:t>
        <w:br/>
        <w:t>- Transformer: Multi-head self-attention encoder evaluating long-range syscall sequence interactions.</w:t>
      </w:r>
    </w:p>
    <w:p>
      <w:pPr>
        <w:spacing w:before="280" w:after="120"/>
      </w:pPr>
      <w:r>
        <w:rPr>
          <w:b/>
          <w:color w:val="1A365D"/>
          <w:sz w:val="32"/>
        </w:rPr>
        <w:t>4. Experimental Results &amp; Performance Benchmarks</w:t>
      </w:r>
    </w:p>
    <w:p>
      <w:pPr>
        <w:spacing w:before="200" w:after="80"/>
      </w:pPr>
      <w:r>
        <w:rPr>
          <w:b/>
          <w:color w:val="2B6CB0"/>
          <w:sz w:val="26"/>
        </w:rPr>
        <w:t>4.1 Static Analysis Performance (Drebin-215 Held-Out Test Set)</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val="clear" w:color="auto" w:fill="1A365D"/>
          </w:tcPr>
          <w:p>
            <w:pPr>
              <w:jc w:val="center"/>
            </w:pPr>
            <w:r>
              <w:rPr>
                <w:b/>
                <w:color w:val="FFFFFF"/>
              </w:rPr>
              <w:t>Model</w:t>
            </w:r>
          </w:p>
        </w:tc>
        <w:tc>
          <w:tcPr>
            <w:tcW w:type="dxa" w:w="1656"/>
            <w:shd w:val="clear" w:color="auto" w:fill="1A365D"/>
          </w:tcPr>
          <w:p>
            <w:pPr>
              <w:jc w:val="center"/>
            </w:pPr>
            <w:r>
              <w:rPr>
                <w:b/>
                <w:color w:val="FFFFFF"/>
              </w:rPr>
              <w:t>Accuracy</w:t>
            </w:r>
          </w:p>
        </w:tc>
        <w:tc>
          <w:tcPr>
            <w:tcW w:type="dxa" w:w="1656"/>
            <w:shd w:val="clear" w:color="auto" w:fill="1A365D"/>
          </w:tcPr>
          <w:p>
            <w:pPr>
              <w:jc w:val="center"/>
            </w:pPr>
            <w:r>
              <w:rPr>
                <w:b/>
                <w:color w:val="FFFFFF"/>
              </w:rPr>
              <w:t>Precision</w:t>
            </w:r>
          </w:p>
        </w:tc>
        <w:tc>
          <w:tcPr>
            <w:tcW w:type="dxa" w:w="1656"/>
            <w:shd w:val="clear" w:color="auto" w:fill="1A365D"/>
          </w:tcPr>
          <w:p>
            <w:pPr>
              <w:jc w:val="center"/>
            </w:pPr>
            <w:r>
              <w:rPr>
                <w:b/>
                <w:color w:val="FFFFFF"/>
              </w:rPr>
              <w:t>Recall</w:t>
            </w:r>
          </w:p>
        </w:tc>
        <w:tc>
          <w:tcPr>
            <w:tcW w:type="dxa" w:w="1656"/>
            <w:shd w:val="clear" w:color="auto" w:fill="1A365D"/>
          </w:tcPr>
          <w:p>
            <w:pPr>
              <w:jc w:val="center"/>
            </w:pPr>
            <w:r>
              <w:rPr>
                <w:b/>
                <w:color w:val="FFFFFF"/>
              </w:rPr>
              <w:t>F1-Score</w:t>
            </w:r>
          </w:p>
        </w:tc>
        <w:tc>
          <w:tcPr>
            <w:tcW w:type="dxa" w:w="1656"/>
            <w:shd w:val="clear" w:color="auto" w:fill="1A365D"/>
          </w:tcPr>
          <w:p>
            <w:pPr>
              <w:jc w:val="center"/>
            </w:pPr>
            <w:r>
              <w:rPr>
                <w:b/>
                <w:color w:val="FFFFFF"/>
              </w:rPr>
              <w:t>ROC-AUC</w:t>
            </w:r>
          </w:p>
        </w:tc>
      </w:tr>
      <w:tr>
        <w:tc>
          <w:tcPr>
            <w:tcW w:type="dxa" w:w="1656"/>
            <w:shd w:val="clear" w:color="auto" w:fill="FFFFFF"/>
          </w:tcPr>
          <w:p>
            <w:r>
              <w:t>Random Forest</w:t>
            </w:r>
          </w:p>
        </w:tc>
        <w:tc>
          <w:tcPr>
            <w:tcW w:type="dxa" w:w="1656"/>
            <w:shd w:val="clear" w:color="auto" w:fill="FFFFFF"/>
          </w:tcPr>
          <w:p>
            <w:pPr>
              <w:jc w:val="center"/>
            </w:pPr>
            <w:r>
              <w:t>97.11%</w:t>
            </w:r>
          </w:p>
        </w:tc>
        <w:tc>
          <w:tcPr>
            <w:tcW w:type="dxa" w:w="1656"/>
            <w:shd w:val="clear" w:color="auto" w:fill="FFFFFF"/>
          </w:tcPr>
          <w:p>
            <w:pPr>
              <w:jc w:val="center"/>
            </w:pPr>
            <w:r>
              <w:t>96.02%</w:t>
            </w:r>
          </w:p>
        </w:tc>
        <w:tc>
          <w:tcPr>
            <w:tcW w:type="dxa" w:w="1656"/>
            <w:shd w:val="clear" w:color="auto" w:fill="FFFFFF"/>
          </w:tcPr>
          <w:p>
            <w:pPr>
              <w:jc w:val="center"/>
            </w:pPr>
            <w:r>
              <w:t>91.55%</w:t>
            </w:r>
          </w:p>
        </w:tc>
        <w:tc>
          <w:tcPr>
            <w:tcW w:type="dxa" w:w="1656"/>
            <w:shd w:val="clear" w:color="auto" w:fill="FFFFFF"/>
          </w:tcPr>
          <w:p>
            <w:pPr>
              <w:jc w:val="center"/>
            </w:pPr>
            <w:r>
              <w:t>0.9373</w:t>
            </w:r>
          </w:p>
        </w:tc>
        <w:tc>
          <w:tcPr>
            <w:tcW w:type="dxa" w:w="1656"/>
            <w:shd w:val="clear" w:color="auto" w:fill="FFFFFF"/>
          </w:tcPr>
          <w:p>
            <w:pPr>
              <w:jc w:val="center"/>
            </w:pPr>
            <w:r>
              <w:t>0.9926</w:t>
            </w:r>
          </w:p>
        </w:tc>
      </w:tr>
      <w:tr>
        <w:tc>
          <w:tcPr>
            <w:tcW w:type="dxa" w:w="1656"/>
            <w:shd w:val="clear" w:color="auto" w:fill="F7FAFC"/>
          </w:tcPr>
          <w:p>
            <w:r>
              <w:t>XGBoost</w:t>
            </w:r>
          </w:p>
        </w:tc>
        <w:tc>
          <w:tcPr>
            <w:tcW w:type="dxa" w:w="1656"/>
            <w:shd w:val="clear" w:color="auto" w:fill="F7FAFC"/>
          </w:tcPr>
          <w:p>
            <w:pPr>
              <w:jc w:val="center"/>
            </w:pPr>
            <w:r>
              <w:t>98.00%</w:t>
            </w:r>
          </w:p>
        </w:tc>
        <w:tc>
          <w:tcPr>
            <w:tcW w:type="dxa" w:w="1656"/>
            <w:shd w:val="clear" w:color="auto" w:fill="F7FAFC"/>
          </w:tcPr>
          <w:p>
            <w:pPr>
              <w:jc w:val="center"/>
            </w:pPr>
            <w:r>
              <w:t>95.91%</w:t>
            </w:r>
          </w:p>
        </w:tc>
        <w:tc>
          <w:tcPr>
            <w:tcW w:type="dxa" w:w="1656"/>
            <w:shd w:val="clear" w:color="auto" w:fill="F7FAFC"/>
          </w:tcPr>
          <w:p>
            <w:pPr>
              <w:jc w:val="center"/>
            </w:pPr>
            <w:r>
              <w:t>95.63%</w:t>
            </w:r>
          </w:p>
        </w:tc>
        <w:tc>
          <w:tcPr>
            <w:tcW w:type="dxa" w:w="1656"/>
            <w:shd w:val="clear" w:color="auto" w:fill="F7FAFC"/>
          </w:tcPr>
          <w:p>
            <w:pPr>
              <w:jc w:val="center"/>
            </w:pPr>
            <w:r>
              <w:t>0.9577</w:t>
            </w:r>
          </w:p>
        </w:tc>
        <w:tc>
          <w:tcPr>
            <w:tcW w:type="dxa" w:w="1656"/>
            <w:shd w:val="clear" w:color="auto" w:fill="F7FAFC"/>
          </w:tcPr>
          <w:p>
            <w:pPr>
              <w:jc w:val="center"/>
            </w:pPr>
            <w:r>
              <w:t>0.9961</w:t>
            </w:r>
          </w:p>
        </w:tc>
      </w:tr>
      <w:tr>
        <w:tc>
          <w:tcPr>
            <w:tcW w:type="dxa" w:w="1656"/>
            <w:shd w:val="clear" w:color="auto" w:fill="FFFFFF"/>
          </w:tcPr>
          <w:p>
            <w:r>
              <w:t>Fused Ensemble (RF + XGB)</w:t>
            </w:r>
          </w:p>
        </w:tc>
        <w:tc>
          <w:tcPr>
            <w:tcW w:type="dxa" w:w="1656"/>
            <w:shd w:val="clear" w:color="auto" w:fill="FFFFFF"/>
          </w:tcPr>
          <w:p>
            <w:pPr>
              <w:jc w:val="center"/>
            </w:pPr>
            <w:r>
              <w:t>98.14%</w:t>
            </w:r>
          </w:p>
        </w:tc>
        <w:tc>
          <w:tcPr>
            <w:tcW w:type="dxa" w:w="1656"/>
            <w:shd w:val="clear" w:color="auto" w:fill="FFFFFF"/>
          </w:tcPr>
          <w:p>
            <w:pPr>
              <w:jc w:val="center"/>
            </w:pPr>
            <w:r>
              <w:t>96.75%</w:t>
            </w:r>
          </w:p>
        </w:tc>
        <w:tc>
          <w:tcPr>
            <w:tcW w:type="dxa" w:w="1656"/>
            <w:shd w:val="clear" w:color="auto" w:fill="FFFFFF"/>
          </w:tcPr>
          <w:p>
            <w:pPr>
              <w:jc w:val="center"/>
            </w:pPr>
            <w:r>
              <w:t>95.34%</w:t>
            </w:r>
          </w:p>
        </w:tc>
        <w:tc>
          <w:tcPr>
            <w:tcW w:type="dxa" w:w="1656"/>
            <w:shd w:val="clear" w:color="auto" w:fill="FFFFFF"/>
          </w:tcPr>
          <w:p>
            <w:pPr>
              <w:jc w:val="center"/>
            </w:pPr>
            <w:r>
              <w:t>0.9604</w:t>
            </w:r>
          </w:p>
        </w:tc>
        <w:tc>
          <w:tcPr>
            <w:tcW w:type="dxa" w:w="1656"/>
            <w:shd w:val="clear" w:color="auto" w:fill="FFFFFF"/>
          </w:tcPr>
          <w:p>
            <w:pPr>
              <w:jc w:val="center"/>
            </w:pPr>
            <w:r>
              <w:t>0.9952</w:t>
            </w:r>
          </w:p>
        </w:tc>
      </w:tr>
    </w:tbl>
    <w:p>
      <w:pPr>
        <w:spacing w:after="160"/>
      </w:pPr>
    </w:p>
    <w:p>
      <w:pPr>
        <w:spacing w:before="200" w:after="80"/>
      </w:pPr>
      <w:r>
        <w:rPr>
          <w:b/>
          <w:color w:val="2B6CB0"/>
          <w:sz w:val="26"/>
        </w:rPr>
        <w:t>4.2 Dynamic Analysis Performance (Random Split vs. Cluster-Held-Out)</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val="clear" w:color="auto" w:fill="1A365D"/>
          </w:tcPr>
          <w:p>
            <w:pPr>
              <w:jc w:val="center"/>
            </w:pPr>
            <w:r>
              <w:rPr>
                <w:b/>
                <w:color w:val="FFFFFF"/>
              </w:rPr>
              <w:t>Model Architecture</w:t>
            </w:r>
          </w:p>
        </w:tc>
        <w:tc>
          <w:tcPr>
            <w:tcW w:type="dxa" w:w="1987"/>
            <w:shd w:val="clear" w:color="auto" w:fill="1A365D"/>
          </w:tcPr>
          <w:p>
            <w:pPr>
              <w:jc w:val="center"/>
            </w:pPr>
            <w:r>
              <w:rPr>
                <w:b/>
                <w:color w:val="FFFFFF"/>
              </w:rPr>
              <w:t>Random Test Acc</w:t>
            </w:r>
          </w:p>
        </w:tc>
        <w:tc>
          <w:tcPr>
            <w:tcW w:type="dxa" w:w="1987"/>
            <w:shd w:val="clear" w:color="auto" w:fill="1A365D"/>
          </w:tcPr>
          <w:p>
            <w:pPr>
              <w:jc w:val="center"/>
            </w:pPr>
            <w:r>
              <w:rPr>
                <w:b/>
                <w:color w:val="FFFFFF"/>
              </w:rPr>
              <w:t>Random ROC-AUC</w:t>
            </w:r>
          </w:p>
        </w:tc>
        <w:tc>
          <w:tcPr>
            <w:tcW w:type="dxa" w:w="1987"/>
            <w:shd w:val="clear" w:color="auto" w:fill="1A365D"/>
          </w:tcPr>
          <w:p>
            <w:pPr>
              <w:jc w:val="center"/>
            </w:pPr>
            <w:r>
              <w:rPr>
                <w:b/>
                <w:color w:val="FFFFFF"/>
              </w:rPr>
              <w:t>Cluster-Held-Out Acc</w:t>
            </w:r>
          </w:p>
        </w:tc>
        <w:tc>
          <w:tcPr>
            <w:tcW w:type="dxa" w:w="1987"/>
            <w:shd w:val="clear" w:color="auto" w:fill="1A365D"/>
          </w:tcPr>
          <w:p>
            <w:pPr>
              <w:jc w:val="center"/>
            </w:pPr>
            <w:r>
              <w:rPr>
                <w:b/>
                <w:color w:val="FFFFFF"/>
              </w:rPr>
              <w:t>Cluster-Held-Out ROC-AUC</w:t>
            </w:r>
          </w:p>
        </w:tc>
      </w:tr>
      <w:tr>
        <w:tc>
          <w:tcPr>
            <w:tcW w:type="dxa" w:w="1987"/>
            <w:shd w:val="clear" w:color="auto" w:fill="FFFFFF"/>
          </w:tcPr>
          <w:p>
            <w:r>
              <w:t>XGBoost</w:t>
            </w:r>
          </w:p>
        </w:tc>
        <w:tc>
          <w:tcPr>
            <w:tcW w:type="dxa" w:w="1987"/>
            <w:shd w:val="clear" w:color="auto" w:fill="FFFFFF"/>
          </w:tcPr>
          <w:p>
            <w:pPr>
              <w:jc w:val="center"/>
            </w:pPr>
            <w:r>
              <w:t>97.31%</w:t>
            </w:r>
          </w:p>
        </w:tc>
        <w:tc>
          <w:tcPr>
            <w:tcW w:type="dxa" w:w="1987"/>
            <w:shd w:val="clear" w:color="auto" w:fill="FFFFFF"/>
          </w:tcPr>
          <w:p>
            <w:pPr>
              <w:jc w:val="center"/>
            </w:pPr>
            <w:r>
              <w:t>0.9915</w:t>
            </w:r>
          </w:p>
        </w:tc>
        <w:tc>
          <w:tcPr>
            <w:tcW w:type="dxa" w:w="1987"/>
            <w:shd w:val="clear" w:color="auto" w:fill="FFFFFF"/>
          </w:tcPr>
          <w:p>
            <w:pPr>
              <w:jc w:val="center"/>
            </w:pPr>
            <w:r>
              <w:t>91.99% ± 3.36%</w:t>
            </w:r>
          </w:p>
        </w:tc>
        <w:tc>
          <w:tcPr>
            <w:tcW w:type="dxa" w:w="1987"/>
            <w:shd w:val="clear" w:color="auto" w:fill="FFFFFF"/>
          </w:tcPr>
          <w:p>
            <w:pPr>
              <w:jc w:val="center"/>
            </w:pPr>
            <w:r>
              <w:t>0.9600 ± 0.0223</w:t>
            </w:r>
          </w:p>
        </w:tc>
      </w:tr>
      <w:tr>
        <w:tc>
          <w:tcPr>
            <w:tcW w:type="dxa" w:w="1987"/>
            <w:shd w:val="clear" w:color="auto" w:fill="F7FAFC"/>
          </w:tcPr>
          <w:p>
            <w:r>
              <w:t>Transformer</w:t>
            </w:r>
          </w:p>
        </w:tc>
        <w:tc>
          <w:tcPr>
            <w:tcW w:type="dxa" w:w="1987"/>
            <w:shd w:val="clear" w:color="auto" w:fill="F7FAFC"/>
          </w:tcPr>
          <w:p>
            <w:pPr>
              <w:jc w:val="center"/>
            </w:pPr>
            <w:r>
              <w:t>90.93%</w:t>
            </w:r>
          </w:p>
        </w:tc>
        <w:tc>
          <w:tcPr>
            <w:tcW w:type="dxa" w:w="1987"/>
            <w:shd w:val="clear" w:color="auto" w:fill="F7FAFC"/>
          </w:tcPr>
          <w:p>
            <w:pPr>
              <w:jc w:val="center"/>
            </w:pPr>
            <w:r>
              <w:t>0.9691</w:t>
            </w:r>
          </w:p>
        </w:tc>
        <w:tc>
          <w:tcPr>
            <w:tcW w:type="dxa" w:w="1987"/>
            <w:shd w:val="clear" w:color="auto" w:fill="F7FAFC"/>
          </w:tcPr>
          <w:p>
            <w:pPr>
              <w:jc w:val="center"/>
            </w:pPr>
            <w:r>
              <w:t>86.15% ± 6.62%</w:t>
            </w:r>
          </w:p>
        </w:tc>
        <w:tc>
          <w:tcPr>
            <w:tcW w:type="dxa" w:w="1987"/>
            <w:shd w:val="clear" w:color="auto" w:fill="F7FAFC"/>
          </w:tcPr>
          <w:p>
            <w:pPr>
              <w:jc w:val="center"/>
            </w:pPr>
            <w:r>
              <w:t>0.9419 ± 0.0125</w:t>
            </w:r>
          </w:p>
        </w:tc>
      </w:tr>
      <w:tr>
        <w:tc>
          <w:tcPr>
            <w:tcW w:type="dxa" w:w="1987"/>
            <w:shd w:val="clear" w:color="auto" w:fill="FFFFFF"/>
          </w:tcPr>
          <w:p>
            <w:r>
              <w:t>TCN (Multi-Branch)</w:t>
            </w:r>
          </w:p>
        </w:tc>
        <w:tc>
          <w:tcPr>
            <w:tcW w:type="dxa" w:w="1987"/>
            <w:shd w:val="clear" w:color="auto" w:fill="FFFFFF"/>
          </w:tcPr>
          <w:p>
            <w:pPr>
              <w:jc w:val="center"/>
            </w:pPr>
            <w:r>
              <w:t>94.53%</w:t>
            </w:r>
          </w:p>
        </w:tc>
        <w:tc>
          <w:tcPr>
            <w:tcW w:type="dxa" w:w="1987"/>
            <w:shd w:val="clear" w:color="auto" w:fill="FFFFFF"/>
          </w:tcPr>
          <w:p>
            <w:pPr>
              <w:jc w:val="center"/>
            </w:pPr>
            <w:r>
              <w:t>0.9554</w:t>
            </w:r>
          </w:p>
        </w:tc>
        <w:tc>
          <w:tcPr>
            <w:tcW w:type="dxa" w:w="1987"/>
            <w:shd w:val="clear" w:color="auto" w:fill="FFFFFF"/>
          </w:tcPr>
          <w:p>
            <w:pPr>
              <w:jc w:val="center"/>
            </w:pPr>
            <w:r>
              <w:t>84.99% ± 3.14%</w:t>
            </w:r>
          </w:p>
        </w:tc>
        <w:tc>
          <w:tcPr>
            <w:tcW w:type="dxa" w:w="1987"/>
            <w:shd w:val="clear" w:color="auto" w:fill="FFFFFF"/>
          </w:tcPr>
          <w:p>
            <w:pPr>
              <w:jc w:val="center"/>
            </w:pPr>
            <w:r>
              <w:t>0.9013 ± 0.0409</w:t>
            </w:r>
          </w:p>
        </w:tc>
      </w:tr>
      <w:tr>
        <w:tc>
          <w:tcPr>
            <w:tcW w:type="dxa" w:w="1987"/>
            <w:shd w:val="clear" w:color="auto" w:fill="F7FAFC"/>
          </w:tcPr>
          <w:p>
            <w:r>
              <w:t>BiLSTM</w:t>
            </w:r>
          </w:p>
        </w:tc>
        <w:tc>
          <w:tcPr>
            <w:tcW w:type="dxa" w:w="1987"/>
            <w:shd w:val="clear" w:color="auto" w:fill="F7FAFC"/>
          </w:tcPr>
          <w:p>
            <w:pPr>
              <w:jc w:val="center"/>
            </w:pPr>
            <w:r>
              <w:t>90.80%</w:t>
            </w:r>
          </w:p>
        </w:tc>
        <w:tc>
          <w:tcPr>
            <w:tcW w:type="dxa" w:w="1987"/>
            <w:shd w:val="clear" w:color="auto" w:fill="F7FAFC"/>
          </w:tcPr>
          <w:p>
            <w:pPr>
              <w:jc w:val="center"/>
            </w:pPr>
            <w:r>
              <w:t>0.9523</w:t>
            </w:r>
          </w:p>
        </w:tc>
        <w:tc>
          <w:tcPr>
            <w:tcW w:type="dxa" w:w="1987"/>
            <w:shd w:val="clear" w:color="auto" w:fill="F7FAFC"/>
          </w:tcPr>
          <w:p>
            <w:pPr>
              <w:jc w:val="center"/>
            </w:pPr>
            <w:r>
              <w:t>79.69% ± 9.25%</w:t>
            </w:r>
          </w:p>
        </w:tc>
        <w:tc>
          <w:tcPr>
            <w:tcW w:type="dxa" w:w="1987"/>
            <w:shd w:val="clear" w:color="auto" w:fill="F7FAFC"/>
          </w:tcPr>
          <w:p>
            <w:pPr>
              <w:jc w:val="center"/>
            </w:pPr>
            <w:r>
              <w:t>0.8806 ± 0.0552</w:t>
            </w:r>
          </w:p>
        </w:tc>
      </w:tr>
    </w:tbl>
    <w:p>
      <w:pPr>
        <w:spacing w:after="160"/>
      </w:pPr>
    </w:p>
    <w:tbl>
      <w:tblPr>
        <w:tblW w:type="auto" w:w="0"/>
        <w:jc w:val="center"/>
        <w:tblLook w:firstColumn="1" w:firstRow="1" w:lastColumn="0" w:lastRow="0" w:noHBand="0" w:noVBand="1" w:val="04A0"/>
      </w:tblPr>
      <w:tblGrid>
        <w:gridCol w:w="9936"/>
      </w:tblGrid>
      <w:tr>
        <w:tc>
          <w:tcPr>
            <w:tcW w:type="dxa" w:w="9792"/>
            <w:shd w:val="clear" w:color="auto" w:fill="F0F4F8"/>
          </w:tcPr>
          <w:p>
            <w:pPr>
              <w:spacing w:before="80" w:after="80"/>
            </w:pPr>
            <w:r>
              <w:rPr>
                <w:b/>
                <w:color w:val="2B6CB0"/>
              </w:rPr>
              <w:t xml:space="preserve">[VALIDATION RIGOR] </w:t>
            </w:r>
            <w:r>
              <w:t>Cluster-Held-Out cross validation holds out entire malware families to prevent family-level data leakage. XGBoost maintained superior generalization (91.99% accuracy) compared to sequence deep learning models.</w:t>
            </w:r>
          </w:p>
        </w:tc>
      </w:tr>
    </w:tbl>
    <w:p>
      <w:pPr>
        <w:spacing w:after="80"/>
      </w:pPr>
    </w:p>
    <w:p>
      <w:pPr>
        <w:spacing w:before="200" w:after="80"/>
      </w:pPr>
      <w:r>
        <w:rPr>
          <w:b/>
          <w:color w:val="2B6CB0"/>
          <w:sz w:val="26"/>
        </w:rPr>
        <w:t>4.3 McNemar Statistical Significance Tests</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val="clear" w:color="auto" w:fill="1A365D"/>
          </w:tcPr>
          <w:p>
            <w:pPr>
              <w:jc w:val="center"/>
            </w:pPr>
            <w:r>
              <w:rPr>
                <w:b/>
                <w:color w:val="FFFFFF"/>
              </w:rPr>
              <w:t>Comparison</w:t>
            </w:r>
          </w:p>
        </w:tc>
        <w:tc>
          <w:tcPr>
            <w:tcW w:type="dxa" w:w="1987"/>
            <w:shd w:val="clear" w:color="auto" w:fill="1A365D"/>
          </w:tcPr>
          <w:p>
            <w:pPr>
              <w:jc w:val="center"/>
            </w:pPr>
            <w:r>
              <w:rPr>
                <w:b/>
                <w:color w:val="FFFFFF"/>
              </w:rPr>
              <w:t>Only TCN Correct</w:t>
            </w:r>
          </w:p>
        </w:tc>
        <w:tc>
          <w:tcPr>
            <w:tcW w:type="dxa" w:w="1987"/>
            <w:shd w:val="clear" w:color="auto" w:fill="1A365D"/>
          </w:tcPr>
          <w:p>
            <w:pPr>
              <w:jc w:val="center"/>
            </w:pPr>
            <w:r>
              <w:rPr>
                <w:b/>
                <w:color w:val="FFFFFF"/>
              </w:rPr>
              <w:t>Only Other Correct</w:t>
            </w:r>
          </w:p>
        </w:tc>
        <w:tc>
          <w:tcPr>
            <w:tcW w:type="dxa" w:w="1987"/>
            <w:shd w:val="clear" w:color="auto" w:fill="1A365D"/>
          </w:tcPr>
          <w:p>
            <w:pPr>
              <w:jc w:val="center"/>
            </w:pPr>
            <w:r>
              <w:rPr>
                <w:b/>
                <w:color w:val="FFFFFF"/>
              </w:rPr>
              <w:t>p-value</w:t>
            </w:r>
          </w:p>
        </w:tc>
        <w:tc>
          <w:tcPr>
            <w:tcW w:type="dxa" w:w="1987"/>
            <w:shd w:val="clear" w:color="auto" w:fill="1A365D"/>
          </w:tcPr>
          <w:p>
            <w:pPr>
              <w:jc w:val="center"/>
            </w:pPr>
            <w:r>
              <w:rPr>
                <w:b/>
                <w:color w:val="FFFFFF"/>
              </w:rPr>
              <w:t>Significant (alpha 0.05/3)</w:t>
            </w:r>
          </w:p>
        </w:tc>
      </w:tr>
      <w:tr>
        <w:tc>
          <w:tcPr>
            <w:tcW w:type="dxa" w:w="1987"/>
            <w:shd w:val="clear" w:color="auto" w:fill="FFFFFF"/>
          </w:tcPr>
          <w:p>
            <w:r>
              <w:t>TCN vs. BiLSTM</w:t>
            </w:r>
          </w:p>
        </w:tc>
        <w:tc>
          <w:tcPr>
            <w:tcW w:type="dxa" w:w="1987"/>
            <w:shd w:val="clear" w:color="auto" w:fill="FFFFFF"/>
          </w:tcPr>
          <w:p>
            <w:pPr>
              <w:jc w:val="center"/>
            </w:pPr>
            <w:r>
              <w:t>1,481</w:t>
            </w:r>
          </w:p>
        </w:tc>
        <w:tc>
          <w:tcPr>
            <w:tcW w:type="dxa" w:w="1987"/>
            <w:shd w:val="clear" w:color="auto" w:fill="FFFFFF"/>
          </w:tcPr>
          <w:p>
            <w:pPr>
              <w:jc w:val="center"/>
            </w:pPr>
            <w:r>
              <w:t>870</w:t>
            </w:r>
          </w:p>
        </w:tc>
        <w:tc>
          <w:tcPr>
            <w:tcW w:type="dxa" w:w="1987"/>
            <w:shd w:val="clear" w:color="auto" w:fill="FFFFFF"/>
          </w:tcPr>
          <w:p>
            <w:pPr>
              <w:jc w:val="center"/>
            </w:pPr>
            <w:r>
              <w:t>0.0</w:t>
            </w:r>
          </w:p>
        </w:tc>
        <w:tc>
          <w:tcPr>
            <w:tcW w:type="dxa" w:w="1987"/>
            <w:shd w:val="clear" w:color="auto" w:fill="FFFFFF"/>
          </w:tcPr>
          <w:p>
            <w:r>
              <w:t>Yes</w:t>
            </w:r>
          </w:p>
        </w:tc>
      </w:tr>
      <w:tr>
        <w:tc>
          <w:tcPr>
            <w:tcW w:type="dxa" w:w="1987"/>
            <w:shd w:val="clear" w:color="auto" w:fill="F7FAFC"/>
          </w:tcPr>
          <w:p>
            <w:r>
              <w:t>TCN vs. Transformer</w:t>
            </w:r>
          </w:p>
        </w:tc>
        <w:tc>
          <w:tcPr>
            <w:tcW w:type="dxa" w:w="1987"/>
            <w:shd w:val="clear" w:color="auto" w:fill="F7FAFC"/>
          </w:tcPr>
          <w:p>
            <w:pPr>
              <w:jc w:val="center"/>
            </w:pPr>
            <w:r>
              <w:t>758</w:t>
            </w:r>
          </w:p>
        </w:tc>
        <w:tc>
          <w:tcPr>
            <w:tcW w:type="dxa" w:w="1987"/>
            <w:shd w:val="clear" w:color="auto" w:fill="F7FAFC"/>
          </w:tcPr>
          <w:p>
            <w:pPr>
              <w:jc w:val="center"/>
            </w:pPr>
            <w:r>
              <w:t>891</w:t>
            </w:r>
          </w:p>
        </w:tc>
        <w:tc>
          <w:tcPr>
            <w:tcW w:type="dxa" w:w="1987"/>
            <w:shd w:val="clear" w:color="auto" w:fill="F7FAFC"/>
          </w:tcPr>
          <w:p>
            <w:pPr>
              <w:jc w:val="center"/>
            </w:pPr>
            <w:r>
              <w:t>0.0011</w:t>
            </w:r>
          </w:p>
        </w:tc>
        <w:tc>
          <w:tcPr>
            <w:tcW w:type="dxa" w:w="1987"/>
            <w:shd w:val="clear" w:color="auto" w:fill="F7FAFC"/>
          </w:tcPr>
          <w:p>
            <w:r>
              <w:t>Yes</w:t>
            </w:r>
          </w:p>
        </w:tc>
      </w:tr>
      <w:tr>
        <w:tc>
          <w:tcPr>
            <w:tcW w:type="dxa" w:w="1987"/>
            <w:shd w:val="clear" w:color="auto" w:fill="FFFFFF"/>
          </w:tcPr>
          <w:p>
            <w:r>
              <w:t>TCN vs. XGBoost</w:t>
            </w:r>
          </w:p>
        </w:tc>
        <w:tc>
          <w:tcPr>
            <w:tcW w:type="dxa" w:w="1987"/>
            <w:shd w:val="clear" w:color="auto" w:fill="FFFFFF"/>
          </w:tcPr>
          <w:p>
            <w:pPr>
              <w:jc w:val="center"/>
            </w:pPr>
            <w:r>
              <w:t>587</w:t>
            </w:r>
          </w:p>
        </w:tc>
        <w:tc>
          <w:tcPr>
            <w:tcW w:type="dxa" w:w="1987"/>
            <w:shd w:val="clear" w:color="auto" w:fill="FFFFFF"/>
          </w:tcPr>
          <w:p>
            <w:pPr>
              <w:jc w:val="center"/>
            </w:pPr>
            <w:r>
              <w:t>1,393</w:t>
            </w:r>
          </w:p>
        </w:tc>
        <w:tc>
          <w:tcPr>
            <w:tcW w:type="dxa" w:w="1987"/>
            <w:shd w:val="clear" w:color="auto" w:fill="FFFFFF"/>
          </w:tcPr>
          <w:p>
            <w:pPr>
              <w:jc w:val="center"/>
            </w:pPr>
            <w:r>
              <w:t>0.0</w:t>
            </w:r>
          </w:p>
        </w:tc>
        <w:tc>
          <w:tcPr>
            <w:tcW w:type="dxa" w:w="1987"/>
            <w:shd w:val="clear" w:color="auto" w:fill="FFFFFF"/>
          </w:tcPr>
          <w:p>
            <w:r>
              <w:t>Yes</w:t>
            </w:r>
          </w:p>
        </w:tc>
      </w:tr>
    </w:tbl>
    <w:p>
      <w:pPr>
        <w:spacing w:after="160"/>
      </w:pPr>
    </w:p>
    <w:p>
      <w:pPr>
        <w:spacing w:before="280" w:after="120"/>
      </w:pPr>
      <w:r>
        <w:rPr>
          <w:b/>
          <w:color w:val="1A365D"/>
          <w:sz w:val="32"/>
        </w:rPr>
        <w:t>5. Embedded Benchmark Figures</w:t>
      </w:r>
    </w:p>
    <w:p>
      <w:pPr>
        <w:spacing w:before="200" w:after="80"/>
      </w:pPr>
      <w:r>
        <w:rPr>
          <w:b/>
          <w:color w:val="2B6CB0"/>
          <w:sz w:val="26"/>
        </w:rPr>
        <w:t>Static Feature Importance &amp; Global Distributions</w:t>
      </w:r>
    </w:p>
    <w:p>
      <w:r>
        <w:drawing>
          <wp:inline xmlns:a="http://schemas.openxmlformats.org/drawingml/2006/main" xmlns:pic="http://schemas.openxmlformats.org/drawingml/2006/picture">
            <wp:extent cx="5669280" cy="4409440"/>
            <wp:docPr id="1" name="Picture 1"/>
            <wp:cNvGraphicFramePr>
              <a:graphicFrameLocks noChangeAspect="1"/>
            </wp:cNvGraphicFramePr>
            <a:graphic>
              <a:graphicData uri="http://schemas.openxmlformats.org/drawingml/2006/picture">
                <pic:pic>
                  <pic:nvPicPr>
                    <pic:cNvPr id="0" name="1_feature_importance.png"/>
                    <pic:cNvPicPr/>
                  </pic:nvPicPr>
                  <pic:blipFill>
                    <a:blip r:embed="rId9"/>
                    <a:stretch>
                      <a:fillRect/>
                    </a:stretch>
                  </pic:blipFill>
                  <pic:spPr>
                    <a:xfrm>
                      <a:off x="0" y="0"/>
                      <a:ext cx="5669280" cy="4409440"/>
                    </a:xfrm>
                    <a:prstGeom prst="rect"/>
                  </pic:spPr>
                </pic:pic>
              </a:graphicData>
            </a:graphic>
          </wp:inline>
        </w:drawing>
      </w:r>
    </w:p>
    <w:p>
      <w:pPr>
        <w:spacing w:after="240"/>
        <w:jc w:val="center"/>
      </w:pPr>
      <w:r>
        <w:t>Figure 1: Static Drebin-215 Feature Importance across Random Forest and XGBoost.</w:t>
      </w:r>
    </w:p>
    <w:p>
      <w:pPr>
        <w:spacing w:before="200" w:after="80"/>
      </w:pPr>
      <w:r>
        <w:rPr>
          <w:b/>
          <w:color w:val="2B6CB0"/>
          <w:sz w:val="26"/>
        </w:rPr>
        <w:t>Static Confusion Matrices</w:t>
      </w:r>
    </w:p>
    <w:p>
      <w:r>
        <w:drawing>
          <wp:inline xmlns:a="http://schemas.openxmlformats.org/drawingml/2006/main" xmlns:pic="http://schemas.openxmlformats.org/drawingml/2006/picture">
            <wp:extent cx="5669280" cy="1700784"/>
            <wp:docPr id="2" name="Picture 2"/>
            <wp:cNvGraphicFramePr>
              <a:graphicFrameLocks noChangeAspect="1"/>
            </wp:cNvGraphicFramePr>
            <a:graphic>
              <a:graphicData uri="http://schemas.openxmlformats.org/drawingml/2006/picture">
                <pic:pic>
                  <pic:nvPicPr>
                    <pic:cNvPr id="0" name="2_confusion_matrices.png"/>
                    <pic:cNvPicPr/>
                  </pic:nvPicPr>
                  <pic:blipFill>
                    <a:blip r:embed="rId10"/>
                    <a:stretch>
                      <a:fillRect/>
                    </a:stretch>
                  </pic:blipFill>
                  <pic:spPr>
                    <a:xfrm>
                      <a:off x="0" y="0"/>
                      <a:ext cx="5669280" cy="1700784"/>
                    </a:xfrm>
                    <a:prstGeom prst="rect"/>
                  </pic:spPr>
                </pic:pic>
              </a:graphicData>
            </a:graphic>
          </wp:inline>
        </w:drawing>
      </w:r>
    </w:p>
    <w:p>
      <w:pPr>
        <w:spacing w:after="240"/>
        <w:jc w:val="center"/>
      </w:pPr>
      <w:r>
        <w:t>Figure 2: Confusion Matrices for Static Drebin Classifiers.</w:t>
      </w:r>
    </w:p>
    <w:p>
      <w:pPr>
        <w:spacing w:before="200" w:after="80"/>
      </w:pPr>
      <w:r>
        <w:rPr>
          <w:b/>
          <w:color w:val="2B6CB0"/>
          <w:sz w:val="26"/>
        </w:rPr>
        <w:t>Dynamic ROC and Precision-Recall Curves</w:t>
      </w:r>
    </w:p>
    <w:p>
      <w:r>
        <w:drawing>
          <wp:inline xmlns:a="http://schemas.openxmlformats.org/drawingml/2006/main" xmlns:pic="http://schemas.openxmlformats.org/drawingml/2006/picture">
            <wp:extent cx="5669280" cy="2362200"/>
            <wp:docPr id="3" name="Picture 3"/>
            <wp:cNvGraphicFramePr>
              <a:graphicFrameLocks noChangeAspect="1"/>
            </wp:cNvGraphicFramePr>
            <a:graphic>
              <a:graphicData uri="http://schemas.openxmlformats.org/drawingml/2006/picture">
                <pic:pic>
                  <pic:nvPicPr>
                    <pic:cNvPr id="0" name="3_roc_pr_curves.png"/>
                    <pic:cNvPicPr/>
                  </pic:nvPicPr>
                  <pic:blipFill>
                    <a:blip r:embed="rId11"/>
                    <a:stretch>
                      <a:fillRect/>
                    </a:stretch>
                  </pic:blipFill>
                  <pic:spPr>
                    <a:xfrm>
                      <a:off x="0" y="0"/>
                      <a:ext cx="5669280" cy="2362200"/>
                    </a:xfrm>
                    <a:prstGeom prst="rect"/>
                  </pic:spPr>
                </pic:pic>
              </a:graphicData>
            </a:graphic>
          </wp:inline>
        </w:drawing>
      </w:r>
    </w:p>
    <w:p>
      <w:pPr>
        <w:spacing w:after="240"/>
        <w:jc w:val="center"/>
      </w:pPr>
      <w:r>
        <w:t>Figure 3: Multi-Model ROC and Precision-Recall Curves on CICMalDroid2020.</w:t>
      </w:r>
    </w:p>
    <w:p>
      <w:pPr>
        <w:spacing w:before="280" w:after="120"/>
      </w:pPr>
      <w:r>
        <w:rPr>
          <w:b/>
          <w:color w:val="1A365D"/>
          <w:sz w:val="32"/>
        </w:rPr>
        <w:t>6. Technical Specifications &amp; Stack Details</w:t>
      </w:r>
    </w:p>
    <w:tbl>
      <w:tblPr>
        <w:tblW w:type="auto" w:w="0"/>
        <w:jc w:val="center"/>
        <w:tblLook w:firstColumn="1" w:firstRow="1" w:lastColumn="0" w:lastRow="0" w:noHBand="0" w:noVBand="1" w:val="04A0"/>
      </w:tblPr>
      <w:tblGrid>
        <w:gridCol w:w="2484"/>
        <w:gridCol w:w="2484"/>
        <w:gridCol w:w="2484"/>
        <w:gridCol w:w="2484"/>
      </w:tblGrid>
      <w:tr>
        <w:tc>
          <w:tcPr>
            <w:tcW w:type="dxa" w:w="2484"/>
            <w:shd w:val="clear" w:color="auto" w:fill="1A365D"/>
          </w:tcPr>
          <w:p>
            <w:pPr>
              <w:jc w:val="center"/>
            </w:pPr>
            <w:r>
              <w:rPr>
                <w:b/>
                <w:color w:val="FFFFFF"/>
              </w:rPr>
              <w:t>Component</w:t>
            </w:r>
          </w:p>
        </w:tc>
        <w:tc>
          <w:tcPr>
            <w:tcW w:type="dxa" w:w="2484"/>
            <w:shd w:val="clear" w:color="auto" w:fill="1A365D"/>
          </w:tcPr>
          <w:p>
            <w:pPr>
              <w:jc w:val="center"/>
            </w:pPr>
            <w:r>
              <w:rPr>
                <w:b/>
                <w:color w:val="FFFFFF"/>
              </w:rPr>
              <w:t>Technology / Tool</w:t>
            </w:r>
          </w:p>
        </w:tc>
        <w:tc>
          <w:tcPr>
            <w:tcW w:type="dxa" w:w="2484"/>
            <w:shd w:val="clear" w:color="auto" w:fill="1A365D"/>
          </w:tcPr>
          <w:p>
            <w:pPr>
              <w:jc w:val="center"/>
            </w:pPr>
            <w:r>
              <w:rPr>
                <w:b/>
                <w:color w:val="FFFFFF"/>
              </w:rPr>
              <w:t>Version</w:t>
            </w:r>
          </w:p>
        </w:tc>
        <w:tc>
          <w:tcPr>
            <w:tcW w:type="dxa" w:w="2484"/>
            <w:shd w:val="clear" w:color="auto" w:fill="1A365D"/>
          </w:tcPr>
          <w:p>
            <w:pPr>
              <w:jc w:val="center"/>
            </w:pPr>
            <w:r>
              <w:rPr>
                <w:b/>
                <w:color w:val="FFFFFF"/>
              </w:rPr>
              <w:t>Operational Role</w:t>
            </w:r>
          </w:p>
        </w:tc>
      </w:tr>
      <w:tr>
        <w:tc>
          <w:tcPr>
            <w:tcW w:type="dxa" w:w="2484"/>
            <w:shd w:val="clear" w:color="auto" w:fill="FFFFFF"/>
          </w:tcPr>
          <w:p>
            <w:r>
              <w:t>Host Environment</w:t>
            </w:r>
          </w:p>
        </w:tc>
        <w:tc>
          <w:tcPr>
            <w:tcW w:type="dxa" w:w="2484"/>
            <w:shd w:val="clear" w:color="auto" w:fill="FFFFFF"/>
          </w:tcPr>
          <w:p>
            <w:pPr>
              <w:jc w:val="center"/>
            </w:pPr>
            <w:r>
              <w:t>Windows 11 / WSL 2 Ubuntu</w:t>
            </w:r>
          </w:p>
        </w:tc>
        <w:tc>
          <w:tcPr>
            <w:tcW w:type="dxa" w:w="2484"/>
            <w:shd w:val="clear" w:color="auto" w:fill="FFFFFF"/>
          </w:tcPr>
          <w:p>
            <w:pPr>
              <w:jc w:val="center"/>
            </w:pPr>
            <w:r>
              <w:t>Ubuntu 24.04</w:t>
            </w:r>
          </w:p>
        </w:tc>
        <w:tc>
          <w:tcPr>
            <w:tcW w:type="dxa" w:w="2484"/>
            <w:shd w:val="clear" w:color="auto" w:fill="FFFFFF"/>
          </w:tcPr>
          <w:p>
            <w:r>
              <w:t>Virtualization, Python execution &amp; dev</w:t>
            </w:r>
          </w:p>
        </w:tc>
      </w:tr>
      <w:tr>
        <w:tc>
          <w:tcPr>
            <w:tcW w:type="dxa" w:w="2484"/>
            <w:shd w:val="clear" w:color="auto" w:fill="F7FAFC"/>
          </w:tcPr>
          <w:p>
            <w:r>
              <w:t>Language &amp; Runtime</w:t>
            </w:r>
          </w:p>
        </w:tc>
        <w:tc>
          <w:tcPr>
            <w:tcW w:type="dxa" w:w="2484"/>
            <w:shd w:val="clear" w:color="auto" w:fill="F7FAFC"/>
          </w:tcPr>
          <w:p>
            <w:pPr>
              <w:jc w:val="center"/>
            </w:pPr>
            <w:r>
              <w:t>Python (x86_64)</w:t>
            </w:r>
          </w:p>
        </w:tc>
        <w:tc>
          <w:tcPr>
            <w:tcW w:type="dxa" w:w="2484"/>
            <w:shd w:val="clear" w:color="auto" w:fill="F7FAFC"/>
          </w:tcPr>
          <w:p>
            <w:pPr>
              <w:jc w:val="center"/>
            </w:pPr>
            <w:r>
              <w:t>3.12+</w:t>
            </w:r>
          </w:p>
        </w:tc>
        <w:tc>
          <w:tcPr>
            <w:tcW w:type="dxa" w:w="2484"/>
            <w:shd w:val="clear" w:color="auto" w:fill="F7FAFC"/>
          </w:tcPr>
          <w:p>
            <w:r>
              <w:t>Core computational pipeline &amp; API server</w:t>
            </w:r>
          </w:p>
        </w:tc>
      </w:tr>
      <w:tr>
        <w:tc>
          <w:tcPr>
            <w:tcW w:type="dxa" w:w="2484"/>
            <w:shd w:val="clear" w:color="auto" w:fill="FFFFFF"/>
          </w:tcPr>
          <w:p>
            <w:r>
              <w:t>Frontend UI</w:t>
            </w:r>
          </w:p>
        </w:tc>
        <w:tc>
          <w:tcPr>
            <w:tcW w:type="dxa" w:w="2484"/>
            <w:shd w:val="clear" w:color="auto" w:fill="FFFFFF"/>
          </w:tcPr>
          <w:p>
            <w:r>
              <w:t>Streamlit</w:t>
            </w:r>
          </w:p>
        </w:tc>
        <w:tc>
          <w:tcPr>
            <w:tcW w:type="dxa" w:w="2484"/>
            <w:shd w:val="clear" w:color="auto" w:fill="FFFFFF"/>
          </w:tcPr>
          <w:p>
            <w:pPr>
              <w:jc w:val="center"/>
            </w:pPr>
            <w:r>
              <w:t>1.40+</w:t>
            </w:r>
          </w:p>
        </w:tc>
        <w:tc>
          <w:tcPr>
            <w:tcW w:type="dxa" w:w="2484"/>
            <w:shd w:val="clear" w:color="auto" w:fill="FFFFFF"/>
          </w:tcPr>
          <w:p>
            <w:r>
              <w:t>Reactive web dashboard &amp; user console</w:t>
            </w:r>
          </w:p>
        </w:tc>
      </w:tr>
      <w:tr>
        <w:tc>
          <w:tcPr>
            <w:tcW w:type="dxa" w:w="2484"/>
            <w:shd w:val="clear" w:color="auto" w:fill="F7FAFC"/>
          </w:tcPr>
          <w:p>
            <w:r>
              <w:t>Static Decompiler</w:t>
            </w:r>
          </w:p>
        </w:tc>
        <w:tc>
          <w:tcPr>
            <w:tcW w:type="dxa" w:w="2484"/>
            <w:shd w:val="clear" w:color="auto" w:fill="F7FAFC"/>
          </w:tcPr>
          <w:p>
            <w:r>
              <w:t>Androguard</w:t>
            </w:r>
          </w:p>
        </w:tc>
        <w:tc>
          <w:tcPr>
            <w:tcW w:type="dxa" w:w="2484"/>
            <w:shd w:val="clear" w:color="auto" w:fill="F7FAFC"/>
          </w:tcPr>
          <w:p>
            <w:pPr>
              <w:jc w:val="center"/>
            </w:pPr>
            <w:r>
              <w:t>4.1.4+</w:t>
            </w:r>
          </w:p>
        </w:tc>
        <w:tc>
          <w:tcPr>
            <w:tcW w:type="dxa" w:w="2484"/>
            <w:shd w:val="clear" w:color="auto" w:fill="F7FAFC"/>
          </w:tcPr>
          <w:p>
            <w:r>
              <w:t>APK manifest &amp; DEX bytecode parsing</w:t>
            </w:r>
          </w:p>
        </w:tc>
      </w:tr>
      <w:tr>
        <w:tc>
          <w:tcPr>
            <w:tcW w:type="dxa" w:w="2484"/>
            <w:shd w:val="clear" w:color="auto" w:fill="FFFFFF"/>
          </w:tcPr>
          <w:p>
            <w:r>
              <w:t>ML Frameworks</w:t>
            </w:r>
          </w:p>
        </w:tc>
        <w:tc>
          <w:tcPr>
            <w:tcW w:type="dxa" w:w="2484"/>
            <w:shd w:val="clear" w:color="auto" w:fill="FFFFFF"/>
          </w:tcPr>
          <w:p>
            <w:r>
              <w:t>Scikit-Learn &amp; XGBoost</w:t>
            </w:r>
          </w:p>
        </w:tc>
        <w:tc>
          <w:tcPr>
            <w:tcW w:type="dxa" w:w="2484"/>
            <w:shd w:val="clear" w:color="auto" w:fill="FFFFFF"/>
          </w:tcPr>
          <w:p>
            <w:pPr>
              <w:jc w:val="center"/>
            </w:pPr>
            <w:r>
              <w:t>1.6+ / 2.1+</w:t>
            </w:r>
          </w:p>
        </w:tc>
        <w:tc>
          <w:tcPr>
            <w:tcW w:type="dxa" w:w="2484"/>
            <w:shd w:val="clear" w:color="auto" w:fill="FFFFFF"/>
          </w:tcPr>
          <w:p>
            <w:r>
              <w:t>Random Forest &amp; Gradient Boosted trees</w:t>
            </w:r>
          </w:p>
        </w:tc>
      </w:tr>
      <w:tr>
        <w:tc>
          <w:tcPr>
            <w:tcW w:type="dxa" w:w="2484"/>
            <w:shd w:val="clear" w:color="auto" w:fill="F7FAFC"/>
          </w:tcPr>
          <w:p>
            <w:r>
              <w:t>Deep Learning</w:t>
            </w:r>
          </w:p>
        </w:tc>
        <w:tc>
          <w:tcPr>
            <w:tcW w:type="dxa" w:w="2484"/>
            <w:shd w:val="clear" w:color="auto" w:fill="F7FAFC"/>
          </w:tcPr>
          <w:p>
            <w:r>
              <w:t>PyTorch</w:t>
            </w:r>
          </w:p>
        </w:tc>
        <w:tc>
          <w:tcPr>
            <w:tcW w:type="dxa" w:w="2484"/>
            <w:shd w:val="clear" w:color="auto" w:fill="F7FAFC"/>
          </w:tcPr>
          <w:p>
            <w:pPr>
              <w:jc w:val="center"/>
            </w:pPr>
            <w:r>
              <w:t>2.5+</w:t>
            </w:r>
          </w:p>
        </w:tc>
        <w:tc>
          <w:tcPr>
            <w:tcW w:type="dxa" w:w="2484"/>
            <w:shd w:val="clear" w:color="auto" w:fill="F7FAFC"/>
          </w:tcPr>
          <w:p>
            <w:r>
              <w:t>TCN, BiLSTM, and Transformer inference</w:t>
            </w:r>
          </w:p>
        </w:tc>
      </w:tr>
      <w:tr>
        <w:tc>
          <w:tcPr>
            <w:tcW w:type="dxa" w:w="2484"/>
            <w:shd w:val="clear" w:color="auto" w:fill="FFFFFF"/>
          </w:tcPr>
          <w:p>
            <w:r>
              <w:t>Explainability</w:t>
            </w:r>
          </w:p>
        </w:tc>
        <w:tc>
          <w:tcPr>
            <w:tcW w:type="dxa" w:w="2484"/>
            <w:shd w:val="clear" w:color="auto" w:fill="FFFFFF"/>
          </w:tcPr>
          <w:p>
            <w:r>
              <w:t>SHAP</w:t>
            </w:r>
          </w:p>
        </w:tc>
        <w:tc>
          <w:tcPr>
            <w:tcW w:type="dxa" w:w="2484"/>
            <w:shd w:val="clear" w:color="auto" w:fill="FFFFFF"/>
          </w:tcPr>
          <w:p>
            <w:pPr>
              <w:jc w:val="center"/>
            </w:pPr>
            <w:r>
              <w:t>0.46+</w:t>
            </w:r>
          </w:p>
        </w:tc>
        <w:tc>
          <w:tcPr>
            <w:tcW w:type="dxa" w:w="2484"/>
            <w:shd w:val="clear" w:color="auto" w:fill="FFFFFF"/>
          </w:tcPr>
          <w:p>
            <w:r>
              <w:t>Shapley TreeExplainer feature attributions</w:t>
            </w:r>
          </w:p>
        </w:tc>
      </w:tr>
      <w:tr>
        <w:tc>
          <w:tcPr>
            <w:tcW w:type="dxa" w:w="2484"/>
            <w:shd w:val="clear" w:color="auto" w:fill="F7FAFC"/>
          </w:tcPr>
          <w:p>
            <w:r>
              <w:t>Device Bridge</w:t>
            </w:r>
          </w:p>
        </w:tc>
        <w:tc>
          <w:tcPr>
            <w:tcW w:type="dxa" w:w="2484"/>
            <w:shd w:val="clear" w:color="auto" w:fill="F7FAFC"/>
          </w:tcPr>
          <w:p>
            <w:r>
              <w:t>Android ADB</w:t>
            </w:r>
          </w:p>
        </w:tc>
        <w:tc>
          <w:tcPr>
            <w:tcW w:type="dxa" w:w="2484"/>
            <w:shd w:val="clear" w:color="auto" w:fill="F7FAFC"/>
          </w:tcPr>
          <w:p>
            <w:pPr>
              <w:jc w:val="center"/>
            </w:pPr>
            <w:r>
              <w:t>35.0+</w:t>
            </w:r>
          </w:p>
        </w:tc>
        <w:tc>
          <w:tcPr>
            <w:tcW w:type="dxa" w:w="2484"/>
            <w:shd w:val="clear" w:color="auto" w:fill="F7FAFC"/>
          </w:tcPr>
          <w:p>
            <w:pPr>
              <w:jc w:val="center"/>
            </w:pPr>
            <w:r>
              <w:t>WSL2 to Windows Android emulator bridge</w:t>
            </w:r>
          </w:p>
        </w:tc>
      </w:tr>
      <w:tr>
        <w:tc>
          <w:tcPr>
            <w:tcW w:type="dxa" w:w="2484"/>
            <w:shd w:val="clear" w:color="auto" w:fill="FFFFFF"/>
          </w:tcPr>
          <w:p>
            <w:r>
              <w:t>Dynamic Sandbox</w:t>
            </w:r>
          </w:p>
        </w:tc>
        <w:tc>
          <w:tcPr>
            <w:tcW w:type="dxa" w:w="2484"/>
            <w:shd w:val="clear" w:color="auto" w:fill="FFFFFF"/>
          </w:tcPr>
          <w:p>
            <w:r>
              <w:t>Android Studio Emulator</w:t>
            </w:r>
          </w:p>
        </w:tc>
        <w:tc>
          <w:tcPr>
            <w:tcW w:type="dxa" w:w="2484"/>
            <w:shd w:val="clear" w:color="auto" w:fill="FFFFFF"/>
          </w:tcPr>
          <w:p>
            <w:pPr>
              <w:jc w:val="center"/>
            </w:pPr>
            <w:r>
              <w:t>API 34 (Google APIs)</w:t>
            </w:r>
          </w:p>
        </w:tc>
        <w:tc>
          <w:tcPr>
            <w:tcW w:type="dxa" w:w="2484"/>
            <w:shd w:val="clear" w:color="auto" w:fill="FFFFFF"/>
          </w:tcPr>
          <w:p>
            <w:r>
              <w:t>Rooted virtual device with strace &amp; monkey</w:t>
            </w:r>
          </w:p>
        </w:tc>
      </w:tr>
      <w:tr>
        <w:tc>
          <w:tcPr>
            <w:tcW w:type="dxa" w:w="2484"/>
            <w:shd w:val="clear" w:color="auto" w:fill="F7FAFC"/>
          </w:tcPr>
          <w:p>
            <w:r>
              <w:t>Threat Intelligence</w:t>
            </w:r>
          </w:p>
        </w:tc>
        <w:tc>
          <w:tcPr>
            <w:tcW w:type="dxa" w:w="2484"/>
            <w:shd w:val="clear" w:color="auto" w:fill="F7FAFC"/>
          </w:tcPr>
          <w:p>
            <w:pPr>
              <w:jc w:val="center"/>
            </w:pPr>
            <w:r>
              <w:t>AbuseIPDB REST API v2</w:t>
            </w:r>
          </w:p>
        </w:tc>
        <w:tc>
          <w:tcPr>
            <w:tcW w:type="dxa" w:w="2484"/>
            <w:shd w:val="clear" w:color="auto" w:fill="F7FAFC"/>
          </w:tcPr>
          <w:p>
            <w:r>
              <w:t>HTTPS JSON</w:t>
            </w:r>
          </w:p>
        </w:tc>
        <w:tc>
          <w:tcPr>
            <w:tcW w:type="dxa" w:w="2484"/>
            <w:shd w:val="clear" w:color="auto" w:fill="F7FAFC"/>
          </w:tcPr>
          <w:p>
            <w:pPr>
              <w:jc w:val="center"/>
            </w:pPr>
            <w:r>
              <w:t>Live C2 IP reputation &amp; risk scoring</w:t>
            </w:r>
          </w:p>
        </w:tc>
      </w:tr>
    </w:tbl>
    <w:p>
      <w:pPr>
        <w:spacing w:after="160"/>
      </w:pPr>
    </w:p>
    <w:p>
      <w:pPr>
        <w:spacing w:before="280" w:after="120"/>
      </w:pPr>
      <w:r>
        <w:rPr>
          <w:b/>
          <w:color w:val="1A365D"/>
          <w:sz w:val="32"/>
        </w:rPr>
        <w:t>7. Input &amp; Output Technical Specifications</w:t>
      </w:r>
    </w:p>
    <w:p>
      <w:pPr>
        <w:spacing w:before="200" w:after="80"/>
      </w:pPr>
      <w:r>
        <w:rPr>
          <w:b/>
          <w:color w:val="2B6CB0"/>
          <w:sz w:val="26"/>
        </w:rPr>
        <w:t>7.1 System Inputs</w:t>
      </w:r>
    </w:p>
    <w:p>
      <w:pPr>
        <w:spacing w:after="120" w:line="276" w:lineRule="auto"/>
      </w:pPr>
      <w:r>
        <w:t>- File Input: Android Package (.apk) file (valid ZIP container with AndroidManifest.xml and classes.dex).</w:t>
        <w:br/>
        <w:t>- Dynamic Execution Duration: Integer slider value (10 to 120 seconds, default: 30s).</w:t>
        <w:br/>
        <w:t>- Threat Intel API Key: AbuseIPDB v2 authentication token (passed via environment variable or UI input).</w:t>
      </w:r>
    </w:p>
    <w:p>
      <w:pPr>
        <w:spacing w:before="200" w:after="80"/>
      </w:pPr>
      <w:r>
        <w:rPr>
          <w:b/>
          <w:color w:val="2B6CB0"/>
          <w:sz w:val="26"/>
        </w:rPr>
        <w:t>7.2 System Outputs</w:t>
      </w:r>
    </w:p>
    <w:p>
      <w:pPr>
        <w:spacing w:after="120" w:line="276" w:lineRule="auto"/>
      </w:pPr>
      <w:r>
        <w:t>- Security Verdict: Binary classification (BENIGN vs. MALWARE) accompanied by calibrated confidence percentage.</w:t>
        <w:br/>
        <w:t>- Soft Voting Probability Breakdown: Disaggregated Random Forest and XGBoost probabilities.</w:t>
        <w:br/>
        <w:t>- SHAP Feature Attribution Chart: Interactive horizontal bar graph highlighting top features pushing predictions toward malware or benign.</w:t>
        <w:br/>
        <w:t>- Threat Intelligence Report: Summary table of extracted public IPs, domain hostnames, ISP ownership, and Abuse Confidence Scores.</w:t>
        <w:br/>
        <w:t>- Dynamic System-Call Summary: Execution count table of 139 system calls with top dynamic indicator rankings.</w:t>
        <w:br/>
        <w:t>- Machine-Readable Audit JSON: Downloadable JSON export compliant with enterprise SIEM/SOC ingest formats.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