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22BD00" w14:textId="75C4F0CE" w:rsidR="000805FA" w:rsidRPr="00651BCD" w:rsidRDefault="00C76EF0" w:rsidP="00651BCD">
      <w:pPr>
        <w:pStyle w:val="Title"/>
        <w:rPr>
          <w:rFonts w:ascii="Times New Roman" w:hAnsi="Times New Roman" w:cs="Times New Roman"/>
          <w:sz w:val="48"/>
          <w:szCs w:val="48"/>
        </w:rPr>
      </w:pPr>
      <w:r w:rsidRPr="00651BCD">
        <w:rPr>
          <w:rFonts w:ascii="Times New Roman" w:hAnsi="Times New Roman" w:cs="Times New Roman"/>
          <w:sz w:val="48"/>
          <w:szCs w:val="48"/>
        </w:rPr>
        <w:t>A</w:t>
      </w:r>
      <w:r w:rsidR="00651BCD" w:rsidRPr="00651BCD">
        <w:rPr>
          <w:rFonts w:ascii="Times New Roman" w:hAnsi="Times New Roman" w:cs="Times New Roman"/>
          <w:sz w:val="48"/>
          <w:szCs w:val="48"/>
        </w:rPr>
        <w:t>daptive</w:t>
      </w:r>
      <w:r w:rsidRPr="00651BCD">
        <w:rPr>
          <w:rFonts w:ascii="Times New Roman" w:hAnsi="Times New Roman" w:cs="Times New Roman"/>
          <w:sz w:val="48"/>
          <w:szCs w:val="48"/>
        </w:rPr>
        <w:t xml:space="preserve"> M</w:t>
      </w:r>
      <w:r w:rsidR="00651BCD" w:rsidRPr="00651BCD">
        <w:rPr>
          <w:rFonts w:ascii="Times New Roman" w:hAnsi="Times New Roman" w:cs="Times New Roman"/>
          <w:sz w:val="48"/>
          <w:szCs w:val="48"/>
        </w:rPr>
        <w:t>ulti</w:t>
      </w:r>
      <w:r w:rsidRPr="00651BCD">
        <w:rPr>
          <w:rFonts w:ascii="Times New Roman" w:hAnsi="Times New Roman" w:cs="Times New Roman"/>
          <w:sz w:val="48"/>
          <w:szCs w:val="48"/>
        </w:rPr>
        <w:t>-L</w:t>
      </w:r>
      <w:r w:rsidR="00651BCD" w:rsidRPr="00651BCD">
        <w:rPr>
          <w:rFonts w:ascii="Times New Roman" w:hAnsi="Times New Roman" w:cs="Times New Roman"/>
          <w:sz w:val="48"/>
          <w:szCs w:val="48"/>
        </w:rPr>
        <w:t>ayer</w:t>
      </w:r>
      <w:r w:rsidRPr="00651BCD">
        <w:rPr>
          <w:rFonts w:ascii="Times New Roman" w:hAnsi="Times New Roman" w:cs="Times New Roman"/>
          <w:sz w:val="48"/>
          <w:szCs w:val="48"/>
        </w:rPr>
        <w:t xml:space="preserve"> E</w:t>
      </w:r>
      <w:r w:rsidR="00651BCD" w:rsidRPr="00651BCD">
        <w:rPr>
          <w:rFonts w:ascii="Times New Roman" w:hAnsi="Times New Roman" w:cs="Times New Roman"/>
          <w:sz w:val="48"/>
          <w:szCs w:val="48"/>
        </w:rPr>
        <w:t>nsemble</w:t>
      </w:r>
      <w:r w:rsidRPr="00651BCD">
        <w:rPr>
          <w:rFonts w:ascii="Times New Roman" w:hAnsi="Times New Roman" w:cs="Times New Roman"/>
          <w:sz w:val="48"/>
          <w:szCs w:val="48"/>
        </w:rPr>
        <w:t xml:space="preserve"> L</w:t>
      </w:r>
      <w:r w:rsidR="00651BCD" w:rsidRPr="00651BCD">
        <w:rPr>
          <w:rFonts w:ascii="Times New Roman" w:hAnsi="Times New Roman" w:cs="Times New Roman"/>
          <w:sz w:val="48"/>
          <w:szCs w:val="48"/>
        </w:rPr>
        <w:t>earning</w:t>
      </w:r>
      <w:r w:rsidRPr="00651BCD">
        <w:rPr>
          <w:rFonts w:ascii="Times New Roman" w:hAnsi="Times New Roman" w:cs="Times New Roman"/>
          <w:sz w:val="48"/>
          <w:szCs w:val="48"/>
        </w:rPr>
        <w:t xml:space="preserve"> (AMEL) </w:t>
      </w:r>
      <w:r w:rsidR="00651BCD" w:rsidRPr="00651BCD">
        <w:rPr>
          <w:rFonts w:ascii="Times New Roman" w:hAnsi="Times New Roman" w:cs="Times New Roman"/>
          <w:sz w:val="48"/>
          <w:szCs w:val="48"/>
        </w:rPr>
        <w:t>for</w:t>
      </w:r>
      <w:r w:rsidRPr="00651BCD">
        <w:rPr>
          <w:rFonts w:ascii="Times New Roman" w:hAnsi="Times New Roman" w:cs="Times New Roman"/>
          <w:sz w:val="48"/>
          <w:szCs w:val="48"/>
        </w:rPr>
        <w:t xml:space="preserve"> R</w:t>
      </w:r>
      <w:r w:rsidR="00651BCD">
        <w:rPr>
          <w:rFonts w:ascii="Times New Roman" w:hAnsi="Times New Roman" w:cs="Times New Roman"/>
          <w:sz w:val="48"/>
          <w:szCs w:val="48"/>
        </w:rPr>
        <w:t>obust</w:t>
      </w:r>
      <w:r w:rsidRPr="00651BCD">
        <w:rPr>
          <w:rFonts w:ascii="Times New Roman" w:hAnsi="Times New Roman" w:cs="Times New Roman"/>
          <w:sz w:val="48"/>
          <w:szCs w:val="48"/>
        </w:rPr>
        <w:t xml:space="preserve"> </w:t>
      </w:r>
      <w:r w:rsidR="00651BCD" w:rsidRPr="00651BCD">
        <w:rPr>
          <w:rFonts w:ascii="Times New Roman" w:hAnsi="Times New Roman" w:cs="Times New Roman"/>
          <w:sz w:val="48"/>
          <w:szCs w:val="48"/>
        </w:rPr>
        <w:t>and</w:t>
      </w:r>
      <w:r w:rsidRPr="00651BCD">
        <w:rPr>
          <w:rFonts w:ascii="Times New Roman" w:hAnsi="Times New Roman" w:cs="Times New Roman"/>
          <w:sz w:val="48"/>
          <w:szCs w:val="48"/>
        </w:rPr>
        <w:t xml:space="preserve"> A</w:t>
      </w:r>
      <w:r w:rsidR="00651BCD" w:rsidRPr="00651BCD">
        <w:rPr>
          <w:rFonts w:ascii="Times New Roman" w:hAnsi="Times New Roman" w:cs="Times New Roman"/>
          <w:sz w:val="48"/>
          <w:szCs w:val="48"/>
        </w:rPr>
        <w:t>ccurate</w:t>
      </w:r>
      <w:r w:rsidRPr="00651BCD">
        <w:rPr>
          <w:rFonts w:ascii="Times New Roman" w:hAnsi="Times New Roman" w:cs="Times New Roman"/>
          <w:sz w:val="48"/>
          <w:szCs w:val="48"/>
        </w:rPr>
        <w:t xml:space="preserve"> </w:t>
      </w:r>
      <w:r w:rsidR="00651BCD" w:rsidRPr="00651BCD">
        <w:rPr>
          <w:rFonts w:ascii="Times New Roman" w:hAnsi="Times New Roman" w:cs="Times New Roman"/>
          <w:sz w:val="48"/>
          <w:szCs w:val="48"/>
        </w:rPr>
        <w:t>Predictive</w:t>
      </w:r>
      <w:r w:rsidRPr="00651BCD">
        <w:rPr>
          <w:rFonts w:ascii="Times New Roman" w:hAnsi="Times New Roman" w:cs="Times New Roman"/>
          <w:sz w:val="48"/>
          <w:szCs w:val="48"/>
        </w:rPr>
        <w:t xml:space="preserve"> M</w:t>
      </w:r>
      <w:r w:rsidR="00651BCD" w:rsidRPr="00651BCD">
        <w:rPr>
          <w:rFonts w:ascii="Times New Roman" w:hAnsi="Times New Roman" w:cs="Times New Roman"/>
          <w:sz w:val="48"/>
          <w:szCs w:val="48"/>
        </w:rPr>
        <w:t>odelling</w:t>
      </w:r>
      <w:r w:rsidRPr="00651BCD">
        <w:rPr>
          <w:rFonts w:ascii="Times New Roman" w:hAnsi="Times New Roman" w:cs="Times New Roman"/>
          <w:sz w:val="48"/>
          <w:szCs w:val="48"/>
        </w:rPr>
        <w:t xml:space="preserve"> </w:t>
      </w:r>
      <w:r w:rsidR="00651BCD" w:rsidRPr="00651BCD">
        <w:rPr>
          <w:rFonts w:ascii="Times New Roman" w:hAnsi="Times New Roman" w:cs="Times New Roman"/>
          <w:sz w:val="48"/>
          <w:szCs w:val="48"/>
        </w:rPr>
        <w:t>in</w:t>
      </w:r>
      <w:r w:rsidRPr="00651BCD">
        <w:rPr>
          <w:rFonts w:ascii="Times New Roman" w:hAnsi="Times New Roman" w:cs="Times New Roman"/>
          <w:sz w:val="48"/>
          <w:szCs w:val="48"/>
        </w:rPr>
        <w:t xml:space="preserve"> B</w:t>
      </w:r>
      <w:r w:rsidR="00651BCD" w:rsidRPr="00651BCD">
        <w:rPr>
          <w:rFonts w:ascii="Times New Roman" w:hAnsi="Times New Roman" w:cs="Times New Roman"/>
          <w:sz w:val="48"/>
          <w:szCs w:val="48"/>
        </w:rPr>
        <w:t>ig</w:t>
      </w:r>
      <w:r w:rsidRPr="00651BCD">
        <w:rPr>
          <w:rFonts w:ascii="Times New Roman" w:hAnsi="Times New Roman" w:cs="Times New Roman"/>
          <w:sz w:val="48"/>
          <w:szCs w:val="48"/>
        </w:rPr>
        <w:t xml:space="preserve"> D</w:t>
      </w:r>
      <w:r w:rsidR="00651BCD" w:rsidRPr="00651BCD">
        <w:rPr>
          <w:rFonts w:ascii="Times New Roman" w:hAnsi="Times New Roman" w:cs="Times New Roman"/>
          <w:sz w:val="48"/>
          <w:szCs w:val="48"/>
        </w:rPr>
        <w:t>ata</w:t>
      </w:r>
      <w:r w:rsidRPr="00651BCD">
        <w:rPr>
          <w:rFonts w:ascii="Times New Roman" w:hAnsi="Times New Roman" w:cs="Times New Roman"/>
          <w:sz w:val="48"/>
          <w:szCs w:val="48"/>
        </w:rPr>
        <w:t xml:space="preserve"> A</w:t>
      </w:r>
      <w:r w:rsidR="00651BCD" w:rsidRPr="00651BCD">
        <w:rPr>
          <w:rFonts w:ascii="Times New Roman" w:hAnsi="Times New Roman" w:cs="Times New Roman"/>
          <w:sz w:val="48"/>
          <w:szCs w:val="48"/>
        </w:rPr>
        <w:t>nalytics</w:t>
      </w:r>
    </w:p>
    <w:p w14:paraId="67B0F682" w14:textId="5DC02F49" w:rsidR="003A25C5" w:rsidRDefault="003A25C5" w:rsidP="003A25C5">
      <w:pPr>
        <w:spacing w:after="0" w:line="240" w:lineRule="auto"/>
        <w:jc w:val="center"/>
        <w:rPr>
          <w:rFonts w:ascii="Times New Roman" w:hAnsi="Times New Roman" w:cs="Times New Roman"/>
          <w:b/>
          <w:bCs/>
          <w:sz w:val="20"/>
          <w:szCs w:val="20"/>
        </w:rPr>
      </w:pPr>
      <w:r w:rsidRPr="003A25C5">
        <w:rPr>
          <w:rFonts w:ascii="Times New Roman" w:hAnsi="Times New Roman" w:cs="Times New Roman"/>
          <w:b/>
          <w:bCs/>
          <w:sz w:val="20"/>
          <w:szCs w:val="20"/>
        </w:rPr>
        <w:t>Pranesh Saminathan</w:t>
      </w:r>
    </w:p>
    <w:p w14:paraId="46CEB23E" w14:textId="3CFD82C4" w:rsidR="003A25C5" w:rsidRPr="005418F5" w:rsidRDefault="003A25C5" w:rsidP="003A25C5">
      <w:pPr>
        <w:spacing w:after="0" w:line="240" w:lineRule="auto"/>
        <w:jc w:val="center"/>
        <w:rPr>
          <w:rFonts w:ascii="Times New Roman" w:hAnsi="Times New Roman" w:cs="Times New Roman"/>
          <w:i/>
          <w:iCs/>
          <w:sz w:val="18"/>
          <w:szCs w:val="18"/>
        </w:rPr>
      </w:pPr>
      <w:r w:rsidRPr="005418F5">
        <w:rPr>
          <w:rFonts w:ascii="Times New Roman" w:hAnsi="Times New Roman" w:cs="Times New Roman"/>
          <w:i/>
          <w:iCs/>
          <w:sz w:val="18"/>
          <w:szCs w:val="18"/>
        </w:rPr>
        <w:t xml:space="preserve">Sasurie College of Engineering, Affiliated with Anna university Chennai. Email: praneshpssathy@gmail.com </w:t>
      </w:r>
    </w:p>
    <w:p w14:paraId="0AEDCEB8" w14:textId="77777777" w:rsidR="003A25C5" w:rsidRPr="003A25C5" w:rsidRDefault="003A25C5" w:rsidP="003A25C5">
      <w:pPr>
        <w:spacing w:after="0" w:line="240" w:lineRule="auto"/>
        <w:jc w:val="center"/>
        <w:rPr>
          <w:rFonts w:ascii="Times New Roman" w:hAnsi="Times New Roman" w:cs="Times New Roman"/>
          <w:b/>
          <w:bCs/>
          <w:sz w:val="20"/>
          <w:szCs w:val="20"/>
        </w:rPr>
      </w:pPr>
      <w:r w:rsidRPr="003A25C5">
        <w:rPr>
          <w:rFonts w:ascii="Times New Roman" w:hAnsi="Times New Roman" w:cs="Times New Roman"/>
          <w:b/>
          <w:bCs/>
          <w:sz w:val="20"/>
          <w:szCs w:val="20"/>
        </w:rPr>
        <w:t>ORCID iD: 0009-0004-7721-6018</w:t>
      </w:r>
    </w:p>
    <w:p w14:paraId="3EA80964" w14:textId="77777777" w:rsidR="007D3D58" w:rsidRDefault="007D3D58" w:rsidP="007D3D58">
      <w:pPr>
        <w:pStyle w:val="Heading1"/>
        <w:rPr>
          <w:color w:val="auto"/>
          <w:sz w:val="20"/>
          <w:szCs w:val="20"/>
        </w:rPr>
        <w:sectPr w:rsidR="007D3D58" w:rsidSect="00AE222D">
          <w:pgSz w:w="11906" w:h="16838"/>
          <w:pgMar w:top="862" w:right="1083" w:bottom="720" w:left="1083" w:header="708" w:footer="708" w:gutter="0"/>
          <w:cols w:space="708"/>
          <w:docGrid w:linePitch="360"/>
        </w:sectPr>
      </w:pPr>
    </w:p>
    <w:p w14:paraId="199CEF3B" w14:textId="77777777" w:rsidR="0075663E" w:rsidRDefault="0075663E" w:rsidP="0075663E">
      <w:pPr>
        <w:pStyle w:val="Heading1"/>
        <w:rPr>
          <w:rFonts w:ascii="Times New Roman" w:hAnsi="Times New Roman" w:cs="Times New Roman"/>
          <w:b/>
          <w:bCs/>
          <w:color w:val="auto"/>
          <w:sz w:val="20"/>
          <w:szCs w:val="20"/>
        </w:rPr>
      </w:pPr>
    </w:p>
    <w:p w14:paraId="78F387D6" w14:textId="4B1256E8" w:rsidR="007D3D58" w:rsidRPr="0075663E" w:rsidRDefault="007D3D58" w:rsidP="0075663E">
      <w:pPr>
        <w:pStyle w:val="Heading1"/>
        <w:rPr>
          <w:rFonts w:ascii="Times New Roman" w:hAnsi="Times New Roman" w:cs="Times New Roman"/>
          <w:b/>
          <w:bCs/>
        </w:rPr>
      </w:pPr>
      <w:r w:rsidRPr="00B725F9">
        <w:rPr>
          <w:rFonts w:ascii="Times New Roman" w:hAnsi="Times New Roman" w:cs="Times New Roman"/>
          <w:b/>
          <w:bCs/>
          <w:color w:val="auto"/>
          <w:sz w:val="20"/>
          <w:szCs w:val="20"/>
        </w:rPr>
        <w:t>Abstract</w:t>
      </w:r>
      <w:r w:rsidR="0075663E" w:rsidRPr="006539D9">
        <w:rPr>
          <w:rFonts w:ascii="Times New Roman" w:hAnsi="Times New Roman" w:cs="Times New Roman"/>
          <w:b/>
          <w:bCs/>
          <w:color w:val="auto"/>
        </w:rPr>
        <w:t>-</w:t>
      </w:r>
      <w:r w:rsidRPr="003A688A">
        <w:rPr>
          <w:rFonts w:ascii="Times New Roman" w:hAnsi="Times New Roman" w:cs="Times New Roman"/>
          <w:color w:val="auto"/>
          <w:sz w:val="20"/>
          <w:szCs w:val="20"/>
        </w:rPr>
        <w:t>The rapid expansion of data in various domains necessitates advanced analytics techniques to derive meaningful insights and make informed decisions. This paper presents a novel approach named Adaptive Multi-Layer Ensemble Learning (AMEL) for improving the accuracy and robustness of predictive models in big data analytics. AMEL leverages a multi-layer architecture that dynamically integrates diverse machine learning algorithms through adaptive weighting mechanisms to address issues of model bias and variance. Our approach is evaluated on three large-scale datasets from healthcare, finance, and social media domains. The experimental results demonstrate that AMEL achieves a 5-10% improvement in prediction accuracy compared to traditional ensemble methods such as Bagging and Boosting.</w:t>
      </w:r>
    </w:p>
    <w:p w14:paraId="6632E5C4" w14:textId="77777777" w:rsidR="007D3D58" w:rsidRDefault="007D3D58" w:rsidP="007D3D58">
      <w:pPr>
        <w:jc w:val="both"/>
        <w:rPr>
          <w:rFonts w:ascii="Times New Roman" w:hAnsi="Times New Roman" w:cs="Times New Roman"/>
          <w:b/>
          <w:bCs/>
          <w:sz w:val="20"/>
          <w:szCs w:val="20"/>
        </w:rPr>
      </w:pPr>
    </w:p>
    <w:p w14:paraId="319AB67D" w14:textId="77777777" w:rsidR="007D3D58" w:rsidRDefault="007D3D58" w:rsidP="007D3D58">
      <w:pPr>
        <w:pStyle w:val="Heading1"/>
        <w:jc w:val="both"/>
        <w:rPr>
          <w:rFonts w:ascii="Times New Roman" w:hAnsi="Times New Roman" w:cs="Times New Roman"/>
          <w:color w:val="auto"/>
          <w:sz w:val="20"/>
          <w:szCs w:val="20"/>
        </w:rPr>
      </w:pPr>
    </w:p>
    <w:p w14:paraId="09151F76" w14:textId="77777777" w:rsidR="007D3D58" w:rsidRDefault="007D3D58" w:rsidP="007D3D58">
      <w:pPr>
        <w:pStyle w:val="Heading1"/>
        <w:jc w:val="both"/>
        <w:rPr>
          <w:rFonts w:ascii="Times New Roman" w:hAnsi="Times New Roman" w:cs="Times New Roman"/>
          <w:color w:val="auto"/>
          <w:sz w:val="20"/>
          <w:szCs w:val="20"/>
        </w:rPr>
      </w:pPr>
    </w:p>
    <w:p w14:paraId="4DD83A12" w14:textId="36FFA978" w:rsidR="007D3D58" w:rsidRDefault="007D3D58" w:rsidP="007D3D58">
      <w:pPr>
        <w:pStyle w:val="Heading1"/>
        <w:jc w:val="both"/>
        <w:rPr>
          <w:rFonts w:ascii="Times New Roman" w:hAnsi="Times New Roman" w:cs="Times New Roman"/>
          <w:color w:val="auto"/>
          <w:sz w:val="20"/>
          <w:szCs w:val="20"/>
        </w:rPr>
      </w:pPr>
      <w:r w:rsidRPr="003A688A">
        <w:rPr>
          <w:rFonts w:ascii="Times New Roman" w:hAnsi="Times New Roman" w:cs="Times New Roman"/>
          <w:color w:val="auto"/>
          <w:sz w:val="20"/>
          <w:szCs w:val="20"/>
        </w:rPr>
        <w:t>Furthermore, AMEL exhibits enhanced stability and robustness in the presence of noisy and imbalanced data, as evidenced by a 15% reduction in prediction variance and a 20% improvement in F1 scores on average across the datasets. The proposed AMEL framework not only advances the state-of-the-art in ensemble learning but also provides a scalable and adaptable solution for complex data analytics tasks. These findings underscore the potential of AMEL to significantly improve decision-making processes in various high-impact sectors.</w:t>
      </w:r>
    </w:p>
    <w:p w14:paraId="7B3895AF" w14:textId="77777777" w:rsidR="007D3D58" w:rsidRPr="00F279C0" w:rsidRDefault="007D3D58" w:rsidP="007D3D58"/>
    <w:p w14:paraId="31AF1DB2" w14:textId="49A581A5" w:rsidR="007D3D58" w:rsidRPr="00253D36" w:rsidRDefault="007D3D58" w:rsidP="007D3D58">
      <w:pPr>
        <w:jc w:val="both"/>
        <w:rPr>
          <w:rFonts w:ascii="Times New Roman" w:hAnsi="Times New Roman" w:cs="Times New Roman"/>
          <w:sz w:val="20"/>
          <w:szCs w:val="20"/>
        </w:rPr>
      </w:pPr>
      <w:r w:rsidRPr="00386BF6">
        <w:rPr>
          <w:rFonts w:ascii="Times New Roman" w:hAnsi="Times New Roman" w:cs="Times New Roman"/>
          <w:b/>
          <w:bCs/>
          <w:sz w:val="20"/>
          <w:szCs w:val="20"/>
        </w:rPr>
        <w:t xml:space="preserve">Keywords: </w:t>
      </w:r>
      <w:r w:rsidRPr="00386BF6">
        <w:rPr>
          <w:rFonts w:ascii="Times New Roman" w:hAnsi="Times New Roman" w:cs="Times New Roman"/>
          <w:sz w:val="20"/>
          <w:szCs w:val="20"/>
        </w:rPr>
        <w:t>Data Analytics, Ensemble Learning, Predictive Modelling, Big Data, Adaptive Algorithms</w:t>
      </w:r>
    </w:p>
    <w:p w14:paraId="4401C229" w14:textId="77777777" w:rsidR="007D3D58" w:rsidRPr="00386BF6" w:rsidRDefault="007D3D58" w:rsidP="00C76EF0">
      <w:pPr>
        <w:jc w:val="both"/>
        <w:rPr>
          <w:rFonts w:ascii="Times New Roman" w:hAnsi="Times New Roman" w:cs="Times New Roman"/>
          <w:b/>
          <w:bCs/>
          <w:sz w:val="20"/>
          <w:szCs w:val="20"/>
        </w:rPr>
        <w:sectPr w:rsidR="007D3D58" w:rsidRPr="00386BF6" w:rsidSect="00AE222D">
          <w:type w:val="continuous"/>
          <w:pgSz w:w="11906" w:h="16838"/>
          <w:pgMar w:top="862" w:right="1083" w:bottom="720" w:left="1083" w:header="709" w:footer="709" w:gutter="0"/>
          <w:cols w:num="2" w:space="708"/>
          <w:docGrid w:linePitch="360"/>
        </w:sectPr>
      </w:pPr>
    </w:p>
    <w:p w14:paraId="1282707F" w14:textId="77777777" w:rsidR="00386BF6" w:rsidRPr="00386BF6" w:rsidRDefault="00386BF6" w:rsidP="00C76EF0">
      <w:pPr>
        <w:jc w:val="both"/>
        <w:rPr>
          <w:rFonts w:ascii="Times New Roman" w:hAnsi="Times New Roman" w:cs="Times New Roman"/>
          <w:b/>
          <w:bCs/>
          <w:sz w:val="20"/>
          <w:szCs w:val="20"/>
        </w:rPr>
        <w:sectPr w:rsidR="00386BF6" w:rsidRPr="00386BF6" w:rsidSect="00AE222D">
          <w:type w:val="continuous"/>
          <w:pgSz w:w="11906" w:h="16838"/>
          <w:pgMar w:top="862" w:right="1083" w:bottom="720" w:left="1083" w:header="708" w:footer="708" w:gutter="0"/>
          <w:cols w:space="708"/>
          <w:docGrid w:linePitch="360"/>
        </w:sectPr>
      </w:pPr>
    </w:p>
    <w:p w14:paraId="60A2DFA5" w14:textId="29AF1961" w:rsidR="002374BF" w:rsidRPr="007D3D58" w:rsidRDefault="002374BF" w:rsidP="00C94992">
      <w:pPr>
        <w:pStyle w:val="Heading1"/>
        <w:jc w:val="center"/>
        <w:rPr>
          <w:rFonts w:ascii="Times New Roman" w:hAnsi="Times New Roman" w:cs="Times New Roman"/>
          <w:b/>
          <w:bCs/>
          <w:sz w:val="20"/>
          <w:szCs w:val="20"/>
        </w:rPr>
      </w:pPr>
      <w:r w:rsidRPr="007D3D58">
        <w:rPr>
          <w:rFonts w:ascii="Times New Roman" w:hAnsi="Times New Roman" w:cs="Times New Roman"/>
          <w:b/>
          <w:bCs/>
          <w:color w:val="auto"/>
          <w:sz w:val="20"/>
          <w:szCs w:val="20"/>
        </w:rPr>
        <w:t>I INTRODUCTION</w:t>
      </w:r>
    </w:p>
    <w:p w14:paraId="0AFFF682" w14:textId="73F76B3D" w:rsidR="002374BF" w:rsidRPr="00386BF6" w:rsidRDefault="002374BF" w:rsidP="00C76EF0">
      <w:pPr>
        <w:jc w:val="both"/>
        <w:rPr>
          <w:rFonts w:ascii="Times New Roman" w:hAnsi="Times New Roman" w:cs="Times New Roman"/>
          <w:sz w:val="20"/>
          <w:szCs w:val="20"/>
        </w:rPr>
      </w:pPr>
      <w:r w:rsidRPr="00386BF6">
        <w:rPr>
          <w:rFonts w:ascii="Times New Roman" w:hAnsi="Times New Roman" w:cs="Times New Roman"/>
          <w:b/>
          <w:bCs/>
          <w:sz w:val="20"/>
          <w:szCs w:val="20"/>
        </w:rPr>
        <w:tab/>
      </w:r>
      <w:r w:rsidRPr="00386BF6">
        <w:rPr>
          <w:rFonts w:ascii="Times New Roman" w:hAnsi="Times New Roman" w:cs="Times New Roman"/>
          <w:sz w:val="20"/>
          <w:szCs w:val="20"/>
        </w:rPr>
        <w:t>The proliferation of big data across different sectors, such as healthcare, finance, and social media, has created an urgent need for advanced predictive modeling techniques capable of handling vast, diverse, and complex datasets. Traditional machine learning models, while effective in many scenarios, often struggle with issues related to bias, variance, and scalability. These issues are exacerbated when dealing with noisy and imbalanced data, which are common characteristics of real-world datasets. Ensemble learning, which combines multiple models to improve overall performance, has emerged as a promising approach to address some of these challenges. Techniques such as Bagging, Boosting, and Stacking have demonstrated their ability to enhance predictive accuracy and robustness. However, these existing methods can still be prone to overfitting and may not fully exploit the diversity of available models, leading to suboptimal performance.</w:t>
      </w:r>
    </w:p>
    <w:p w14:paraId="02CBD38C" w14:textId="3F2A4DF2" w:rsidR="00B2088E" w:rsidRPr="00386BF6" w:rsidRDefault="00B2088E" w:rsidP="00C76EF0">
      <w:pPr>
        <w:jc w:val="both"/>
        <w:rPr>
          <w:rFonts w:ascii="Times New Roman" w:hAnsi="Times New Roman" w:cs="Times New Roman"/>
          <w:sz w:val="20"/>
          <w:szCs w:val="20"/>
        </w:rPr>
      </w:pPr>
      <w:r w:rsidRPr="00386BF6">
        <w:rPr>
          <w:rFonts w:ascii="Times New Roman" w:hAnsi="Times New Roman" w:cs="Times New Roman"/>
          <w:sz w:val="20"/>
          <w:szCs w:val="20"/>
        </w:rPr>
        <w:tab/>
        <w:t xml:space="preserve">In the context of big data analytics, developing a robust and accurate predictive modeling framework that can dynamically adapt to various data types and integrate multiple machine learning algorithms is a significant challenge. Traditional ensemble methods are limited by their static nature and often fail to adapt effectively to changing data characteristics. Consequently, there is a need for an advanced ensemble learning approach that can reduce model bias and </w:t>
      </w:r>
      <w:r w:rsidRPr="00386BF6">
        <w:rPr>
          <w:rFonts w:ascii="Times New Roman" w:hAnsi="Times New Roman" w:cs="Times New Roman"/>
          <w:sz w:val="20"/>
          <w:szCs w:val="20"/>
        </w:rPr>
        <w:t>variance while maintaining scalability and robustness across different datasets.</w:t>
      </w:r>
    </w:p>
    <w:p w14:paraId="33940A5F" w14:textId="25754D3D" w:rsidR="00B2088E" w:rsidRPr="00386BF6" w:rsidRDefault="00B2088E" w:rsidP="00C76EF0">
      <w:pPr>
        <w:jc w:val="both"/>
        <w:rPr>
          <w:rFonts w:ascii="Times New Roman" w:hAnsi="Times New Roman" w:cs="Times New Roman"/>
          <w:sz w:val="20"/>
          <w:szCs w:val="20"/>
        </w:rPr>
      </w:pPr>
      <w:r w:rsidRPr="00386BF6">
        <w:rPr>
          <w:rFonts w:ascii="Times New Roman" w:hAnsi="Times New Roman" w:cs="Times New Roman"/>
          <w:sz w:val="20"/>
          <w:szCs w:val="20"/>
        </w:rPr>
        <w:tab/>
        <w:t>To address these challenges, we propose a novel approach called Adaptive Multi-Layer Ensemble Learning (AMEL). AMEL leverages a multi-layer architecture that integrates diverse machine learning algorithms through adaptive weighting mechanisms. This dynamic integration allows the framework to continuously adapt and improve as new data becomes available. The multi-layer structure of AMEL enables it to reduce both bias and variance, leading to more accurate and stable predictions. By combining the strengths of various algorithms and dynamically adjusting their contributions, AMEL provides a scalable and adaptable solution for complex predictive modeling tasks in big data analytics.</w:t>
      </w:r>
    </w:p>
    <w:p w14:paraId="4D0E361D" w14:textId="603D15EE" w:rsidR="00B2088E" w:rsidRPr="007D3D58" w:rsidRDefault="00B2088E" w:rsidP="00D23D55">
      <w:pPr>
        <w:pStyle w:val="ListParagraph"/>
        <w:numPr>
          <w:ilvl w:val="1"/>
          <w:numId w:val="1"/>
        </w:numPr>
        <w:rPr>
          <w:rFonts w:ascii="Times New Roman" w:hAnsi="Times New Roman" w:cs="Times New Roman"/>
          <w:b/>
          <w:bCs/>
          <w:sz w:val="20"/>
          <w:szCs w:val="20"/>
        </w:rPr>
      </w:pPr>
      <w:r w:rsidRPr="007D3D58">
        <w:rPr>
          <w:rFonts w:ascii="Times New Roman" w:hAnsi="Times New Roman" w:cs="Times New Roman"/>
          <w:b/>
          <w:bCs/>
          <w:sz w:val="20"/>
          <w:szCs w:val="20"/>
        </w:rPr>
        <w:t xml:space="preserve">Key </w:t>
      </w:r>
      <w:r w:rsidR="00C94992" w:rsidRPr="007D3D58">
        <w:rPr>
          <w:rFonts w:ascii="Times New Roman" w:hAnsi="Times New Roman" w:cs="Times New Roman"/>
          <w:b/>
          <w:bCs/>
          <w:sz w:val="20"/>
          <w:szCs w:val="20"/>
        </w:rPr>
        <w:t>C</w:t>
      </w:r>
      <w:r w:rsidRPr="007D3D58">
        <w:rPr>
          <w:rFonts w:ascii="Times New Roman" w:hAnsi="Times New Roman" w:cs="Times New Roman"/>
          <w:b/>
          <w:bCs/>
          <w:sz w:val="20"/>
          <w:szCs w:val="20"/>
        </w:rPr>
        <w:t xml:space="preserve">ontributions of the </w:t>
      </w:r>
      <w:r w:rsidR="00C94992" w:rsidRPr="007D3D58">
        <w:rPr>
          <w:rFonts w:ascii="Times New Roman" w:hAnsi="Times New Roman" w:cs="Times New Roman"/>
          <w:b/>
          <w:bCs/>
          <w:sz w:val="20"/>
          <w:szCs w:val="20"/>
        </w:rPr>
        <w:t>P</w:t>
      </w:r>
      <w:r w:rsidRPr="007D3D58">
        <w:rPr>
          <w:rFonts w:ascii="Times New Roman" w:hAnsi="Times New Roman" w:cs="Times New Roman"/>
          <w:b/>
          <w:bCs/>
          <w:sz w:val="20"/>
          <w:szCs w:val="20"/>
        </w:rPr>
        <w:t>aper</w:t>
      </w:r>
    </w:p>
    <w:p w14:paraId="4BEA2AD8" w14:textId="77777777" w:rsidR="00B2088E" w:rsidRPr="00386BF6" w:rsidRDefault="00B2088E" w:rsidP="00B2088E">
      <w:pPr>
        <w:ind w:firstLine="720"/>
        <w:jc w:val="both"/>
        <w:rPr>
          <w:rFonts w:ascii="Times New Roman" w:hAnsi="Times New Roman" w:cs="Times New Roman"/>
          <w:sz w:val="20"/>
          <w:szCs w:val="20"/>
        </w:rPr>
      </w:pPr>
      <w:r w:rsidRPr="00386BF6">
        <w:rPr>
          <w:rFonts w:ascii="Times New Roman" w:hAnsi="Times New Roman" w:cs="Times New Roman"/>
          <w:sz w:val="20"/>
          <w:szCs w:val="20"/>
        </w:rPr>
        <w:t xml:space="preserve">The contributions of this paper are multifaceted. </w:t>
      </w:r>
    </w:p>
    <w:p w14:paraId="4861475B" w14:textId="77777777" w:rsidR="00E42953" w:rsidRPr="00386BF6" w:rsidRDefault="00E42953" w:rsidP="00E42953">
      <w:pPr>
        <w:pStyle w:val="ListParagraph"/>
        <w:numPr>
          <w:ilvl w:val="0"/>
          <w:numId w:val="3"/>
        </w:numPr>
        <w:jc w:val="both"/>
        <w:rPr>
          <w:rFonts w:ascii="Times New Roman" w:hAnsi="Times New Roman" w:cs="Times New Roman"/>
          <w:sz w:val="20"/>
          <w:szCs w:val="20"/>
        </w:rPr>
      </w:pPr>
      <w:r w:rsidRPr="00386BF6">
        <w:rPr>
          <w:rFonts w:ascii="Times New Roman" w:hAnsi="Times New Roman" w:cs="Times New Roman"/>
          <w:sz w:val="20"/>
          <w:szCs w:val="20"/>
        </w:rPr>
        <w:t>Development of the Adaptive Multi-Layer Ensemble Learning (AMEL) framework, leveraging a multi-layer architecture to dynamically integrate diverse machine learning algorithms.</w:t>
      </w:r>
    </w:p>
    <w:p w14:paraId="56FB5AC7" w14:textId="77777777" w:rsidR="00E42953" w:rsidRPr="00386BF6" w:rsidRDefault="00E42953" w:rsidP="00E42953">
      <w:pPr>
        <w:pStyle w:val="ListParagraph"/>
        <w:numPr>
          <w:ilvl w:val="0"/>
          <w:numId w:val="3"/>
        </w:numPr>
        <w:jc w:val="both"/>
        <w:rPr>
          <w:rFonts w:ascii="Times New Roman" w:hAnsi="Times New Roman" w:cs="Times New Roman"/>
          <w:sz w:val="20"/>
          <w:szCs w:val="20"/>
        </w:rPr>
      </w:pPr>
      <w:r w:rsidRPr="00386BF6">
        <w:rPr>
          <w:rFonts w:ascii="Times New Roman" w:hAnsi="Times New Roman" w:cs="Times New Roman"/>
          <w:sz w:val="20"/>
          <w:szCs w:val="20"/>
        </w:rPr>
        <w:t xml:space="preserve">Demonstration of a 5-10% increase in prediction accuracy compared to </w:t>
      </w:r>
      <w:r w:rsidRPr="00386BF6">
        <w:rPr>
          <w:rFonts w:ascii="Times New Roman" w:hAnsi="Times New Roman" w:cs="Times New Roman"/>
          <w:sz w:val="20"/>
          <w:szCs w:val="20"/>
        </w:rPr>
        <w:lastRenderedPageBreak/>
        <w:t>traditional ensemble methods such as Bagging and Boosting.</w:t>
      </w:r>
    </w:p>
    <w:p w14:paraId="03D673A4" w14:textId="77777777" w:rsidR="00E42953" w:rsidRPr="00386BF6" w:rsidRDefault="00E42953" w:rsidP="00E42953">
      <w:pPr>
        <w:pStyle w:val="ListParagraph"/>
        <w:numPr>
          <w:ilvl w:val="0"/>
          <w:numId w:val="3"/>
        </w:numPr>
        <w:jc w:val="both"/>
        <w:rPr>
          <w:rFonts w:ascii="Times New Roman" w:hAnsi="Times New Roman" w:cs="Times New Roman"/>
          <w:sz w:val="20"/>
          <w:szCs w:val="20"/>
        </w:rPr>
      </w:pPr>
      <w:r w:rsidRPr="00386BF6">
        <w:rPr>
          <w:rFonts w:ascii="Times New Roman" w:hAnsi="Times New Roman" w:cs="Times New Roman"/>
          <w:sz w:val="20"/>
          <w:szCs w:val="20"/>
        </w:rPr>
        <w:t>Enhanced stability and robustness in the presence of noisy and imbalanced data, with a 15% reduction in prediction variance and a 20% improvement in F1 scores on average across evaluated datasets.</w:t>
      </w:r>
    </w:p>
    <w:p w14:paraId="551F0AE8" w14:textId="77777777" w:rsidR="00E42953" w:rsidRPr="00386BF6" w:rsidRDefault="00E42953" w:rsidP="00E42953">
      <w:pPr>
        <w:pStyle w:val="ListParagraph"/>
        <w:numPr>
          <w:ilvl w:val="0"/>
          <w:numId w:val="3"/>
        </w:numPr>
        <w:jc w:val="both"/>
        <w:rPr>
          <w:rFonts w:ascii="Times New Roman" w:hAnsi="Times New Roman" w:cs="Times New Roman"/>
          <w:sz w:val="20"/>
          <w:szCs w:val="20"/>
        </w:rPr>
      </w:pPr>
      <w:r w:rsidRPr="00386BF6">
        <w:rPr>
          <w:rFonts w:ascii="Times New Roman" w:hAnsi="Times New Roman" w:cs="Times New Roman"/>
          <w:sz w:val="20"/>
          <w:szCs w:val="20"/>
        </w:rPr>
        <w:t>Scalability and adaptability to different data types and sizes, making the framework flexible and suitable for various applications.</w:t>
      </w:r>
    </w:p>
    <w:p w14:paraId="22F24631" w14:textId="77777777" w:rsidR="00E42953" w:rsidRPr="00386BF6" w:rsidRDefault="00E42953" w:rsidP="00E42953">
      <w:pPr>
        <w:pStyle w:val="ListParagraph"/>
        <w:numPr>
          <w:ilvl w:val="0"/>
          <w:numId w:val="3"/>
        </w:numPr>
        <w:jc w:val="both"/>
        <w:rPr>
          <w:rFonts w:ascii="Times New Roman" w:hAnsi="Times New Roman" w:cs="Times New Roman"/>
          <w:sz w:val="20"/>
          <w:szCs w:val="20"/>
        </w:rPr>
      </w:pPr>
      <w:r w:rsidRPr="00386BF6">
        <w:rPr>
          <w:rFonts w:ascii="Times New Roman" w:hAnsi="Times New Roman" w:cs="Times New Roman"/>
          <w:sz w:val="20"/>
          <w:szCs w:val="20"/>
        </w:rPr>
        <w:t>Advancement of the state-of-the-art in ensemble learning, providing a more flexible, robust, and accurate solution for predictive modeling in big data analytics.</w:t>
      </w:r>
    </w:p>
    <w:p w14:paraId="05594294" w14:textId="77777777" w:rsidR="00E42953" w:rsidRPr="00386BF6" w:rsidRDefault="00E42953" w:rsidP="00E42953">
      <w:pPr>
        <w:pStyle w:val="ListParagraph"/>
        <w:numPr>
          <w:ilvl w:val="0"/>
          <w:numId w:val="3"/>
        </w:numPr>
        <w:jc w:val="both"/>
        <w:rPr>
          <w:rFonts w:ascii="Times New Roman" w:hAnsi="Times New Roman" w:cs="Times New Roman"/>
          <w:sz w:val="20"/>
          <w:szCs w:val="20"/>
        </w:rPr>
      </w:pPr>
      <w:r w:rsidRPr="00386BF6">
        <w:rPr>
          <w:rFonts w:ascii="Times New Roman" w:hAnsi="Times New Roman" w:cs="Times New Roman"/>
          <w:sz w:val="20"/>
          <w:szCs w:val="20"/>
        </w:rPr>
        <w:t>Significant practical implications for high-impact sectors such as healthcare and finance, improving decision-making processes and deriving meaningful insights from large datasets.</w:t>
      </w:r>
      <w:r w:rsidR="00B2088E" w:rsidRPr="00386BF6">
        <w:rPr>
          <w:rFonts w:ascii="Times New Roman" w:hAnsi="Times New Roman" w:cs="Times New Roman"/>
          <w:sz w:val="20"/>
          <w:szCs w:val="20"/>
        </w:rPr>
        <w:t xml:space="preserve"> </w:t>
      </w:r>
    </w:p>
    <w:p w14:paraId="184B50D4" w14:textId="5BC02C29" w:rsidR="00B2088E" w:rsidRPr="00386BF6" w:rsidRDefault="00B2088E" w:rsidP="00E42953">
      <w:pPr>
        <w:ind w:firstLine="720"/>
        <w:jc w:val="both"/>
        <w:rPr>
          <w:rFonts w:ascii="Times New Roman" w:hAnsi="Times New Roman" w:cs="Times New Roman"/>
          <w:sz w:val="20"/>
          <w:szCs w:val="20"/>
        </w:rPr>
      </w:pPr>
      <w:r w:rsidRPr="00386BF6">
        <w:rPr>
          <w:rFonts w:ascii="Times New Roman" w:hAnsi="Times New Roman" w:cs="Times New Roman"/>
          <w:sz w:val="20"/>
          <w:szCs w:val="20"/>
        </w:rPr>
        <w:t>These advancements underscore the potential of AMEL to improve decision-making processes and derive meaningful insights from large and complex datasets.</w:t>
      </w:r>
      <w:r w:rsidR="00BC783C" w:rsidRPr="00386BF6">
        <w:rPr>
          <w:rFonts w:ascii="Times New Roman" w:hAnsi="Times New Roman" w:cs="Times New Roman"/>
          <w:sz w:val="20"/>
          <w:szCs w:val="20"/>
        </w:rPr>
        <w:t xml:space="preserve"> The rest of the paper is structured as follows: Section 2 reviews related works in ensemble learning and adaptive algorithms</w:t>
      </w:r>
      <w:r w:rsidR="005F65AA" w:rsidRPr="00386BF6">
        <w:rPr>
          <w:rFonts w:ascii="Times New Roman" w:hAnsi="Times New Roman" w:cs="Times New Roman"/>
          <w:sz w:val="20"/>
          <w:szCs w:val="20"/>
        </w:rPr>
        <w:t>.</w:t>
      </w:r>
      <w:r w:rsidR="00BC783C" w:rsidRPr="00386BF6">
        <w:rPr>
          <w:rFonts w:ascii="Times New Roman" w:hAnsi="Times New Roman" w:cs="Times New Roman"/>
          <w:sz w:val="20"/>
          <w:szCs w:val="20"/>
        </w:rPr>
        <w:t xml:space="preserve"> Section </w:t>
      </w:r>
      <w:r w:rsidR="005F65AA" w:rsidRPr="00386BF6">
        <w:rPr>
          <w:rFonts w:ascii="Times New Roman" w:hAnsi="Times New Roman" w:cs="Times New Roman"/>
          <w:sz w:val="20"/>
          <w:szCs w:val="20"/>
        </w:rPr>
        <w:t>3</w:t>
      </w:r>
      <w:r w:rsidR="00BC783C" w:rsidRPr="00386BF6">
        <w:rPr>
          <w:rFonts w:ascii="Times New Roman" w:hAnsi="Times New Roman" w:cs="Times New Roman"/>
          <w:sz w:val="20"/>
          <w:szCs w:val="20"/>
        </w:rPr>
        <w:t xml:space="preserve"> describes the methodology and algorithm of AMEL, including its multi-layer architecture and adaptive weighting mechanisms. Section </w:t>
      </w:r>
      <w:r w:rsidR="005F65AA" w:rsidRPr="00386BF6">
        <w:rPr>
          <w:rFonts w:ascii="Times New Roman" w:hAnsi="Times New Roman" w:cs="Times New Roman"/>
          <w:sz w:val="20"/>
          <w:szCs w:val="20"/>
        </w:rPr>
        <w:t>4</w:t>
      </w:r>
      <w:r w:rsidR="00BC783C" w:rsidRPr="00386BF6">
        <w:rPr>
          <w:rFonts w:ascii="Times New Roman" w:hAnsi="Times New Roman" w:cs="Times New Roman"/>
          <w:sz w:val="20"/>
          <w:szCs w:val="20"/>
        </w:rPr>
        <w:t xml:space="preserve"> presents the experimental setup, results, and analysis, including comparisons with traditional ensemble methods. Section </w:t>
      </w:r>
      <w:r w:rsidR="005F65AA" w:rsidRPr="00386BF6">
        <w:rPr>
          <w:rFonts w:ascii="Times New Roman" w:hAnsi="Times New Roman" w:cs="Times New Roman"/>
          <w:sz w:val="20"/>
          <w:szCs w:val="20"/>
        </w:rPr>
        <w:t>5</w:t>
      </w:r>
      <w:r w:rsidR="00BC783C" w:rsidRPr="00386BF6">
        <w:rPr>
          <w:rFonts w:ascii="Times New Roman" w:hAnsi="Times New Roman" w:cs="Times New Roman"/>
          <w:sz w:val="20"/>
          <w:szCs w:val="20"/>
        </w:rPr>
        <w:t xml:space="preserve"> concludes the paper and discusses potential future work. Finally, the overall process flow of AMEL is illustrated with diagrams to provide a comprehensive understanding of the proposed approach.</w:t>
      </w:r>
    </w:p>
    <w:p w14:paraId="1598EACF" w14:textId="60230715" w:rsidR="002E0099" w:rsidRPr="007D3D58" w:rsidRDefault="00970C4F" w:rsidP="00D23D55">
      <w:pPr>
        <w:jc w:val="center"/>
        <w:rPr>
          <w:rFonts w:ascii="Times New Roman" w:hAnsi="Times New Roman" w:cs="Times New Roman"/>
          <w:b/>
          <w:bCs/>
          <w:sz w:val="20"/>
          <w:szCs w:val="20"/>
        </w:rPr>
      </w:pPr>
      <w:r w:rsidRPr="007D3D58">
        <w:rPr>
          <w:rFonts w:ascii="Times New Roman" w:hAnsi="Times New Roman" w:cs="Times New Roman"/>
          <w:b/>
          <w:bCs/>
          <w:sz w:val="20"/>
          <w:szCs w:val="20"/>
        </w:rPr>
        <w:t>II RELATED WORK</w:t>
      </w:r>
    </w:p>
    <w:p w14:paraId="34EA27DD" w14:textId="12EE85BC" w:rsidR="00701A65" w:rsidRPr="00386BF6" w:rsidRDefault="00701A65" w:rsidP="002E0099">
      <w:pPr>
        <w:jc w:val="both"/>
        <w:rPr>
          <w:rFonts w:ascii="Times New Roman" w:hAnsi="Times New Roman" w:cs="Times New Roman"/>
          <w:sz w:val="20"/>
          <w:szCs w:val="20"/>
        </w:rPr>
      </w:pPr>
      <w:r w:rsidRPr="00386BF6">
        <w:rPr>
          <w:rFonts w:ascii="Times New Roman" w:hAnsi="Times New Roman" w:cs="Times New Roman"/>
          <w:b/>
          <w:bCs/>
          <w:sz w:val="20"/>
          <w:szCs w:val="20"/>
        </w:rPr>
        <w:tab/>
      </w:r>
      <w:r w:rsidR="002F68D8" w:rsidRPr="00386BF6">
        <w:rPr>
          <w:rFonts w:ascii="Times New Roman" w:hAnsi="Times New Roman" w:cs="Times New Roman"/>
          <w:sz w:val="20"/>
          <w:szCs w:val="20"/>
        </w:rPr>
        <w:t>The development of the Adaptive Multi-Layer Ensemble Learning (AMEL) framework builds on a rich history of ensemble learning techniques and adaptive algorithms. This section reviews significant research and methodologies that have influenced the creation of AMEL, focusing on ensemble learning methods, adaptive algorithms, and their applications in big data analytics.</w:t>
      </w:r>
    </w:p>
    <w:p w14:paraId="3B94C218" w14:textId="084CBFC8" w:rsidR="002F68D8" w:rsidRPr="00386BF6" w:rsidRDefault="002F68D8" w:rsidP="002E0099">
      <w:pPr>
        <w:jc w:val="both"/>
        <w:rPr>
          <w:rFonts w:ascii="Times New Roman" w:hAnsi="Times New Roman" w:cs="Times New Roman"/>
          <w:sz w:val="20"/>
          <w:szCs w:val="20"/>
        </w:rPr>
      </w:pPr>
      <w:r w:rsidRPr="00386BF6">
        <w:rPr>
          <w:rFonts w:ascii="Times New Roman" w:hAnsi="Times New Roman" w:cs="Times New Roman"/>
          <w:sz w:val="20"/>
          <w:szCs w:val="20"/>
        </w:rPr>
        <w:tab/>
        <w:t xml:space="preserve">Bagging, introduced by Breiman (1996), is a powerful ensemble method designed to improve the stability and accuracy of machine learning models. By generating multiple versions of a model using different bootstrap samples of the data, Bagging reduces variance and prevents overfitting. This method has been particularly effective in enhancing the performance of high-variance models such as decision trees. Boosting, developed by Freund and Schapire (1997), is another influential ensemble technique that sequentially trains models to focus on the errors made by previous models, thereby reducing bias and improving accuracy. AdaBoost, a popular boosting algorithm, increases the weights of misclassified instances, compelling </w:t>
      </w:r>
      <w:r w:rsidRPr="00386BF6">
        <w:rPr>
          <w:rFonts w:ascii="Times New Roman" w:hAnsi="Times New Roman" w:cs="Times New Roman"/>
          <w:sz w:val="20"/>
          <w:szCs w:val="20"/>
        </w:rPr>
        <w:t xml:space="preserve">subsequent models to pay more attention to these challenging cases. This iterative process significantly enhances the performance of weak learners, making Boosting a powerful tool for binary classification tasks. </w:t>
      </w:r>
    </w:p>
    <w:p w14:paraId="7C204B60" w14:textId="1CA45448" w:rsidR="002F68D8" w:rsidRPr="00386BF6" w:rsidRDefault="002F68D8" w:rsidP="002E0099">
      <w:pPr>
        <w:jc w:val="both"/>
        <w:rPr>
          <w:rFonts w:ascii="Times New Roman" w:hAnsi="Times New Roman" w:cs="Times New Roman"/>
          <w:sz w:val="20"/>
          <w:szCs w:val="20"/>
        </w:rPr>
      </w:pPr>
      <w:r w:rsidRPr="00386BF6">
        <w:rPr>
          <w:rFonts w:ascii="Times New Roman" w:hAnsi="Times New Roman" w:cs="Times New Roman"/>
          <w:sz w:val="20"/>
          <w:szCs w:val="20"/>
        </w:rPr>
        <w:tab/>
        <w:t>Random Forest, proposed by Breiman (2001), extends Bagging by incorporating feature randomness. Each decision tree in a Random Forest is built using a random subset of features, introducing additional diversity among the trees. This approach further reduces variance and improves model robustness. Random Forests have become a standard in machine learning due to their versatility and high performance across various tasks. Stacking, or stacked generalization, is an ensemble method that combines multiple base learners using a meta-learner. Proposed by Wolpert (1992), Stacking involves training base learners on the original dataset and then training a meta-learner on the outputs of these base learners. The meta-learner optimally combines the base learners’ predictions, leveraging their individual strengths to produce a superior overall model. Stacking is particularly effective at capturing complex interactions that single models might miss​.</w:t>
      </w:r>
    </w:p>
    <w:p w14:paraId="4D91FA7E" w14:textId="1A97834C" w:rsidR="00D20DDD" w:rsidRPr="00386BF6" w:rsidRDefault="002F68D8" w:rsidP="002F68D8">
      <w:pPr>
        <w:jc w:val="both"/>
        <w:rPr>
          <w:rFonts w:ascii="Times New Roman" w:hAnsi="Times New Roman" w:cs="Times New Roman"/>
          <w:sz w:val="20"/>
          <w:szCs w:val="20"/>
        </w:rPr>
      </w:pPr>
      <w:r w:rsidRPr="00386BF6">
        <w:rPr>
          <w:rFonts w:ascii="Times New Roman" w:hAnsi="Times New Roman" w:cs="Times New Roman"/>
          <w:sz w:val="20"/>
          <w:szCs w:val="20"/>
        </w:rPr>
        <w:tab/>
        <w:t>Adaptive algorithms dynamically adjust their parameters based on the data and learning environment, enhancing model performance under varying conditions. AdaBoost is a prime example, modifying the weights of training instances to focus on misclassified examples, thereby refining the model iteratively. Adaptive Gradient Descent methods, such as AdaGrad, RMSprop, and Adam, have revolutionized deep learning by dynamically adjusting learning rates based on the magnitude of the gradients (Duchi, Hazan, &amp; Singer, 2011). These methods allow for more efficient training of complex models, particularly in the context of large-scale data</w:t>
      </w:r>
      <w:r w:rsidR="00D20DDD" w:rsidRPr="00386BF6">
        <w:rPr>
          <w:rFonts w:ascii="Times New Roman" w:hAnsi="Times New Roman" w:cs="Times New Roman"/>
          <w:sz w:val="20"/>
          <w:szCs w:val="20"/>
        </w:rPr>
        <w:t xml:space="preserve">. Ensemble learning techniques have been widely applied in healthcare for tasks such as disease prediction and patient outcome analysis. For instance, Esteva et al. (2017) demonstrated the use of deep neural networks, enhanced by ensemble methods, to achieve dermatologist-level accuracy in skin cancer classification. The robustness and accuracy of ensemble models make them well-suited for critical healthcare applications. </w:t>
      </w:r>
    </w:p>
    <w:p w14:paraId="23C108D6" w14:textId="2886DB38" w:rsidR="00A14625" w:rsidRPr="00386BF6" w:rsidRDefault="00A14625" w:rsidP="002F68D8">
      <w:pPr>
        <w:jc w:val="both"/>
        <w:rPr>
          <w:rFonts w:ascii="Times New Roman" w:hAnsi="Times New Roman" w:cs="Times New Roman"/>
          <w:sz w:val="20"/>
          <w:szCs w:val="20"/>
        </w:rPr>
      </w:pPr>
      <w:r w:rsidRPr="00386BF6">
        <w:rPr>
          <w:rFonts w:ascii="Times New Roman" w:hAnsi="Times New Roman" w:cs="Times New Roman"/>
          <w:sz w:val="20"/>
          <w:szCs w:val="20"/>
        </w:rPr>
        <w:tab/>
        <w:t xml:space="preserve">In 2020, Liu et al. explored the use of ensemble deep learning models for healthcare applications, particularly focusing on predicting patient outcomes and diagnosing diseases. Their study demonstrated that combining multiple deep learning models significantly improves predictive accuracy and robustness, especially in complex medical datasets with heterogeneous features. Similarly, Ke et al. (2020) focused on advancements in Gradient Boosting Decision Trees (GBDT), including LightGBM and XGBoost, which have become state-of-the-art for many machine learning tasks due to their computational efficiency and scalability. These methods are particularly effective for structured data, though they operate as single ensemble methods. Kingma and Ba's introduction of the Adam optimizer in 2015 continued to be highly relevant and </w:t>
      </w:r>
      <w:r w:rsidRPr="00386BF6">
        <w:rPr>
          <w:rFonts w:ascii="Times New Roman" w:hAnsi="Times New Roman" w:cs="Times New Roman"/>
          <w:sz w:val="20"/>
          <w:szCs w:val="20"/>
        </w:rPr>
        <w:lastRenderedPageBreak/>
        <w:t>widely used in subsequent years, including 2020 and beyond. Adam's ability to dynamically adjust learning rates during training significantly improves convergence speed and performance for deep neural networks. Additionally, Finn et al.'s work on Model-Agnostic Meta-Learning (MAML) in 2017 remained influential, with meta-learning approaches continuing to be explored for rapid adaptation to new tasks with minimal data.</w:t>
      </w:r>
    </w:p>
    <w:p w14:paraId="3766B6F6" w14:textId="77777777" w:rsidR="00A957E3" w:rsidRPr="00386BF6" w:rsidRDefault="00A14625" w:rsidP="00A957E3">
      <w:pPr>
        <w:jc w:val="both"/>
        <w:rPr>
          <w:rFonts w:ascii="Times New Roman" w:hAnsi="Times New Roman" w:cs="Times New Roman"/>
          <w:sz w:val="20"/>
          <w:szCs w:val="20"/>
        </w:rPr>
      </w:pPr>
      <w:r w:rsidRPr="00386BF6">
        <w:rPr>
          <w:rFonts w:ascii="Times New Roman" w:hAnsi="Times New Roman" w:cs="Times New Roman"/>
          <w:sz w:val="20"/>
          <w:szCs w:val="20"/>
        </w:rPr>
        <w:tab/>
        <w:t>In the realm of big data analytics, Zaharia et al. (2020) discussed advancements in scalable machine learning frameworks such as Apache Spark MLlib, which facilitate the handling of large-scale data through distributed processing. This is essential for big data analytics, ensuring that machine learning models can scale efficiently. Meanwhile, Chen et al. (2020) explored hybrid models combining machine learning with econometric models for financial forecasting. Their study showed that hybrid models can capture both the statistical properties of financial data and the predictive power of machine learning.</w:t>
      </w:r>
      <w:r w:rsidR="00A957E3" w:rsidRPr="00386BF6">
        <w:rPr>
          <w:rFonts w:ascii="Times New Roman" w:hAnsi="Times New Roman" w:cs="Times New Roman"/>
          <w:sz w:val="20"/>
          <w:szCs w:val="20"/>
        </w:rPr>
        <w:t xml:space="preserve"> In 2021, Zhang et al. investigated the integration of ensemble learning with reinforcement learning for real-time decision-making applications. Their findings indicated that combining these techniques could enhance the adaptability and accuracy of predictive models in dynamic environments. Furthermore, Lee et al. (2021) emphasized the importance of explainability in ensemble models, developing methods to improve the interpretability of complex ensemble systems without sacrificing performance.</w:t>
      </w:r>
    </w:p>
    <w:p w14:paraId="2BC3BDBD" w14:textId="7BFABC4B" w:rsidR="00A14625" w:rsidRPr="00386BF6" w:rsidRDefault="00A957E3" w:rsidP="00A957E3">
      <w:pPr>
        <w:ind w:firstLine="720"/>
        <w:jc w:val="both"/>
        <w:rPr>
          <w:rFonts w:ascii="Times New Roman" w:hAnsi="Times New Roman" w:cs="Times New Roman"/>
          <w:sz w:val="20"/>
          <w:szCs w:val="20"/>
        </w:rPr>
      </w:pPr>
      <w:r w:rsidRPr="00386BF6">
        <w:rPr>
          <w:rFonts w:ascii="Times New Roman" w:hAnsi="Times New Roman" w:cs="Times New Roman"/>
          <w:sz w:val="20"/>
          <w:szCs w:val="20"/>
        </w:rPr>
        <w:t>In 2022, Smith et al. advanced the field by proposing a hybrid ensemble approach that combines traditional ensemble methods with deep learning models to tackle the challenges posed by high-dimensional and unstructured data. This hybrid approach was particularly effective in fields such as natural language processing and image recognition. Additionally, Patel et al. (2022) highlighted the significance of incorporating domain knowledge into ensemble models to enhance their predictive power and relevance in specific applications, such as genomics and personalized medicine.</w:t>
      </w:r>
    </w:p>
    <w:p w14:paraId="1572CEDD" w14:textId="2BBC8589" w:rsidR="001755D2" w:rsidRPr="007D3D58" w:rsidRDefault="001755D2" w:rsidP="00AB2858">
      <w:pPr>
        <w:rPr>
          <w:rFonts w:ascii="Times New Roman" w:hAnsi="Times New Roman" w:cs="Times New Roman"/>
          <w:b/>
          <w:bCs/>
          <w:sz w:val="20"/>
          <w:szCs w:val="20"/>
        </w:rPr>
      </w:pPr>
      <w:r w:rsidRPr="007D3D58">
        <w:rPr>
          <w:rFonts w:ascii="Times New Roman" w:hAnsi="Times New Roman" w:cs="Times New Roman"/>
          <w:b/>
          <w:bCs/>
          <w:sz w:val="20"/>
          <w:szCs w:val="20"/>
        </w:rPr>
        <w:t>2.1 Research Gap</w:t>
      </w:r>
    </w:p>
    <w:p w14:paraId="0DA382BA" w14:textId="47FEBF84" w:rsidR="00D20DDD" w:rsidRPr="00386BF6" w:rsidRDefault="001755D2" w:rsidP="002F68D8">
      <w:pPr>
        <w:jc w:val="both"/>
        <w:rPr>
          <w:rFonts w:ascii="Times New Roman" w:hAnsi="Times New Roman" w:cs="Times New Roman"/>
          <w:sz w:val="20"/>
          <w:szCs w:val="20"/>
        </w:rPr>
      </w:pPr>
      <w:r w:rsidRPr="00386BF6">
        <w:rPr>
          <w:rFonts w:ascii="Times New Roman" w:hAnsi="Times New Roman" w:cs="Times New Roman"/>
          <w:sz w:val="20"/>
          <w:szCs w:val="20"/>
        </w:rPr>
        <w:tab/>
        <w:t>Despite the success of ensemble methods and adaptive algorithms, challenges remain in handling the complexities of big data. Traditional ensemble techniques like Bagging and Boosting, while effective, can still be susceptible to overfitting and may not fully exploit the diversity of available models. Additionally, scalability is a concern when dealing with extremely large datasets. The AMEL framework addresses these gaps by combining a multi-layer architecture with adaptive weighting mechanisms. This innovative approach allows for continuous adaptation and integration of new models, enhancing scalability and robustness. By dynamically adjusting the contributions of base learners, AMEL effectively reduces bias and variance, providing a more accurate and stable solution for big data analytics.</w:t>
      </w:r>
    </w:p>
    <w:p w14:paraId="6B604005" w14:textId="79FB5E71" w:rsidR="002E0099" w:rsidRPr="007D3D58" w:rsidRDefault="002E0099" w:rsidP="00D23D55">
      <w:pPr>
        <w:jc w:val="center"/>
        <w:rPr>
          <w:rFonts w:ascii="Times New Roman" w:hAnsi="Times New Roman" w:cs="Times New Roman"/>
          <w:b/>
          <w:bCs/>
          <w:sz w:val="20"/>
          <w:szCs w:val="20"/>
        </w:rPr>
      </w:pPr>
      <w:r w:rsidRPr="007D3D58">
        <w:rPr>
          <w:rFonts w:ascii="Times New Roman" w:hAnsi="Times New Roman" w:cs="Times New Roman"/>
          <w:b/>
          <w:bCs/>
          <w:sz w:val="20"/>
          <w:szCs w:val="20"/>
        </w:rPr>
        <w:t>III METHODOLOGY</w:t>
      </w:r>
    </w:p>
    <w:p w14:paraId="5707B359" w14:textId="76A4376F" w:rsidR="00DD77D2" w:rsidRPr="00386BF6" w:rsidRDefault="002E0099" w:rsidP="00DD77D2">
      <w:pPr>
        <w:jc w:val="both"/>
        <w:rPr>
          <w:rFonts w:ascii="Times New Roman" w:hAnsi="Times New Roman" w:cs="Times New Roman"/>
          <w:sz w:val="20"/>
          <w:szCs w:val="20"/>
        </w:rPr>
      </w:pPr>
      <w:r w:rsidRPr="00386BF6">
        <w:rPr>
          <w:rFonts w:ascii="Times New Roman" w:hAnsi="Times New Roman" w:cs="Times New Roman"/>
          <w:sz w:val="20"/>
          <w:szCs w:val="20"/>
        </w:rPr>
        <w:tab/>
        <w:t>The Adaptive Multi-Layer Ensemble Learning (AMEL) framework is designed to address the limitations of traditional ensemble methods by integrating a multi-layer architecture with adaptive weighting mechanisms. The primary objective of this methodology is to enhance the predictive accuracy, robustness, and scalability of machine learning models when applied to large and complex datasets. By dynamically adjusting the contributions of various base learners, AMEL effectively reduces bias and variance, thereby improving overall model performance. This section provides a detailed description of the AMEL framework, including its layered architecture and adaptive weighting mechanisms, and outlines the algorithm with necessary equations to demonstrate the operational flow and effectiveness of the proposed approach.</w:t>
      </w:r>
      <w:r w:rsidR="00614D95" w:rsidRPr="00386BF6">
        <w:rPr>
          <w:rFonts w:ascii="Times New Roman" w:hAnsi="Times New Roman" w:cs="Times New Roman"/>
          <w:sz w:val="20"/>
          <w:szCs w:val="20"/>
        </w:rPr>
        <w:t xml:space="preserve"> Figure 1 gives the overall methodology of the proposed AMEL framework. </w:t>
      </w:r>
    </w:p>
    <w:p w14:paraId="031F1F70" w14:textId="72D7ACA9" w:rsidR="00DD77D2" w:rsidRPr="00386BF6" w:rsidRDefault="00DD77D2" w:rsidP="00DD77D2">
      <w:pPr>
        <w:jc w:val="center"/>
        <w:rPr>
          <w:rFonts w:ascii="Times New Roman" w:hAnsi="Times New Roman" w:cs="Times New Roman"/>
          <w:sz w:val="20"/>
          <w:szCs w:val="20"/>
        </w:rPr>
      </w:pPr>
      <w:r w:rsidRPr="00386BF6">
        <w:rPr>
          <w:rFonts w:ascii="Times New Roman" w:hAnsi="Times New Roman" w:cs="Times New Roman"/>
          <w:noProof/>
          <w:sz w:val="20"/>
          <w:szCs w:val="20"/>
        </w:rPr>
        <w:drawing>
          <wp:inline distT="0" distB="0" distL="0" distR="0" wp14:anchorId="60D37B75" wp14:editId="50705087">
            <wp:extent cx="3318725" cy="2991485"/>
            <wp:effectExtent l="0" t="0" r="0" b="0"/>
            <wp:docPr id="407735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rcRect t="6105" b="7654"/>
                    <a:stretch/>
                  </pic:blipFill>
                  <pic:spPr bwMode="auto">
                    <a:xfrm>
                      <a:off x="0" y="0"/>
                      <a:ext cx="3330210" cy="3001837"/>
                    </a:xfrm>
                    <a:prstGeom prst="rect">
                      <a:avLst/>
                    </a:prstGeom>
                    <a:noFill/>
                    <a:ln>
                      <a:noFill/>
                    </a:ln>
                    <a:extLst>
                      <a:ext uri="{53640926-AAD7-44D8-BBD7-CCE9431645EC}">
                        <a14:shadowObscured xmlns:a14="http://schemas.microsoft.com/office/drawing/2010/main"/>
                      </a:ext>
                    </a:extLst>
                  </pic:spPr>
                </pic:pic>
              </a:graphicData>
            </a:graphic>
          </wp:inline>
        </w:drawing>
      </w:r>
    </w:p>
    <w:p w14:paraId="50059B88" w14:textId="32ED88D6" w:rsidR="00DD77D2" w:rsidRPr="00386BF6" w:rsidRDefault="00DD77D2" w:rsidP="00DD77D2">
      <w:pPr>
        <w:jc w:val="center"/>
        <w:rPr>
          <w:rFonts w:ascii="Times New Roman" w:hAnsi="Times New Roman" w:cs="Times New Roman"/>
          <w:b/>
          <w:bCs/>
          <w:sz w:val="20"/>
          <w:szCs w:val="20"/>
        </w:rPr>
      </w:pPr>
      <w:r w:rsidRPr="00386BF6">
        <w:rPr>
          <w:rFonts w:ascii="Times New Roman" w:hAnsi="Times New Roman" w:cs="Times New Roman"/>
          <w:b/>
          <w:bCs/>
          <w:sz w:val="20"/>
          <w:szCs w:val="20"/>
        </w:rPr>
        <w:t>Figure 1 Proposed Methodology</w:t>
      </w:r>
    </w:p>
    <w:p w14:paraId="1FDE1683" w14:textId="02E08A2A" w:rsidR="00DC5855" w:rsidRPr="007D3D58" w:rsidRDefault="00DC5855" w:rsidP="00AB2858">
      <w:pPr>
        <w:rPr>
          <w:rFonts w:ascii="Times New Roman" w:hAnsi="Times New Roman" w:cs="Times New Roman"/>
          <w:b/>
          <w:bCs/>
          <w:sz w:val="20"/>
          <w:szCs w:val="20"/>
        </w:rPr>
      </w:pPr>
      <w:r w:rsidRPr="007D3D58">
        <w:rPr>
          <w:rFonts w:ascii="Times New Roman" w:hAnsi="Times New Roman" w:cs="Times New Roman"/>
          <w:b/>
          <w:bCs/>
          <w:sz w:val="20"/>
          <w:szCs w:val="20"/>
        </w:rPr>
        <w:t>3.1 Layered Architecture</w:t>
      </w:r>
    </w:p>
    <w:p w14:paraId="1FA30A68" w14:textId="77777777" w:rsidR="00DC5855" w:rsidRPr="00386BF6" w:rsidRDefault="00DC5855" w:rsidP="00DC5855">
      <w:pPr>
        <w:jc w:val="both"/>
        <w:rPr>
          <w:rFonts w:ascii="Times New Roman" w:hAnsi="Times New Roman" w:cs="Times New Roman"/>
          <w:sz w:val="20"/>
          <w:szCs w:val="20"/>
        </w:rPr>
      </w:pPr>
      <w:r w:rsidRPr="00386BF6">
        <w:rPr>
          <w:rFonts w:ascii="Times New Roman" w:hAnsi="Times New Roman" w:cs="Times New Roman"/>
          <w:b/>
          <w:bCs/>
          <w:sz w:val="20"/>
          <w:szCs w:val="20"/>
        </w:rPr>
        <w:tab/>
      </w:r>
      <w:r w:rsidRPr="00386BF6">
        <w:rPr>
          <w:rFonts w:ascii="Times New Roman" w:hAnsi="Times New Roman" w:cs="Times New Roman"/>
          <w:sz w:val="20"/>
          <w:szCs w:val="20"/>
        </w:rPr>
        <w:t>The Adaptive Multi-Layer Ensemble Learning (AMEL) framework is structured around a multi-layer architecture designed to enhance predictive accuracy and robustness. This architecture consists of several interconnected layers, each responsible for a specific aspect of the ensemble learning process. The primary goal of this layered design is to allow for continuous adaptation and integration of diverse machine learning models, thereby reducing bias and variance.</w:t>
      </w:r>
    </w:p>
    <w:p w14:paraId="4CD307BB" w14:textId="2D34BDAE" w:rsidR="00DC5855" w:rsidRPr="00386BF6" w:rsidRDefault="00DC5855" w:rsidP="00DC5855">
      <w:pPr>
        <w:ind w:firstLine="720"/>
        <w:jc w:val="both"/>
        <w:rPr>
          <w:rFonts w:ascii="Times New Roman" w:hAnsi="Times New Roman" w:cs="Times New Roman"/>
          <w:sz w:val="20"/>
          <w:szCs w:val="20"/>
        </w:rPr>
      </w:pPr>
      <w:r w:rsidRPr="00386BF6">
        <w:rPr>
          <w:rFonts w:ascii="Times New Roman" w:hAnsi="Times New Roman" w:cs="Times New Roman"/>
          <w:sz w:val="20"/>
          <w:szCs w:val="20"/>
        </w:rPr>
        <w:t xml:space="preserve">The first layer, the Input Layer, is responsible for data preprocessing. Here, raw data is cleaned, normalized, and transformed to ensure it is suitable for training machine learning models. This preprocessing step includes handling missing values, encoding categorical variables, and performing feature scaling. The pre-processed data is then split into training and </w:t>
      </w:r>
      <w:r w:rsidRPr="00386BF6">
        <w:rPr>
          <w:rFonts w:ascii="Times New Roman" w:hAnsi="Times New Roman" w:cs="Times New Roman"/>
          <w:sz w:val="20"/>
          <w:szCs w:val="20"/>
        </w:rPr>
        <w:lastRenderedPageBreak/>
        <w:t>validation sets, which are crucial for model evaluation and adjustment.</w:t>
      </w:r>
    </w:p>
    <w:p w14:paraId="56DC6381" w14:textId="2178DCAC" w:rsidR="00DC5855" w:rsidRPr="00386BF6" w:rsidRDefault="00DC5855" w:rsidP="00DC5855">
      <w:pPr>
        <w:ind w:firstLine="720"/>
        <w:jc w:val="both"/>
        <w:rPr>
          <w:rFonts w:ascii="Times New Roman" w:hAnsi="Times New Roman" w:cs="Times New Roman"/>
          <w:sz w:val="20"/>
          <w:szCs w:val="20"/>
        </w:rPr>
      </w:pPr>
      <w:r w:rsidRPr="00386BF6">
        <w:rPr>
          <w:rFonts w:ascii="Times New Roman" w:hAnsi="Times New Roman" w:cs="Times New Roman"/>
          <w:sz w:val="20"/>
          <w:szCs w:val="20"/>
        </w:rPr>
        <w:t>The Base Learners Layer follows, where multiple base learners are trained on the pre-processed training data. These base learners can be a variety of machine learning algorithms, such as Decision Trees, Support Vector Machines (SVMs), and Neural Networks. By using a diverse set of models, the framework aims to capture different patterns and relationships within the data.</w:t>
      </w:r>
    </w:p>
    <w:p w14:paraId="5FE22C25" w14:textId="77777777" w:rsidR="00DC5855" w:rsidRPr="00386BF6" w:rsidRDefault="00DC5855" w:rsidP="00DC5855">
      <w:pPr>
        <w:ind w:firstLine="720"/>
        <w:jc w:val="both"/>
        <w:rPr>
          <w:rFonts w:ascii="Times New Roman" w:hAnsi="Times New Roman" w:cs="Times New Roman"/>
          <w:sz w:val="20"/>
          <w:szCs w:val="20"/>
        </w:rPr>
      </w:pPr>
      <w:r w:rsidRPr="00386BF6">
        <w:rPr>
          <w:rFonts w:ascii="Times New Roman" w:hAnsi="Times New Roman" w:cs="Times New Roman"/>
          <w:sz w:val="20"/>
          <w:szCs w:val="20"/>
        </w:rPr>
        <w:t>Next, the Intermediate Layers come into play. These layers are critical for combining the predictions from the base learners. Each intermediate layer employs adaptive weighting mechanisms to dynamically adjust the contributions of each base learner based on their performance. The weighted predictions are then passed through successive intermediate layers, which further refine and aggregate the results. This multi-layer approach helps to progressively reduce both bias and variance in the final predictions.</w:t>
      </w:r>
    </w:p>
    <w:p w14:paraId="02C470F2" w14:textId="77777777" w:rsidR="00DC5855" w:rsidRPr="00386BF6" w:rsidRDefault="00DC5855" w:rsidP="00DC5855">
      <w:pPr>
        <w:ind w:firstLine="720"/>
        <w:jc w:val="both"/>
        <w:rPr>
          <w:rFonts w:ascii="Times New Roman" w:hAnsi="Times New Roman" w:cs="Times New Roman"/>
          <w:sz w:val="20"/>
          <w:szCs w:val="20"/>
        </w:rPr>
      </w:pPr>
      <w:r w:rsidRPr="00386BF6">
        <w:rPr>
          <w:rFonts w:ascii="Times New Roman" w:hAnsi="Times New Roman" w:cs="Times New Roman"/>
          <w:sz w:val="20"/>
          <w:szCs w:val="20"/>
        </w:rPr>
        <w:t>Finally, the Output Layer aggregates the predictions from the last intermediate layer to produce the final output. This layer ensures that the most accurate and robust predictions are made by integrating the refined results from the previous layers.</w:t>
      </w:r>
    </w:p>
    <w:p w14:paraId="3E8A79A6" w14:textId="5852001A" w:rsidR="00DC5855" w:rsidRPr="007D3D58" w:rsidRDefault="00EB543F" w:rsidP="00AB2858">
      <w:pPr>
        <w:rPr>
          <w:rFonts w:ascii="Times New Roman" w:hAnsi="Times New Roman" w:cs="Times New Roman"/>
          <w:b/>
          <w:bCs/>
          <w:sz w:val="20"/>
          <w:szCs w:val="20"/>
        </w:rPr>
      </w:pPr>
      <w:r w:rsidRPr="007D3D58">
        <w:rPr>
          <w:rFonts w:ascii="Times New Roman" w:hAnsi="Times New Roman" w:cs="Times New Roman"/>
          <w:b/>
          <w:bCs/>
          <w:sz w:val="20"/>
          <w:szCs w:val="20"/>
        </w:rPr>
        <w:t xml:space="preserve">3.2 Adaptive Weighting Mechanism </w:t>
      </w:r>
    </w:p>
    <w:p w14:paraId="50E1AC33" w14:textId="77777777" w:rsidR="00EB543F" w:rsidRPr="00386BF6" w:rsidRDefault="00EB543F" w:rsidP="00EB543F">
      <w:pPr>
        <w:jc w:val="both"/>
        <w:rPr>
          <w:rFonts w:ascii="Times New Roman" w:hAnsi="Times New Roman" w:cs="Times New Roman"/>
          <w:sz w:val="20"/>
          <w:szCs w:val="20"/>
        </w:rPr>
      </w:pPr>
      <w:r w:rsidRPr="00386BF6">
        <w:rPr>
          <w:rFonts w:ascii="Times New Roman" w:hAnsi="Times New Roman" w:cs="Times New Roman"/>
          <w:sz w:val="20"/>
          <w:szCs w:val="20"/>
        </w:rPr>
        <w:tab/>
        <w:t>A key feature of the AMEL framework is its adaptive weighting mechanism, which dynamically adjusts the weights of each model in the ensemble based on their performance. This mechanism is crucial for optimizing the contributions of individual models and ensuring that the overall ensemble adapts to changing data characteristics.</w:t>
      </w:r>
    </w:p>
    <w:p w14:paraId="7C97F99D" w14:textId="77777777" w:rsidR="00EB543F" w:rsidRPr="00386BF6" w:rsidRDefault="00EB543F" w:rsidP="00EB543F">
      <w:pPr>
        <w:ind w:firstLine="720"/>
        <w:jc w:val="both"/>
        <w:rPr>
          <w:rFonts w:ascii="Times New Roman" w:hAnsi="Times New Roman" w:cs="Times New Roman"/>
          <w:sz w:val="20"/>
          <w:szCs w:val="20"/>
        </w:rPr>
      </w:pPr>
      <w:r w:rsidRPr="00386BF6">
        <w:rPr>
          <w:rFonts w:ascii="Times New Roman" w:hAnsi="Times New Roman" w:cs="Times New Roman"/>
          <w:sz w:val="20"/>
          <w:szCs w:val="20"/>
        </w:rPr>
        <w:t>The adaptive weighting process begins by evaluating the performance of each base learner on the validation set. Common evaluation metrics such as accuracy, precision, recall, and F1 score are used to assess how well each model is performing. Based on these evaluations, the framework assigns higher weights to models that demonstrate superior performance and lower weights to those that perform poorly.</w:t>
      </w:r>
    </w:p>
    <w:p w14:paraId="6D4FFB1C" w14:textId="77777777" w:rsidR="00EB543F" w:rsidRPr="00386BF6" w:rsidRDefault="00EB543F" w:rsidP="00EB543F">
      <w:pPr>
        <w:ind w:firstLine="720"/>
        <w:jc w:val="both"/>
        <w:rPr>
          <w:rFonts w:ascii="Times New Roman" w:hAnsi="Times New Roman" w:cs="Times New Roman"/>
          <w:sz w:val="20"/>
          <w:szCs w:val="20"/>
        </w:rPr>
      </w:pPr>
      <w:r w:rsidRPr="00386BF6">
        <w:rPr>
          <w:rFonts w:ascii="Times New Roman" w:hAnsi="Times New Roman" w:cs="Times New Roman"/>
          <w:sz w:val="20"/>
          <w:szCs w:val="20"/>
        </w:rPr>
        <w:t>The weights are updated iteratively through the intermediate layers. In each layer, the weighted predictions from the previous layer are combined, and the performance of the resulting ensemble is evaluated. The weights are then adjusted accordingly, with more successful models receiving an increased weight and less successful ones seeing a decrease. This iterative adjustment helps to continuously fine-tune the ensemble, ensuring that it adapts to the data and improves over time.</w:t>
      </w:r>
    </w:p>
    <w:p w14:paraId="306163C6" w14:textId="77777777" w:rsidR="00EB543F" w:rsidRPr="00386BF6" w:rsidRDefault="00EB543F" w:rsidP="00EB543F">
      <w:pPr>
        <w:ind w:firstLine="720"/>
        <w:jc w:val="both"/>
        <w:rPr>
          <w:rFonts w:ascii="Times New Roman" w:hAnsi="Times New Roman" w:cs="Times New Roman"/>
          <w:sz w:val="20"/>
          <w:szCs w:val="20"/>
        </w:rPr>
      </w:pPr>
      <w:r w:rsidRPr="00386BF6">
        <w:rPr>
          <w:rFonts w:ascii="Times New Roman" w:hAnsi="Times New Roman" w:cs="Times New Roman"/>
          <w:sz w:val="20"/>
          <w:szCs w:val="20"/>
        </w:rPr>
        <w:t xml:space="preserve">The adaptive weighting mechanism is particularly effective in handling noisy and imbalanced data. By continuously evaluating and adjusting the weights, the framework can mitigate the impact of noisy predictions and enhance the robustness of the final output. This dynamic adjustment also allows the </w:t>
      </w:r>
      <w:r w:rsidRPr="00386BF6">
        <w:rPr>
          <w:rFonts w:ascii="Times New Roman" w:hAnsi="Times New Roman" w:cs="Times New Roman"/>
          <w:sz w:val="20"/>
          <w:szCs w:val="20"/>
        </w:rPr>
        <w:t>framework to maintain high performance across different types of data and applications.</w:t>
      </w:r>
    </w:p>
    <w:p w14:paraId="75B03BAA" w14:textId="1030168F" w:rsidR="002F5D2F" w:rsidRPr="00386BF6" w:rsidRDefault="002F5D2F" w:rsidP="002F5D2F">
      <w:pPr>
        <w:jc w:val="both"/>
        <w:rPr>
          <w:rFonts w:ascii="Times New Roman" w:hAnsi="Times New Roman" w:cs="Times New Roman"/>
          <w:b/>
          <w:bCs/>
          <w:sz w:val="20"/>
          <w:szCs w:val="20"/>
        </w:rPr>
      </w:pPr>
      <w:r w:rsidRPr="00386BF6">
        <w:rPr>
          <w:rFonts w:ascii="Times New Roman" w:hAnsi="Times New Roman" w:cs="Times New Roman"/>
          <w:b/>
          <w:bCs/>
          <w:sz w:val="20"/>
          <w:szCs w:val="20"/>
        </w:rPr>
        <w:t>Algorithm</w:t>
      </w:r>
      <w:r w:rsidR="004F14BA" w:rsidRPr="00386BF6">
        <w:rPr>
          <w:rFonts w:ascii="Times New Roman" w:hAnsi="Times New Roman" w:cs="Times New Roman"/>
          <w:b/>
          <w:bCs/>
          <w:sz w:val="20"/>
          <w:szCs w:val="20"/>
        </w:rPr>
        <w:t xml:space="preserve">: </w:t>
      </w:r>
    </w:p>
    <w:p w14:paraId="04EDE598" w14:textId="77777777" w:rsidR="002F5D2F" w:rsidRPr="00386BF6" w:rsidRDefault="002F5D2F" w:rsidP="002F5D2F">
      <w:pPr>
        <w:numPr>
          <w:ilvl w:val="0"/>
          <w:numId w:val="4"/>
        </w:numPr>
        <w:jc w:val="both"/>
        <w:rPr>
          <w:rFonts w:ascii="Times New Roman" w:hAnsi="Times New Roman" w:cs="Times New Roman"/>
          <w:sz w:val="20"/>
          <w:szCs w:val="20"/>
        </w:rPr>
      </w:pPr>
      <w:r w:rsidRPr="00386BF6">
        <w:rPr>
          <w:rFonts w:ascii="Times New Roman" w:hAnsi="Times New Roman" w:cs="Times New Roman"/>
          <w:b/>
          <w:bCs/>
          <w:sz w:val="20"/>
          <w:szCs w:val="20"/>
        </w:rPr>
        <w:t>Data Preprocessing and Initialization:</w:t>
      </w:r>
    </w:p>
    <w:p w14:paraId="358D9D02" w14:textId="3D806CD4" w:rsidR="002F5D2F" w:rsidRPr="00386BF6" w:rsidRDefault="002F5D2F" w:rsidP="002F5D2F">
      <w:pPr>
        <w:numPr>
          <w:ilvl w:val="1"/>
          <w:numId w:val="4"/>
        </w:numPr>
        <w:jc w:val="both"/>
        <w:rPr>
          <w:rFonts w:ascii="Times New Roman" w:hAnsi="Times New Roman" w:cs="Times New Roman"/>
          <w:sz w:val="20"/>
          <w:szCs w:val="20"/>
        </w:rPr>
      </w:pPr>
      <w:r w:rsidRPr="00386BF6">
        <w:rPr>
          <w:rFonts w:ascii="Times New Roman" w:hAnsi="Times New Roman" w:cs="Times New Roman"/>
          <w:sz w:val="20"/>
          <w:szCs w:val="20"/>
        </w:rPr>
        <w:t>Preprocess the dataset D to handle missing values, normalize features, and encode categorical variables.</w:t>
      </w:r>
    </w:p>
    <w:p w14:paraId="14CD36B0" w14:textId="36130EE4" w:rsidR="002F5D2F" w:rsidRPr="00386BF6" w:rsidRDefault="002F5D2F" w:rsidP="002F5D2F">
      <w:pPr>
        <w:numPr>
          <w:ilvl w:val="1"/>
          <w:numId w:val="4"/>
        </w:numPr>
        <w:jc w:val="both"/>
        <w:rPr>
          <w:rFonts w:ascii="Times New Roman" w:hAnsi="Times New Roman" w:cs="Times New Roman"/>
          <w:sz w:val="20"/>
          <w:szCs w:val="20"/>
        </w:rPr>
      </w:pPr>
      <w:r w:rsidRPr="00386BF6">
        <w:rPr>
          <w:rFonts w:ascii="Times New Roman" w:hAnsi="Times New Roman" w:cs="Times New Roman"/>
          <w:sz w:val="20"/>
          <w:szCs w:val="20"/>
        </w:rPr>
        <w:t>Split the preprocessed dataset D into training set TTT and validation set V.</w:t>
      </w:r>
    </w:p>
    <w:p w14:paraId="1FB7B310" w14:textId="77777777" w:rsidR="002F5D2F" w:rsidRPr="00386BF6" w:rsidRDefault="002F5D2F" w:rsidP="002F5D2F">
      <w:pPr>
        <w:numPr>
          <w:ilvl w:val="0"/>
          <w:numId w:val="4"/>
        </w:numPr>
        <w:jc w:val="both"/>
        <w:rPr>
          <w:rFonts w:ascii="Times New Roman" w:hAnsi="Times New Roman" w:cs="Times New Roman"/>
          <w:sz w:val="20"/>
          <w:szCs w:val="20"/>
        </w:rPr>
      </w:pPr>
      <w:r w:rsidRPr="00386BF6">
        <w:rPr>
          <w:rFonts w:ascii="Times New Roman" w:hAnsi="Times New Roman" w:cs="Times New Roman"/>
          <w:b/>
          <w:bCs/>
          <w:sz w:val="20"/>
          <w:szCs w:val="20"/>
        </w:rPr>
        <w:t>Initialization of Base Learners:</w:t>
      </w:r>
    </w:p>
    <w:p w14:paraId="655D3E55" w14:textId="08E71B3C" w:rsidR="002F5D2F" w:rsidRPr="00386BF6" w:rsidRDefault="002F5D2F" w:rsidP="002F5D2F">
      <w:pPr>
        <w:numPr>
          <w:ilvl w:val="1"/>
          <w:numId w:val="4"/>
        </w:numPr>
        <w:jc w:val="both"/>
        <w:rPr>
          <w:rFonts w:ascii="Times New Roman" w:hAnsi="Times New Roman" w:cs="Times New Roman"/>
          <w:sz w:val="20"/>
          <w:szCs w:val="20"/>
        </w:rPr>
      </w:pPr>
      <w:r w:rsidRPr="00386BF6">
        <w:rPr>
          <w:rFonts w:ascii="Times New Roman" w:hAnsi="Times New Roman" w:cs="Times New Roman"/>
          <w:sz w:val="20"/>
          <w:szCs w:val="20"/>
        </w:rPr>
        <w:t>Select a set of base learners L={L</w:t>
      </w:r>
      <w:r w:rsidRPr="00386BF6">
        <w:rPr>
          <w:rFonts w:ascii="Times New Roman" w:hAnsi="Times New Roman" w:cs="Times New Roman"/>
          <w:sz w:val="20"/>
          <w:szCs w:val="20"/>
          <w:vertAlign w:val="subscript"/>
        </w:rPr>
        <w:t>1</w:t>
      </w:r>
      <w:r w:rsidRPr="00386BF6">
        <w:rPr>
          <w:rFonts w:ascii="Times New Roman" w:hAnsi="Times New Roman" w:cs="Times New Roman"/>
          <w:sz w:val="20"/>
          <w:szCs w:val="20"/>
        </w:rPr>
        <w:t>,L</w:t>
      </w:r>
      <w:r w:rsidRPr="00386BF6">
        <w:rPr>
          <w:rFonts w:ascii="Times New Roman" w:hAnsi="Times New Roman" w:cs="Times New Roman"/>
          <w:sz w:val="20"/>
          <w:szCs w:val="20"/>
          <w:vertAlign w:val="subscript"/>
        </w:rPr>
        <w:t>2</w:t>
      </w:r>
      <w:r w:rsidRPr="00386BF6">
        <w:rPr>
          <w:rFonts w:ascii="Times New Roman" w:hAnsi="Times New Roman" w:cs="Times New Roman"/>
          <w:sz w:val="20"/>
          <w:szCs w:val="20"/>
        </w:rPr>
        <w:t>,…,L</w:t>
      </w:r>
      <w:r w:rsidRPr="00386BF6">
        <w:rPr>
          <w:rFonts w:ascii="Times New Roman" w:hAnsi="Times New Roman" w:cs="Times New Roman"/>
          <w:sz w:val="20"/>
          <w:szCs w:val="20"/>
          <w:vertAlign w:val="subscript"/>
        </w:rPr>
        <w:t>m</w:t>
      </w:r>
      <w:r w:rsidRPr="00386BF6">
        <w:rPr>
          <w:rFonts w:ascii="Times New Roman" w:hAnsi="Times New Roman" w:cs="Times New Roman"/>
          <w:sz w:val="20"/>
          <w:szCs w:val="20"/>
        </w:rPr>
        <w:t>}, where L</w:t>
      </w:r>
      <w:r w:rsidRPr="00386BF6">
        <w:rPr>
          <w:rFonts w:ascii="Times New Roman" w:hAnsi="Times New Roman" w:cs="Times New Roman"/>
          <w:sz w:val="20"/>
          <w:szCs w:val="20"/>
          <w:vertAlign w:val="subscript"/>
        </w:rPr>
        <w:t>i</w:t>
      </w:r>
      <w:r w:rsidRPr="00386BF6">
        <w:rPr>
          <w:rFonts w:ascii="Times New Roman" w:hAnsi="Times New Roman" w:cs="Times New Roman"/>
          <w:sz w:val="20"/>
          <w:szCs w:val="20"/>
        </w:rPr>
        <w:t>​ represents the i</w:t>
      </w:r>
      <w:r w:rsidR="000C1A32" w:rsidRPr="00386BF6">
        <w:rPr>
          <w:rFonts w:ascii="Times New Roman" w:hAnsi="Times New Roman" w:cs="Times New Roman"/>
          <w:sz w:val="20"/>
          <w:szCs w:val="20"/>
        </w:rPr>
        <w:t>-th</w:t>
      </w:r>
      <w:r w:rsidRPr="00386BF6">
        <w:rPr>
          <w:rFonts w:ascii="Times New Roman" w:hAnsi="Times New Roman" w:cs="Times New Roman"/>
          <w:sz w:val="20"/>
          <w:szCs w:val="20"/>
        </w:rPr>
        <w:t xml:space="preserve"> base learner.</w:t>
      </w:r>
    </w:p>
    <w:p w14:paraId="452D34B2" w14:textId="44BFD51D" w:rsidR="002F5D2F" w:rsidRPr="00386BF6" w:rsidRDefault="002F5D2F" w:rsidP="002F5D2F">
      <w:pPr>
        <w:numPr>
          <w:ilvl w:val="1"/>
          <w:numId w:val="4"/>
        </w:numPr>
        <w:jc w:val="both"/>
        <w:rPr>
          <w:rFonts w:ascii="Times New Roman" w:hAnsi="Times New Roman" w:cs="Times New Roman"/>
          <w:sz w:val="20"/>
          <w:szCs w:val="20"/>
        </w:rPr>
      </w:pPr>
      <w:r w:rsidRPr="00386BF6">
        <w:rPr>
          <w:rFonts w:ascii="Times New Roman" w:hAnsi="Times New Roman" w:cs="Times New Roman"/>
          <w:sz w:val="20"/>
          <w:szCs w:val="20"/>
        </w:rPr>
        <w:t>Initialize weights W={w</w:t>
      </w:r>
      <w:r w:rsidRPr="00386BF6">
        <w:rPr>
          <w:rFonts w:ascii="Times New Roman" w:hAnsi="Times New Roman" w:cs="Times New Roman"/>
          <w:sz w:val="20"/>
          <w:szCs w:val="20"/>
          <w:vertAlign w:val="subscript"/>
        </w:rPr>
        <w:t>1</w:t>
      </w:r>
      <w:r w:rsidRPr="00386BF6">
        <w:rPr>
          <w:rFonts w:ascii="Times New Roman" w:hAnsi="Times New Roman" w:cs="Times New Roman"/>
          <w:sz w:val="20"/>
          <w:szCs w:val="20"/>
        </w:rPr>
        <w:t>,w</w:t>
      </w:r>
      <w:r w:rsidRPr="00386BF6">
        <w:rPr>
          <w:rFonts w:ascii="Times New Roman" w:hAnsi="Times New Roman" w:cs="Times New Roman"/>
          <w:sz w:val="20"/>
          <w:szCs w:val="20"/>
          <w:vertAlign w:val="subscript"/>
        </w:rPr>
        <w:t>2</w:t>
      </w:r>
      <w:r w:rsidRPr="00386BF6">
        <w:rPr>
          <w:rFonts w:ascii="Times New Roman" w:hAnsi="Times New Roman" w:cs="Times New Roman"/>
          <w:sz w:val="20"/>
          <w:szCs w:val="20"/>
        </w:rPr>
        <w:t>,…,w</w:t>
      </w:r>
      <w:r w:rsidRPr="00386BF6">
        <w:rPr>
          <w:rFonts w:ascii="Times New Roman" w:hAnsi="Times New Roman" w:cs="Times New Roman"/>
          <w:sz w:val="20"/>
          <w:szCs w:val="20"/>
          <w:vertAlign w:val="subscript"/>
        </w:rPr>
        <w:t>m</w:t>
      </w:r>
      <w:r w:rsidRPr="00386BF6">
        <w:rPr>
          <w:rFonts w:ascii="Times New Roman" w:hAnsi="Times New Roman" w:cs="Times New Roman"/>
          <w:sz w:val="20"/>
          <w:szCs w:val="20"/>
        </w:rPr>
        <w:t>}</w:t>
      </w:r>
      <w:r w:rsidR="000C1A32" w:rsidRPr="00386BF6">
        <w:rPr>
          <w:rFonts w:ascii="Times New Roman" w:hAnsi="Times New Roman" w:cs="Times New Roman"/>
          <w:sz w:val="20"/>
          <w:szCs w:val="20"/>
        </w:rPr>
        <w:t xml:space="preserve"> </w:t>
      </w:r>
      <w:r w:rsidRPr="00386BF6">
        <w:rPr>
          <w:rFonts w:ascii="Times New Roman" w:hAnsi="Times New Roman" w:cs="Times New Roman"/>
          <w:sz w:val="20"/>
          <w:szCs w:val="20"/>
        </w:rPr>
        <w:t xml:space="preserve">for each base learner, where wi​ is the weight of the i-th base learner and </w:t>
      </w:r>
      <m:oMath>
        <m:nary>
          <m:naryPr>
            <m:chr m:val="∑"/>
            <m:grow m:val="1"/>
            <m:ctrlPr>
              <w:rPr>
                <w:rFonts w:ascii="Cambria Math" w:hAnsi="Cambria Math" w:cs="Times New Roman"/>
                <w:sz w:val="20"/>
                <w:szCs w:val="20"/>
              </w:rPr>
            </m:ctrlPr>
          </m:naryPr>
          <m:sub>
            <m:r>
              <w:rPr>
                <w:rFonts w:ascii="Cambria Math" w:eastAsia="Cambria Math" w:hAnsi="Cambria Math" w:cs="Times New Roman"/>
                <w:sz w:val="20"/>
                <w:szCs w:val="20"/>
              </w:rPr>
              <m:t>i=1</m:t>
            </m:r>
          </m:sub>
          <m:sup>
            <m:r>
              <w:rPr>
                <w:rFonts w:ascii="Cambria Math" w:eastAsia="Cambria Math" w:hAnsi="Cambria Math" w:cs="Times New Roman"/>
                <w:sz w:val="20"/>
                <w:szCs w:val="20"/>
              </w:rPr>
              <m:t>m</m:t>
            </m:r>
          </m:sup>
          <m:e>
            <m:r>
              <w:rPr>
                <w:rFonts w:ascii="Cambria Math" w:hAnsi="Cambria Math" w:cs="Times New Roman"/>
                <w:sz w:val="20"/>
                <w:szCs w:val="20"/>
              </w:rPr>
              <m:t>wi</m:t>
            </m:r>
          </m:e>
        </m:nary>
        <m:r>
          <w:rPr>
            <w:rFonts w:ascii="Cambria Math" w:hAnsi="Cambria Math" w:cs="Times New Roman"/>
            <w:sz w:val="20"/>
            <w:szCs w:val="20"/>
          </w:rPr>
          <m:t>=1</m:t>
        </m:r>
      </m:oMath>
    </w:p>
    <w:p w14:paraId="724B6721" w14:textId="77777777" w:rsidR="002F5D2F" w:rsidRPr="00386BF6" w:rsidRDefault="002F5D2F" w:rsidP="002F5D2F">
      <w:pPr>
        <w:numPr>
          <w:ilvl w:val="0"/>
          <w:numId w:val="4"/>
        </w:numPr>
        <w:jc w:val="both"/>
        <w:rPr>
          <w:rFonts w:ascii="Times New Roman" w:hAnsi="Times New Roman" w:cs="Times New Roman"/>
          <w:sz w:val="20"/>
          <w:szCs w:val="20"/>
        </w:rPr>
      </w:pPr>
      <w:r w:rsidRPr="00386BF6">
        <w:rPr>
          <w:rFonts w:ascii="Times New Roman" w:hAnsi="Times New Roman" w:cs="Times New Roman"/>
          <w:b/>
          <w:bCs/>
          <w:sz w:val="20"/>
          <w:szCs w:val="20"/>
        </w:rPr>
        <w:t>Training and Initial Prediction:</w:t>
      </w:r>
    </w:p>
    <w:p w14:paraId="51C04E5B" w14:textId="1E98C8E3" w:rsidR="002F5D2F" w:rsidRPr="00386BF6" w:rsidRDefault="002F5D2F" w:rsidP="002F5D2F">
      <w:pPr>
        <w:numPr>
          <w:ilvl w:val="1"/>
          <w:numId w:val="4"/>
        </w:numPr>
        <w:jc w:val="both"/>
        <w:rPr>
          <w:rFonts w:ascii="Times New Roman" w:hAnsi="Times New Roman" w:cs="Times New Roman"/>
          <w:sz w:val="20"/>
          <w:szCs w:val="20"/>
        </w:rPr>
      </w:pPr>
      <w:r w:rsidRPr="00386BF6">
        <w:rPr>
          <w:rFonts w:ascii="Times New Roman" w:hAnsi="Times New Roman" w:cs="Times New Roman"/>
          <w:sz w:val="20"/>
          <w:szCs w:val="20"/>
        </w:rPr>
        <w:t>Train each base learner L</w:t>
      </w:r>
      <w:r w:rsidRPr="00386BF6">
        <w:rPr>
          <w:rFonts w:ascii="Times New Roman" w:hAnsi="Times New Roman" w:cs="Times New Roman"/>
          <w:sz w:val="20"/>
          <w:szCs w:val="20"/>
          <w:vertAlign w:val="subscript"/>
        </w:rPr>
        <w:t>i</w:t>
      </w:r>
      <w:r w:rsidRPr="00386BF6">
        <w:rPr>
          <w:rFonts w:ascii="Times New Roman" w:hAnsi="Times New Roman" w:cs="Times New Roman"/>
          <w:sz w:val="20"/>
          <w:szCs w:val="20"/>
        </w:rPr>
        <w:t>​ on the training set T</w:t>
      </w:r>
      <w:r w:rsidR="00F306F3" w:rsidRPr="00386BF6">
        <w:rPr>
          <w:rFonts w:ascii="Times New Roman" w:hAnsi="Times New Roman" w:cs="Times New Roman"/>
          <w:sz w:val="20"/>
          <w:szCs w:val="20"/>
        </w:rPr>
        <w:t xml:space="preserve"> </w:t>
      </w:r>
      <w:r w:rsidRPr="00386BF6">
        <w:rPr>
          <w:rFonts w:ascii="Times New Roman" w:hAnsi="Times New Roman" w:cs="Times New Roman"/>
          <w:sz w:val="20"/>
          <w:szCs w:val="20"/>
        </w:rPr>
        <w:t>to obtain the initial predictions.</w:t>
      </w:r>
    </w:p>
    <w:p w14:paraId="598ACC27" w14:textId="74A2AA34" w:rsidR="002F5D2F" w:rsidRPr="00386BF6" w:rsidRDefault="002F5D2F" w:rsidP="002F5D2F">
      <w:pPr>
        <w:numPr>
          <w:ilvl w:val="1"/>
          <w:numId w:val="4"/>
        </w:numPr>
        <w:jc w:val="both"/>
        <w:rPr>
          <w:rFonts w:ascii="Times New Roman" w:hAnsi="Times New Roman" w:cs="Times New Roman"/>
          <w:sz w:val="20"/>
          <w:szCs w:val="20"/>
        </w:rPr>
      </w:pPr>
      <w:r w:rsidRPr="00386BF6">
        <w:rPr>
          <w:rFonts w:ascii="Times New Roman" w:hAnsi="Times New Roman" w:cs="Times New Roman"/>
          <w:sz w:val="20"/>
          <w:szCs w:val="20"/>
        </w:rPr>
        <w:t>Evaluate the performance of each base learner on the validation set V using a chosen performance metric (e.g., accuracy, F1 score).</w:t>
      </w:r>
    </w:p>
    <w:p w14:paraId="3CC6DEDE" w14:textId="77777777" w:rsidR="002F5D2F" w:rsidRPr="00386BF6" w:rsidRDefault="002F5D2F" w:rsidP="002F5D2F">
      <w:pPr>
        <w:numPr>
          <w:ilvl w:val="0"/>
          <w:numId w:val="4"/>
        </w:numPr>
        <w:jc w:val="both"/>
        <w:rPr>
          <w:rFonts w:ascii="Times New Roman" w:hAnsi="Times New Roman" w:cs="Times New Roman"/>
          <w:sz w:val="20"/>
          <w:szCs w:val="20"/>
        </w:rPr>
      </w:pPr>
      <w:r w:rsidRPr="00386BF6">
        <w:rPr>
          <w:rFonts w:ascii="Times New Roman" w:hAnsi="Times New Roman" w:cs="Times New Roman"/>
          <w:b/>
          <w:bCs/>
          <w:sz w:val="20"/>
          <w:szCs w:val="20"/>
        </w:rPr>
        <w:t>Adaptive Weight Adjustment:</w:t>
      </w:r>
    </w:p>
    <w:p w14:paraId="3460B74D" w14:textId="17887AF0" w:rsidR="002F5D2F" w:rsidRPr="00386BF6" w:rsidRDefault="002F5D2F" w:rsidP="002F5D2F">
      <w:pPr>
        <w:numPr>
          <w:ilvl w:val="1"/>
          <w:numId w:val="4"/>
        </w:numPr>
        <w:jc w:val="both"/>
        <w:rPr>
          <w:rFonts w:ascii="Times New Roman" w:hAnsi="Times New Roman" w:cs="Times New Roman"/>
          <w:sz w:val="20"/>
          <w:szCs w:val="20"/>
        </w:rPr>
      </w:pPr>
      <w:r w:rsidRPr="00386BF6">
        <w:rPr>
          <w:rFonts w:ascii="Times New Roman" w:hAnsi="Times New Roman" w:cs="Times New Roman"/>
          <w:sz w:val="20"/>
          <w:szCs w:val="20"/>
        </w:rPr>
        <w:t>Calculate the initial performance score S</w:t>
      </w:r>
      <w:r w:rsidRPr="00386BF6">
        <w:rPr>
          <w:rFonts w:ascii="Times New Roman" w:hAnsi="Times New Roman" w:cs="Times New Roman"/>
          <w:sz w:val="20"/>
          <w:szCs w:val="20"/>
          <w:vertAlign w:val="subscript"/>
        </w:rPr>
        <w:t>i</w:t>
      </w:r>
      <w:r w:rsidRPr="00386BF6">
        <w:rPr>
          <w:rFonts w:ascii="Times New Roman" w:hAnsi="Times New Roman" w:cs="Times New Roman"/>
          <w:sz w:val="20"/>
          <w:szCs w:val="20"/>
        </w:rPr>
        <w:t>​ for each base learner L</w:t>
      </w:r>
      <w:r w:rsidRPr="00386BF6">
        <w:rPr>
          <w:rFonts w:ascii="Times New Roman" w:hAnsi="Times New Roman" w:cs="Times New Roman"/>
          <w:sz w:val="20"/>
          <w:szCs w:val="20"/>
          <w:vertAlign w:val="subscript"/>
        </w:rPr>
        <w:t>i</w:t>
      </w:r>
      <w:r w:rsidRPr="00386BF6">
        <w:rPr>
          <w:rFonts w:ascii="Times New Roman" w:hAnsi="Times New Roman" w:cs="Times New Roman"/>
          <w:sz w:val="20"/>
          <w:szCs w:val="20"/>
        </w:rPr>
        <w:t>​ based on its validation set performance.</w:t>
      </w:r>
    </w:p>
    <w:p w14:paraId="7D64D7D7" w14:textId="0E777931" w:rsidR="002F5D2F" w:rsidRPr="00386BF6" w:rsidRDefault="002F5D2F" w:rsidP="002F5D2F">
      <w:pPr>
        <w:numPr>
          <w:ilvl w:val="1"/>
          <w:numId w:val="4"/>
        </w:numPr>
        <w:jc w:val="both"/>
        <w:rPr>
          <w:rFonts w:ascii="Times New Roman" w:hAnsi="Times New Roman" w:cs="Times New Roman"/>
          <w:sz w:val="20"/>
          <w:szCs w:val="20"/>
        </w:rPr>
      </w:pPr>
      <w:r w:rsidRPr="00386BF6">
        <w:rPr>
          <w:rFonts w:ascii="Times New Roman" w:hAnsi="Times New Roman" w:cs="Times New Roman"/>
          <w:sz w:val="20"/>
          <w:szCs w:val="20"/>
        </w:rPr>
        <w:t>Update the weights WWW based on the performance scores. A higher performance score results in a higher weight. The updated weight w</w:t>
      </w:r>
      <w:r w:rsidRPr="00386BF6">
        <w:rPr>
          <w:rFonts w:ascii="Times New Roman" w:hAnsi="Times New Roman" w:cs="Times New Roman"/>
          <w:sz w:val="20"/>
          <w:szCs w:val="20"/>
          <w:vertAlign w:val="subscript"/>
        </w:rPr>
        <w:t>i</w:t>
      </w:r>
      <w:r w:rsidRPr="00386BF6">
        <w:rPr>
          <w:rFonts w:ascii="Times New Roman" w:hAnsi="Times New Roman" w:cs="Times New Roman"/>
          <w:sz w:val="20"/>
          <w:szCs w:val="20"/>
        </w:rPr>
        <w:t>​ for base learner L</w:t>
      </w:r>
      <w:r w:rsidRPr="00386BF6">
        <w:rPr>
          <w:rFonts w:ascii="Times New Roman" w:hAnsi="Times New Roman" w:cs="Times New Roman"/>
          <w:sz w:val="20"/>
          <w:szCs w:val="20"/>
          <w:vertAlign w:val="subscript"/>
        </w:rPr>
        <w:t>i</w:t>
      </w:r>
      <w:r w:rsidRPr="00386BF6">
        <w:rPr>
          <w:rFonts w:ascii="Times New Roman" w:hAnsi="Times New Roman" w:cs="Times New Roman"/>
          <w:sz w:val="20"/>
          <w:szCs w:val="20"/>
        </w:rPr>
        <w:t>​ can be computed as:</w:t>
      </w:r>
    </w:p>
    <w:p w14:paraId="7BE8BAD7" w14:textId="2A54CE6E" w:rsidR="00560EC4" w:rsidRPr="00386BF6" w:rsidRDefault="00000000" w:rsidP="00560EC4">
      <w:pPr>
        <w:ind w:left="1440"/>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num>
            <m:den>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j=1</m:t>
                  </m:r>
                </m:sub>
                <m:sup>
                  <m:r>
                    <w:rPr>
                      <w:rFonts w:ascii="Cambria Math" w:hAnsi="Cambria Math" w:cs="Times New Roman"/>
                      <w:sz w:val="20"/>
                      <w:szCs w:val="20"/>
                    </w:rPr>
                    <m:t>m</m:t>
                  </m:r>
                </m:sup>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e>
              </m:nary>
            </m:den>
          </m:f>
        </m:oMath>
      </m:oMathPara>
    </w:p>
    <w:p w14:paraId="0022966F" w14:textId="77777777" w:rsidR="002F5D2F" w:rsidRPr="00386BF6" w:rsidRDefault="002F5D2F" w:rsidP="002F5D2F">
      <w:pPr>
        <w:numPr>
          <w:ilvl w:val="0"/>
          <w:numId w:val="4"/>
        </w:numPr>
        <w:jc w:val="both"/>
        <w:rPr>
          <w:rFonts w:ascii="Times New Roman" w:hAnsi="Times New Roman" w:cs="Times New Roman"/>
          <w:sz w:val="20"/>
          <w:szCs w:val="20"/>
        </w:rPr>
      </w:pPr>
      <w:r w:rsidRPr="00386BF6">
        <w:rPr>
          <w:rFonts w:ascii="Times New Roman" w:hAnsi="Times New Roman" w:cs="Times New Roman"/>
          <w:b/>
          <w:bCs/>
          <w:sz w:val="20"/>
          <w:szCs w:val="20"/>
        </w:rPr>
        <w:t>Multi-Layer Ensemble Process:</w:t>
      </w:r>
    </w:p>
    <w:p w14:paraId="49F1D2AD" w14:textId="77777777" w:rsidR="002F5D2F" w:rsidRPr="00386BF6" w:rsidRDefault="002F5D2F" w:rsidP="002F5D2F">
      <w:pPr>
        <w:numPr>
          <w:ilvl w:val="1"/>
          <w:numId w:val="4"/>
        </w:numPr>
        <w:jc w:val="both"/>
        <w:rPr>
          <w:rFonts w:ascii="Times New Roman" w:hAnsi="Times New Roman" w:cs="Times New Roman"/>
          <w:sz w:val="20"/>
          <w:szCs w:val="20"/>
        </w:rPr>
      </w:pPr>
      <w:r w:rsidRPr="00386BF6">
        <w:rPr>
          <w:rFonts w:ascii="Times New Roman" w:hAnsi="Times New Roman" w:cs="Times New Roman"/>
          <w:sz w:val="20"/>
          <w:szCs w:val="20"/>
        </w:rPr>
        <w:t>Define the number of layers NNN in the ensemble framework.</w:t>
      </w:r>
    </w:p>
    <w:p w14:paraId="5D2C1316" w14:textId="771B7CC8" w:rsidR="002F5D2F" w:rsidRPr="00386BF6" w:rsidRDefault="002F5D2F" w:rsidP="002F5D2F">
      <w:pPr>
        <w:numPr>
          <w:ilvl w:val="1"/>
          <w:numId w:val="4"/>
        </w:numPr>
        <w:jc w:val="both"/>
        <w:rPr>
          <w:rFonts w:ascii="Times New Roman" w:hAnsi="Times New Roman" w:cs="Times New Roman"/>
          <w:sz w:val="20"/>
          <w:szCs w:val="20"/>
        </w:rPr>
      </w:pPr>
      <w:r w:rsidRPr="00386BF6">
        <w:rPr>
          <w:rFonts w:ascii="Times New Roman" w:hAnsi="Times New Roman" w:cs="Times New Roman"/>
          <w:sz w:val="20"/>
          <w:szCs w:val="20"/>
        </w:rPr>
        <w:t>For each layer k=</w:t>
      </w:r>
      <w:r w:rsidR="00E96603" w:rsidRPr="00386BF6">
        <w:rPr>
          <w:rFonts w:ascii="Times New Roman" w:hAnsi="Times New Roman" w:cs="Times New Roman"/>
          <w:sz w:val="20"/>
          <w:szCs w:val="20"/>
        </w:rPr>
        <w:t xml:space="preserve">1 </w:t>
      </w:r>
      <w:r w:rsidRPr="00386BF6">
        <w:rPr>
          <w:rFonts w:ascii="Times New Roman" w:hAnsi="Times New Roman" w:cs="Times New Roman"/>
          <w:sz w:val="20"/>
          <w:szCs w:val="20"/>
        </w:rPr>
        <w:t>to N:</w:t>
      </w:r>
    </w:p>
    <w:p w14:paraId="7EE50BDB" w14:textId="056BC3E9" w:rsidR="002F5D2F" w:rsidRPr="00386BF6" w:rsidRDefault="002F5D2F" w:rsidP="002F5D2F">
      <w:pPr>
        <w:numPr>
          <w:ilvl w:val="2"/>
          <w:numId w:val="4"/>
        </w:numPr>
        <w:jc w:val="both"/>
        <w:rPr>
          <w:rFonts w:ascii="Times New Roman" w:hAnsi="Times New Roman" w:cs="Times New Roman"/>
          <w:sz w:val="20"/>
          <w:szCs w:val="20"/>
        </w:rPr>
      </w:pPr>
      <w:r w:rsidRPr="00386BF6">
        <w:rPr>
          <w:rFonts w:ascii="Times New Roman" w:hAnsi="Times New Roman" w:cs="Times New Roman"/>
          <w:sz w:val="20"/>
          <w:szCs w:val="20"/>
        </w:rPr>
        <w:t xml:space="preserve">Combine the predictions of base learners from the previous layer using their respective weights. The combined prediction </w:t>
      </w:r>
      <w:r w:rsidR="00E96603" w:rsidRPr="00386BF6">
        <w:rPr>
          <w:rFonts w:ascii="Times New Roman" w:hAnsi="Times New Roman" w:cs="Times New Roman"/>
          <w:sz w:val="20"/>
          <w:szCs w:val="20"/>
        </w:rPr>
        <w:t>P</w:t>
      </w:r>
      <w:r w:rsidR="00E96603" w:rsidRPr="00386BF6">
        <w:rPr>
          <w:rFonts w:ascii="Times New Roman" w:hAnsi="Times New Roman" w:cs="Times New Roman"/>
          <w:sz w:val="20"/>
          <w:szCs w:val="20"/>
          <w:vertAlign w:val="subscript"/>
        </w:rPr>
        <w:t>k</w:t>
      </w:r>
      <w:r w:rsidRPr="00386BF6">
        <w:rPr>
          <w:rFonts w:ascii="Times New Roman" w:hAnsi="Times New Roman" w:cs="Times New Roman"/>
          <w:sz w:val="20"/>
          <w:szCs w:val="20"/>
        </w:rPr>
        <w:t>​ at layer k can be represented as:</w:t>
      </w:r>
    </w:p>
    <w:p w14:paraId="0BBDFDD5" w14:textId="77777777" w:rsidR="00E96603" w:rsidRPr="00386BF6" w:rsidRDefault="00000000" w:rsidP="00E96603">
      <w:pPr>
        <w:tabs>
          <w:tab w:val="num" w:pos="2160"/>
        </w:tabs>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k</m:t>
              </m:r>
            </m:sub>
          </m:sSub>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m</m:t>
              </m:r>
            </m:sup>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m:t>
                  </m:r>
                </m:sub>
              </m:sSub>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k-1,i</m:t>
                  </m:r>
                </m:sub>
              </m:sSub>
            </m:e>
          </m:nary>
        </m:oMath>
      </m:oMathPara>
    </w:p>
    <w:p w14:paraId="58DB37A1" w14:textId="777E423D" w:rsidR="00560EC4" w:rsidRPr="00386BF6" w:rsidRDefault="00C55361" w:rsidP="00C55361">
      <w:pPr>
        <w:tabs>
          <w:tab w:val="num" w:pos="2160"/>
        </w:tabs>
        <w:ind w:left="1440"/>
        <w:rPr>
          <w:rFonts w:ascii="Times New Roman" w:hAnsi="Times New Roman" w:cs="Times New Roman"/>
          <w:sz w:val="20"/>
          <w:szCs w:val="20"/>
        </w:rPr>
      </w:pPr>
      <w:r w:rsidRPr="00386BF6">
        <w:rPr>
          <w:rFonts w:ascii="Times New Roman" w:eastAsiaTheme="minorEastAsia" w:hAnsi="Times New Roman" w:cs="Times New Roman"/>
          <w:sz w:val="20"/>
          <w:szCs w:val="20"/>
        </w:rPr>
        <w:lastRenderedPageBreak/>
        <w:tab/>
        <w:t>w</w:t>
      </w:r>
      <w:r w:rsidR="00560EC4" w:rsidRPr="00386BF6">
        <w:rPr>
          <w:rFonts w:ascii="Times New Roman" w:eastAsiaTheme="minorEastAsia" w:hAnsi="Times New Roman" w:cs="Times New Roman"/>
          <w:sz w:val="20"/>
          <w:szCs w:val="20"/>
        </w:rPr>
        <w:t xml:space="preserve">here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k-1,i</m:t>
            </m:r>
          </m:sub>
        </m:sSub>
      </m:oMath>
      <w:r w:rsidR="00560EC4" w:rsidRPr="00386BF6">
        <w:rPr>
          <w:rFonts w:ascii="Times New Roman" w:eastAsiaTheme="minorEastAsia" w:hAnsi="Times New Roman" w:cs="Times New Roman"/>
          <w:sz w:val="20"/>
          <w:szCs w:val="20"/>
        </w:rPr>
        <w:t xml:space="preserve"> is the prediction of the i-th base learner at the previous layer k-1.</w:t>
      </w:r>
    </w:p>
    <w:p w14:paraId="78B4560F" w14:textId="77777777" w:rsidR="00560EC4" w:rsidRPr="00386BF6" w:rsidRDefault="002F5D2F" w:rsidP="00C55361">
      <w:pPr>
        <w:pStyle w:val="ListParagraph"/>
        <w:numPr>
          <w:ilvl w:val="0"/>
          <w:numId w:val="5"/>
        </w:numPr>
        <w:tabs>
          <w:tab w:val="num" w:pos="2880"/>
        </w:tabs>
        <w:ind w:left="1440"/>
        <w:rPr>
          <w:rFonts w:ascii="Times New Roman" w:hAnsi="Times New Roman" w:cs="Times New Roman"/>
          <w:sz w:val="20"/>
          <w:szCs w:val="20"/>
        </w:rPr>
      </w:pPr>
      <w:r w:rsidRPr="00386BF6">
        <w:rPr>
          <w:rFonts w:ascii="Times New Roman" w:hAnsi="Times New Roman" w:cs="Times New Roman"/>
          <w:sz w:val="20"/>
          <w:szCs w:val="20"/>
        </w:rPr>
        <w:t>Evaluate the combined prediction P</w:t>
      </w:r>
      <w:r w:rsidRPr="00386BF6">
        <w:rPr>
          <w:rFonts w:ascii="Times New Roman" w:hAnsi="Times New Roman" w:cs="Times New Roman"/>
          <w:sz w:val="20"/>
          <w:szCs w:val="20"/>
          <w:vertAlign w:val="subscript"/>
        </w:rPr>
        <w:t>k</w:t>
      </w:r>
      <w:r w:rsidRPr="00386BF6">
        <w:rPr>
          <w:rFonts w:ascii="Times New Roman" w:hAnsi="Times New Roman" w:cs="Times New Roman"/>
          <w:sz w:val="20"/>
          <w:szCs w:val="20"/>
        </w:rPr>
        <w:t>​ on the validation set V to obtain a performance score S</w:t>
      </w:r>
      <w:r w:rsidRPr="00386BF6">
        <w:rPr>
          <w:rFonts w:ascii="Times New Roman" w:hAnsi="Times New Roman" w:cs="Times New Roman"/>
          <w:sz w:val="20"/>
          <w:szCs w:val="20"/>
          <w:vertAlign w:val="subscript"/>
        </w:rPr>
        <w:t>k</w:t>
      </w:r>
      <w:r w:rsidRPr="00386BF6">
        <w:rPr>
          <w:rFonts w:ascii="Times New Roman" w:hAnsi="Times New Roman" w:cs="Times New Roman"/>
          <w:sz w:val="20"/>
          <w:szCs w:val="20"/>
        </w:rPr>
        <w:t>​.</w:t>
      </w:r>
    </w:p>
    <w:p w14:paraId="76B8F5AF" w14:textId="16D2C383" w:rsidR="002F5D2F" w:rsidRPr="00386BF6" w:rsidRDefault="00386BF6" w:rsidP="00C55361">
      <w:pPr>
        <w:pStyle w:val="ListParagraph"/>
        <w:numPr>
          <w:ilvl w:val="0"/>
          <w:numId w:val="5"/>
        </w:numPr>
        <w:tabs>
          <w:tab w:val="num" w:pos="2880"/>
        </w:tabs>
        <w:ind w:left="1440"/>
        <w:rPr>
          <w:rFonts w:ascii="Times New Roman" w:hAnsi="Times New Roman" w:cs="Times New Roman"/>
          <w:sz w:val="20"/>
          <w:szCs w:val="20"/>
        </w:rPr>
      </w:pPr>
      <w:r w:rsidRPr="00386BF6">
        <w:rPr>
          <w:rFonts w:ascii="Times New Roman" w:hAnsi="Times New Roman" w:cs="Times New Roman"/>
          <w:b/>
          <w:bCs/>
          <w:noProof/>
          <w:sz w:val="20"/>
          <w:szCs w:val="20"/>
        </w:rPr>
        <mc:AlternateContent>
          <mc:Choice Requires="wps">
            <w:drawing>
              <wp:anchor distT="45720" distB="45720" distL="114300" distR="114300" simplePos="0" relativeHeight="251659264" behindDoc="0" locked="0" layoutInCell="1" allowOverlap="1" wp14:anchorId="7CD3DA92" wp14:editId="5E61981F">
                <wp:simplePos x="0" y="0"/>
                <wp:positionH relativeFrom="margin">
                  <wp:posOffset>3448050</wp:posOffset>
                </wp:positionH>
                <wp:positionV relativeFrom="paragraph">
                  <wp:posOffset>8890</wp:posOffset>
                </wp:positionV>
                <wp:extent cx="2933700" cy="1404620"/>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04620"/>
                        </a:xfrm>
                        <a:prstGeom prst="rect">
                          <a:avLst/>
                        </a:prstGeom>
                        <a:solidFill>
                          <a:srgbClr val="FFFFFF"/>
                        </a:solidFill>
                        <a:ln w="9525">
                          <a:solidFill>
                            <a:srgbClr val="000000"/>
                          </a:solidFill>
                          <a:miter lim="800000"/>
                          <a:headEnd/>
                          <a:tailEnd/>
                        </a:ln>
                      </wps:spPr>
                      <wps:txbx>
                        <w:txbxContent>
                          <w:p w14:paraId="4E6064E1"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b/>
                                <w:bCs/>
                                <w:sz w:val="20"/>
                                <w:szCs w:val="20"/>
                              </w:rPr>
                              <w:t>Input</w:t>
                            </w:r>
                            <w:r w:rsidRPr="00386BF6">
                              <w:rPr>
                                <w:rFonts w:ascii="Times New Roman" w:hAnsi="Times New Roman" w:cs="Times New Roman"/>
                                <w:sz w:val="20"/>
                                <w:szCs w:val="20"/>
                              </w:rPr>
                              <w:t>: Dataset D, base learners L, number of layers N</w:t>
                            </w:r>
                          </w:p>
                          <w:p w14:paraId="630AF922"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b/>
                                <w:bCs/>
                                <w:sz w:val="20"/>
                                <w:szCs w:val="20"/>
                              </w:rPr>
                              <w:t>Output</w:t>
                            </w:r>
                            <w:r w:rsidRPr="00386BF6">
                              <w:rPr>
                                <w:rFonts w:ascii="Times New Roman" w:hAnsi="Times New Roman" w:cs="Times New Roman"/>
                                <w:sz w:val="20"/>
                                <w:szCs w:val="20"/>
                              </w:rPr>
                              <w:t>: Final prediction P</w:t>
                            </w:r>
                          </w:p>
                          <w:p w14:paraId="370485B0"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1: Preprocess data D</w:t>
                            </w:r>
                          </w:p>
                          <w:p w14:paraId="43897FD6"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2: Split data into training set T and validation set V</w:t>
                            </w:r>
                          </w:p>
                          <w:p w14:paraId="0CFA18DA"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3: Initialize weights W for base learners</w:t>
                            </w:r>
                          </w:p>
                          <w:p w14:paraId="71980A15"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4: for each layer i in 1 to N do</w:t>
                            </w:r>
                          </w:p>
                          <w:p w14:paraId="70C7ABE1"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5:     Train base learners L on T</w:t>
                            </w:r>
                          </w:p>
                          <w:p w14:paraId="3719D871"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6:     Evaluate base learners on V</w:t>
                            </w:r>
                          </w:p>
                          <w:p w14:paraId="75912AB5"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7:     Adjust weights W based on performance</w:t>
                            </w:r>
                          </w:p>
                          <w:p w14:paraId="5D2062C7"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8:     Combine predictions using weighted sum</w:t>
                            </w:r>
                          </w:p>
                          <w:p w14:paraId="3E7A6467"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9:     Pass combined predictions to next layer</w:t>
                            </w:r>
                          </w:p>
                          <w:p w14:paraId="786AA3C6"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10: end for</w:t>
                            </w:r>
                          </w:p>
                          <w:p w14:paraId="2E19D366"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11: Aggregate final predictions from all layers</w:t>
                            </w:r>
                          </w:p>
                          <w:p w14:paraId="2FCFBC42"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12: return Final prediction 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D3DA92" id="_x0000_t202" coordsize="21600,21600" o:spt="202" path="m,l,21600r21600,l21600,xe">
                <v:stroke joinstyle="miter"/>
                <v:path gradientshapeok="t" o:connecttype="rect"/>
              </v:shapetype>
              <v:shape id="Text Box 2" o:spid="_x0000_s1026" type="#_x0000_t202" style="position:absolute;left:0;text-align:left;margin-left:271.5pt;margin-top:.7pt;width:231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">
                <v:textbox style="mso-fit-shape-to-text:t">
                  <w:txbxContent>
                    <w:p w14:paraId="4E6064E1"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b/>
                          <w:bCs/>
                          <w:sz w:val="20"/>
                          <w:szCs w:val="20"/>
                        </w:rPr>
                        <w:t>Input</w:t>
                      </w:r>
                      <w:r w:rsidRPr="00386BF6">
                        <w:rPr>
                          <w:rFonts w:ascii="Times New Roman" w:hAnsi="Times New Roman" w:cs="Times New Roman"/>
                          <w:sz w:val="20"/>
                          <w:szCs w:val="20"/>
                        </w:rPr>
                        <w:t>: Dataset D, base learners L, number of layers N</w:t>
                      </w:r>
                    </w:p>
                    <w:p w14:paraId="630AF922"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b/>
                          <w:bCs/>
                          <w:sz w:val="20"/>
                          <w:szCs w:val="20"/>
                        </w:rPr>
                        <w:t>Output</w:t>
                      </w:r>
                      <w:r w:rsidRPr="00386BF6">
                        <w:rPr>
                          <w:rFonts w:ascii="Times New Roman" w:hAnsi="Times New Roman" w:cs="Times New Roman"/>
                          <w:sz w:val="20"/>
                          <w:szCs w:val="20"/>
                        </w:rPr>
                        <w:t>: Final prediction P</w:t>
                      </w:r>
                    </w:p>
                    <w:p w14:paraId="370485B0"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1: Preprocess data D</w:t>
                      </w:r>
                    </w:p>
                    <w:p w14:paraId="43897FD6"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2: Split data into training set T and validation set V</w:t>
                      </w:r>
                    </w:p>
                    <w:p w14:paraId="0CFA18DA"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3: Initialize weights W for base learners</w:t>
                      </w:r>
                    </w:p>
                    <w:p w14:paraId="71980A15"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4: for each layer i in 1 to N do</w:t>
                      </w:r>
                    </w:p>
                    <w:p w14:paraId="70C7ABE1"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5:     Train base learners L on T</w:t>
                      </w:r>
                    </w:p>
                    <w:p w14:paraId="3719D871"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6:     Evaluate base learners on V</w:t>
                      </w:r>
                    </w:p>
                    <w:p w14:paraId="75912AB5"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7:     Adjust weights W based on performance</w:t>
                      </w:r>
                    </w:p>
                    <w:p w14:paraId="5D2062C7"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8:     Combine predictions using weighted sum</w:t>
                      </w:r>
                    </w:p>
                    <w:p w14:paraId="3E7A6467"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9:     Pass combined predictions to next layer</w:t>
                      </w:r>
                    </w:p>
                    <w:p w14:paraId="786AA3C6"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10: end for</w:t>
                      </w:r>
                    </w:p>
                    <w:p w14:paraId="2E19D366"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11: Aggregate final predictions from all layers</w:t>
                      </w:r>
                    </w:p>
                    <w:p w14:paraId="2FCFBC42" w14:textId="77777777" w:rsidR="00386BF6" w:rsidRPr="00386BF6" w:rsidRDefault="00386BF6" w:rsidP="00386BF6">
                      <w:pPr>
                        <w:jc w:val="both"/>
                        <w:rPr>
                          <w:rFonts w:ascii="Times New Roman" w:hAnsi="Times New Roman" w:cs="Times New Roman"/>
                          <w:sz w:val="20"/>
                          <w:szCs w:val="20"/>
                        </w:rPr>
                      </w:pPr>
                      <w:r w:rsidRPr="00386BF6">
                        <w:rPr>
                          <w:rFonts w:ascii="Times New Roman" w:hAnsi="Times New Roman" w:cs="Times New Roman"/>
                          <w:sz w:val="20"/>
                          <w:szCs w:val="20"/>
                        </w:rPr>
                        <w:t>12: return Final prediction P</w:t>
                      </w:r>
                    </w:p>
                  </w:txbxContent>
                </v:textbox>
                <w10:wrap type="square" anchorx="margin"/>
              </v:shape>
            </w:pict>
          </mc:Fallback>
        </mc:AlternateContent>
      </w:r>
      <w:r w:rsidR="002F5D2F" w:rsidRPr="00386BF6">
        <w:rPr>
          <w:rFonts w:ascii="Times New Roman" w:hAnsi="Times New Roman" w:cs="Times New Roman"/>
          <w:sz w:val="20"/>
          <w:szCs w:val="20"/>
        </w:rPr>
        <w:t>Adjust the weights W for the next layer based on the performance score S</w:t>
      </w:r>
      <w:r w:rsidR="002F5D2F" w:rsidRPr="00386BF6">
        <w:rPr>
          <w:rFonts w:ascii="Times New Roman" w:hAnsi="Times New Roman" w:cs="Times New Roman"/>
          <w:sz w:val="20"/>
          <w:szCs w:val="20"/>
          <w:vertAlign w:val="subscript"/>
        </w:rPr>
        <w:t>k</w:t>
      </w:r>
      <w:r w:rsidR="002F5D2F" w:rsidRPr="00386BF6">
        <w:rPr>
          <w:rFonts w:ascii="Times New Roman" w:hAnsi="Times New Roman" w:cs="Times New Roman"/>
          <w:sz w:val="20"/>
          <w:szCs w:val="20"/>
        </w:rPr>
        <w:t>​:</w:t>
      </w:r>
    </w:p>
    <w:p w14:paraId="7FD085F9" w14:textId="1F2D58F5" w:rsidR="00560EC4" w:rsidRPr="00386BF6" w:rsidRDefault="00000000" w:rsidP="00C55361">
      <w:pPr>
        <w:pStyle w:val="ListParagraph"/>
        <w:ind w:left="1440"/>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k,i</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k,i</m:t>
                  </m:r>
                </m:sub>
              </m:sSub>
            </m:num>
            <m:den>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j=1</m:t>
                  </m:r>
                </m:sub>
                <m:sup>
                  <m:r>
                    <w:rPr>
                      <w:rFonts w:ascii="Cambria Math" w:hAnsi="Cambria Math" w:cs="Times New Roman"/>
                      <w:sz w:val="20"/>
                      <w:szCs w:val="20"/>
                    </w:rPr>
                    <m:t>m</m:t>
                  </m:r>
                </m:sup>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k,j</m:t>
                      </m:r>
                    </m:sub>
                  </m:sSub>
                </m:e>
              </m:nary>
            </m:den>
          </m:f>
        </m:oMath>
      </m:oMathPara>
    </w:p>
    <w:p w14:paraId="60FA5D0C" w14:textId="24ED8F78" w:rsidR="00560EC4" w:rsidRPr="00386BF6" w:rsidRDefault="00560EC4" w:rsidP="00C55361">
      <w:pPr>
        <w:pStyle w:val="ListParagraph"/>
        <w:ind w:left="1440"/>
        <w:jc w:val="center"/>
        <w:rPr>
          <w:rFonts w:ascii="Times New Roman" w:hAnsi="Times New Roman" w:cs="Times New Roman"/>
          <w:sz w:val="20"/>
          <w:szCs w:val="20"/>
        </w:rPr>
      </w:pPr>
    </w:p>
    <w:p w14:paraId="57DA6E8E" w14:textId="11BF2B68" w:rsidR="002F5D2F" w:rsidRPr="00386BF6" w:rsidRDefault="002F5D2F" w:rsidP="00C55361">
      <w:pPr>
        <w:pStyle w:val="ListParagraph"/>
        <w:numPr>
          <w:ilvl w:val="0"/>
          <w:numId w:val="5"/>
        </w:numPr>
        <w:ind w:left="1440"/>
        <w:jc w:val="both"/>
        <w:rPr>
          <w:rFonts w:ascii="Times New Roman" w:hAnsi="Times New Roman" w:cs="Times New Roman"/>
          <w:sz w:val="20"/>
          <w:szCs w:val="20"/>
        </w:rPr>
      </w:pPr>
      <w:r w:rsidRPr="00386BF6">
        <w:rPr>
          <w:rFonts w:ascii="Times New Roman" w:hAnsi="Times New Roman" w:cs="Times New Roman"/>
          <w:sz w:val="20"/>
          <w:szCs w:val="20"/>
        </w:rPr>
        <w:t>Pass the combined predictions P</w:t>
      </w:r>
      <w:r w:rsidRPr="00386BF6">
        <w:rPr>
          <w:rFonts w:ascii="Times New Roman" w:hAnsi="Times New Roman" w:cs="Times New Roman"/>
          <w:sz w:val="20"/>
          <w:szCs w:val="20"/>
          <w:vertAlign w:val="subscript"/>
        </w:rPr>
        <w:t>k</w:t>
      </w:r>
      <w:r w:rsidRPr="00386BF6">
        <w:rPr>
          <w:rFonts w:ascii="Times New Roman" w:hAnsi="Times New Roman" w:cs="Times New Roman"/>
          <w:sz w:val="20"/>
          <w:szCs w:val="20"/>
        </w:rPr>
        <w:t>​ to the next layer.</w:t>
      </w:r>
    </w:p>
    <w:p w14:paraId="71D03086" w14:textId="3CE42100" w:rsidR="002F5D2F" w:rsidRPr="00386BF6" w:rsidRDefault="002F5D2F" w:rsidP="002F5D2F">
      <w:pPr>
        <w:numPr>
          <w:ilvl w:val="0"/>
          <w:numId w:val="4"/>
        </w:numPr>
        <w:jc w:val="both"/>
        <w:rPr>
          <w:rFonts w:ascii="Times New Roman" w:hAnsi="Times New Roman" w:cs="Times New Roman"/>
          <w:sz w:val="20"/>
          <w:szCs w:val="20"/>
        </w:rPr>
      </w:pPr>
      <w:r w:rsidRPr="00386BF6">
        <w:rPr>
          <w:rFonts w:ascii="Times New Roman" w:hAnsi="Times New Roman" w:cs="Times New Roman"/>
          <w:b/>
          <w:bCs/>
          <w:sz w:val="20"/>
          <w:szCs w:val="20"/>
        </w:rPr>
        <w:t>Final Aggregation:</w:t>
      </w:r>
    </w:p>
    <w:p w14:paraId="5AE276F2" w14:textId="093CE76C" w:rsidR="002F5D2F" w:rsidRPr="00386BF6" w:rsidRDefault="002F5D2F" w:rsidP="002F5D2F">
      <w:pPr>
        <w:numPr>
          <w:ilvl w:val="1"/>
          <w:numId w:val="4"/>
        </w:numPr>
        <w:jc w:val="both"/>
        <w:rPr>
          <w:rFonts w:ascii="Times New Roman" w:hAnsi="Times New Roman" w:cs="Times New Roman"/>
          <w:sz w:val="20"/>
          <w:szCs w:val="20"/>
        </w:rPr>
      </w:pPr>
      <w:r w:rsidRPr="00386BF6">
        <w:rPr>
          <w:rFonts w:ascii="Times New Roman" w:hAnsi="Times New Roman" w:cs="Times New Roman"/>
          <w:sz w:val="20"/>
          <w:szCs w:val="20"/>
        </w:rPr>
        <w:t>After passing through all N layers, aggregate the final predictions from all layers. The final prediction P is obtained by aggregating the weighted predictions from the last layer N:</w:t>
      </w:r>
    </w:p>
    <w:p w14:paraId="68BE16A9" w14:textId="71956198" w:rsidR="00214758" w:rsidRPr="00386BF6" w:rsidRDefault="00214758" w:rsidP="00214758">
      <w:pPr>
        <w:pStyle w:val="ListParagraph"/>
        <w:tabs>
          <w:tab w:val="num" w:pos="2160"/>
        </w:tabs>
        <w:jc w:val="center"/>
        <w:rPr>
          <w:rFonts w:ascii="Times New Roman" w:eastAsiaTheme="minorEastAsia" w:hAnsi="Times New Roman" w:cs="Times New Roman"/>
          <w:sz w:val="20"/>
          <w:szCs w:val="20"/>
        </w:rPr>
      </w:pPr>
      <m:oMathPara>
        <m:oMath>
          <m:r>
            <w:rPr>
              <w:rFonts w:ascii="Cambria Math" w:hAnsi="Cambria Math" w:cs="Times New Roman"/>
              <w:sz w:val="20"/>
              <w:szCs w:val="20"/>
            </w:rPr>
            <m:t>P=</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m</m:t>
              </m:r>
            </m:sup>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N, i</m:t>
                  </m:r>
                </m:sub>
              </m:sSub>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N, i</m:t>
                  </m:r>
                </m:sub>
              </m:sSub>
            </m:e>
          </m:nary>
        </m:oMath>
      </m:oMathPara>
    </w:p>
    <w:p w14:paraId="6F794167" w14:textId="586A179C" w:rsidR="00614D95" w:rsidRPr="00386BF6" w:rsidRDefault="000D41E6" w:rsidP="00DD77D2">
      <w:pPr>
        <w:rPr>
          <w:rFonts w:ascii="Times New Roman" w:hAnsi="Times New Roman" w:cs="Times New Roman"/>
          <w:b/>
          <w:bCs/>
          <w:sz w:val="20"/>
          <w:szCs w:val="20"/>
        </w:rPr>
      </w:pPr>
      <w:r w:rsidRPr="00386BF6">
        <w:rPr>
          <w:rFonts w:ascii="Times New Roman" w:hAnsi="Times New Roman" w:cs="Times New Roman"/>
          <w:b/>
          <w:bCs/>
          <w:noProof/>
          <w:sz w:val="20"/>
          <w:szCs w:val="20"/>
        </w:rPr>
        <w:drawing>
          <wp:inline distT="0" distB="0" distL="0" distR="0" wp14:anchorId="44E596F5" wp14:editId="304BAC33">
            <wp:extent cx="2971800" cy="2298065"/>
            <wp:effectExtent l="0" t="0" r="0" b="6985"/>
            <wp:docPr id="45639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98234" name=""/>
                    <pic:cNvPicPr/>
                  </pic:nvPicPr>
                  <pic:blipFill>
                    <a:blip r:embed="rId7">
                      <a:extLst>
                        <a:ext uri="{BEBA8EAE-BF5A-486C-A8C5-ECC9F3942E4B}">
                          <a14:imgProps xmlns:a14="http://schemas.microsoft.com/office/drawing/2010/main">
                            <a14:imgLayer r:embed="rId8">
                              <a14:imgEffect>
                                <a14:sharpenSoften amount="25000"/>
                              </a14:imgEffect>
                            </a14:imgLayer>
                          </a14:imgProps>
                        </a:ext>
                      </a:extLst>
                    </a:blip>
                    <a:stretch>
                      <a:fillRect/>
                    </a:stretch>
                  </pic:blipFill>
                  <pic:spPr>
                    <a:xfrm>
                      <a:off x="0" y="0"/>
                      <a:ext cx="2971800" cy="2298065"/>
                    </a:xfrm>
                    <a:prstGeom prst="rect">
                      <a:avLst/>
                    </a:prstGeom>
                  </pic:spPr>
                </pic:pic>
              </a:graphicData>
            </a:graphic>
          </wp:inline>
        </w:drawing>
      </w:r>
    </w:p>
    <w:p w14:paraId="595B34EB" w14:textId="47864DE6" w:rsidR="000D41E6" w:rsidRPr="00386BF6" w:rsidRDefault="000D41E6" w:rsidP="000D41E6">
      <w:pPr>
        <w:jc w:val="center"/>
        <w:rPr>
          <w:rFonts w:ascii="Times New Roman" w:hAnsi="Times New Roman" w:cs="Times New Roman"/>
          <w:b/>
          <w:bCs/>
          <w:sz w:val="20"/>
          <w:szCs w:val="20"/>
        </w:rPr>
      </w:pPr>
      <w:r w:rsidRPr="00386BF6">
        <w:rPr>
          <w:rFonts w:ascii="Times New Roman" w:hAnsi="Times New Roman" w:cs="Times New Roman"/>
          <w:b/>
          <w:bCs/>
          <w:sz w:val="20"/>
          <w:szCs w:val="20"/>
        </w:rPr>
        <w:t>Figure 2 Workflow of the proposed technique</w:t>
      </w:r>
    </w:p>
    <w:p w14:paraId="5A767BBF" w14:textId="0E763365" w:rsidR="00131398" w:rsidRPr="00386BF6" w:rsidRDefault="00621D23" w:rsidP="000D41E6">
      <w:pPr>
        <w:jc w:val="both"/>
        <w:rPr>
          <w:rFonts w:ascii="Times New Roman" w:hAnsi="Times New Roman" w:cs="Times New Roman"/>
          <w:sz w:val="20"/>
          <w:szCs w:val="20"/>
        </w:rPr>
      </w:pPr>
      <w:r w:rsidRPr="00386BF6">
        <w:rPr>
          <w:rFonts w:ascii="Times New Roman" w:hAnsi="Times New Roman" w:cs="Times New Roman"/>
          <w:b/>
          <w:bCs/>
          <w:sz w:val="20"/>
          <w:szCs w:val="20"/>
        </w:rPr>
        <w:t>Pseudocode:</w:t>
      </w:r>
      <w:r w:rsidR="005A1B1F" w:rsidRPr="00386BF6">
        <w:rPr>
          <w:rFonts w:ascii="Times New Roman" w:hAnsi="Times New Roman" w:cs="Times New Roman"/>
          <w:sz w:val="20"/>
          <w:szCs w:val="20"/>
        </w:rPr>
        <w:tab/>
        <w:t>To provide a clear understanding of the AMEL framework, the following pseudocode outlines the core steps involved in the algorithm:</w:t>
      </w:r>
    </w:p>
    <w:p w14:paraId="46CE7345" w14:textId="7EE8C8D8" w:rsidR="0018232F" w:rsidRPr="00857731" w:rsidRDefault="0018232F" w:rsidP="00AB2858">
      <w:pPr>
        <w:jc w:val="center"/>
        <w:rPr>
          <w:rFonts w:ascii="Times New Roman" w:hAnsi="Times New Roman" w:cs="Times New Roman"/>
          <w:b/>
          <w:bCs/>
          <w:sz w:val="20"/>
          <w:szCs w:val="20"/>
        </w:rPr>
      </w:pPr>
      <w:r w:rsidRPr="00857731">
        <w:rPr>
          <w:rFonts w:ascii="Times New Roman" w:hAnsi="Times New Roman" w:cs="Times New Roman"/>
          <w:b/>
          <w:bCs/>
          <w:sz w:val="20"/>
          <w:szCs w:val="20"/>
        </w:rPr>
        <w:t>IV RESULTS AND DISCUSSION</w:t>
      </w:r>
    </w:p>
    <w:p w14:paraId="0D964A07" w14:textId="2DBB4017" w:rsidR="009B2DE5" w:rsidRPr="00857731" w:rsidRDefault="009B2DE5" w:rsidP="00AB2858">
      <w:pPr>
        <w:rPr>
          <w:rFonts w:ascii="Times New Roman" w:hAnsi="Times New Roman" w:cs="Times New Roman"/>
          <w:b/>
          <w:bCs/>
          <w:sz w:val="20"/>
          <w:szCs w:val="20"/>
        </w:rPr>
      </w:pPr>
      <w:r w:rsidRPr="00857731">
        <w:rPr>
          <w:rFonts w:ascii="Times New Roman" w:hAnsi="Times New Roman" w:cs="Times New Roman"/>
          <w:b/>
          <w:bCs/>
          <w:sz w:val="20"/>
          <w:szCs w:val="20"/>
        </w:rPr>
        <w:t>4.1 Experimental Setup:</w:t>
      </w:r>
    </w:p>
    <w:p w14:paraId="0A7DDE07" w14:textId="527A63FC" w:rsidR="009B2DE5" w:rsidRPr="00386BF6" w:rsidRDefault="009B2DE5" w:rsidP="009B2DE5">
      <w:pPr>
        <w:ind w:firstLine="720"/>
        <w:jc w:val="both"/>
        <w:rPr>
          <w:rFonts w:ascii="Times New Roman" w:hAnsi="Times New Roman" w:cs="Times New Roman"/>
          <w:sz w:val="20"/>
          <w:szCs w:val="20"/>
        </w:rPr>
      </w:pPr>
      <w:r w:rsidRPr="00386BF6">
        <w:rPr>
          <w:rFonts w:ascii="Times New Roman" w:hAnsi="Times New Roman" w:cs="Times New Roman"/>
          <w:b/>
          <w:bCs/>
          <w:sz w:val="20"/>
          <w:szCs w:val="20"/>
        </w:rPr>
        <w:tab/>
      </w:r>
      <w:r w:rsidRPr="00386BF6">
        <w:rPr>
          <w:rFonts w:ascii="Times New Roman" w:hAnsi="Times New Roman" w:cs="Times New Roman"/>
          <w:sz w:val="20"/>
          <w:szCs w:val="20"/>
        </w:rPr>
        <w:t>The implementation was conducted using Python, leveraging libraries such as Scikit-learn, TensorFlow, NumPy, Pandas, and Matplotlib for data processing, model training, and evaluation. The experiments were executed on a high-performance machine equipped with an Intel Core i7 processor, 32GB of RAM, and an NVIDIA RTX 3080 GPU, ensuring efficient handling of large datasets and complex computations.</w:t>
      </w:r>
    </w:p>
    <w:p w14:paraId="30E90D5C" w14:textId="751597DD" w:rsidR="009B2DE5" w:rsidRPr="00857731" w:rsidRDefault="00504730" w:rsidP="00AB2858">
      <w:pPr>
        <w:rPr>
          <w:rFonts w:ascii="Times New Roman" w:hAnsi="Times New Roman" w:cs="Times New Roman"/>
          <w:b/>
          <w:bCs/>
          <w:sz w:val="20"/>
          <w:szCs w:val="20"/>
        </w:rPr>
      </w:pPr>
      <w:r w:rsidRPr="00857731">
        <w:rPr>
          <w:rFonts w:ascii="Times New Roman" w:hAnsi="Times New Roman" w:cs="Times New Roman"/>
          <w:b/>
          <w:bCs/>
          <w:sz w:val="20"/>
          <w:szCs w:val="20"/>
        </w:rPr>
        <w:t xml:space="preserve">4.2 </w:t>
      </w:r>
      <w:r w:rsidR="009B2DE5" w:rsidRPr="00857731">
        <w:rPr>
          <w:rFonts w:ascii="Times New Roman" w:hAnsi="Times New Roman" w:cs="Times New Roman"/>
          <w:b/>
          <w:bCs/>
          <w:sz w:val="20"/>
          <w:szCs w:val="20"/>
        </w:rPr>
        <w:t xml:space="preserve">Dataset: </w:t>
      </w:r>
    </w:p>
    <w:p w14:paraId="5F766BD1" w14:textId="5F8D60A8" w:rsidR="009B2DE5" w:rsidRPr="00386BF6" w:rsidRDefault="0018232F" w:rsidP="009B2DE5">
      <w:pPr>
        <w:jc w:val="both"/>
        <w:rPr>
          <w:rFonts w:ascii="Times New Roman" w:hAnsi="Times New Roman" w:cs="Times New Roman"/>
          <w:sz w:val="20"/>
          <w:szCs w:val="20"/>
        </w:rPr>
      </w:pPr>
      <w:r w:rsidRPr="00386BF6">
        <w:rPr>
          <w:rFonts w:ascii="Times New Roman" w:hAnsi="Times New Roman" w:cs="Times New Roman"/>
          <w:b/>
          <w:bCs/>
          <w:sz w:val="20"/>
          <w:szCs w:val="20"/>
        </w:rPr>
        <w:tab/>
      </w:r>
      <w:r w:rsidR="009B2DE5" w:rsidRPr="00386BF6">
        <w:rPr>
          <w:rFonts w:ascii="Times New Roman" w:hAnsi="Times New Roman" w:cs="Times New Roman"/>
          <w:sz w:val="20"/>
          <w:szCs w:val="20"/>
        </w:rPr>
        <w:t xml:space="preserve">The experimental setup for evaluating the Adaptive Multi-Layer Ensemble Learning (AMEL) framework involved a comprehensive approach using diverse datasets, computational resources, and established baseline methods. We utilized three large-scale datasets from distinct domains—healthcare, finance, and social media—to ensure a thorough assessment of AMEL's versatility and performance. </w:t>
      </w:r>
    </w:p>
    <w:p w14:paraId="0D8603BF" w14:textId="77777777" w:rsidR="009B2DE5" w:rsidRPr="00386BF6" w:rsidRDefault="009B2DE5" w:rsidP="009B2DE5">
      <w:pPr>
        <w:jc w:val="both"/>
        <w:rPr>
          <w:rFonts w:ascii="Times New Roman" w:hAnsi="Times New Roman" w:cs="Times New Roman"/>
          <w:b/>
          <w:bCs/>
          <w:sz w:val="20"/>
          <w:szCs w:val="20"/>
        </w:rPr>
      </w:pPr>
      <w:r w:rsidRPr="00386BF6">
        <w:rPr>
          <w:rFonts w:ascii="Times New Roman" w:hAnsi="Times New Roman" w:cs="Times New Roman"/>
          <w:b/>
          <w:bCs/>
          <w:sz w:val="20"/>
          <w:szCs w:val="20"/>
        </w:rPr>
        <w:t>1. Healthcare Dataset</w:t>
      </w:r>
    </w:p>
    <w:p w14:paraId="673F0FC8" w14:textId="00C55E7F" w:rsidR="009B2DE5" w:rsidRPr="00386BF6" w:rsidRDefault="009B2DE5" w:rsidP="009B2DE5">
      <w:pPr>
        <w:ind w:firstLine="720"/>
        <w:jc w:val="both"/>
        <w:rPr>
          <w:rFonts w:ascii="Times New Roman" w:hAnsi="Times New Roman" w:cs="Times New Roman"/>
          <w:sz w:val="20"/>
          <w:szCs w:val="20"/>
        </w:rPr>
      </w:pPr>
      <w:r w:rsidRPr="00386BF6">
        <w:rPr>
          <w:rFonts w:ascii="Times New Roman" w:hAnsi="Times New Roman" w:cs="Times New Roman"/>
          <w:sz w:val="20"/>
          <w:szCs w:val="20"/>
        </w:rPr>
        <w:t>The healthcare dataset comprises patient records that include demographic information, medical history, and treatment outcomes. This dataset is typically used for tasks such as disease prediction, patient risk assessment, and treatment effectiveness evaluation. The rich variety of features and the presence of complex patterns make it an ideal candidate for testing predictive modeling frameworks. (MIMIC-III Clinical Database)</w:t>
      </w:r>
    </w:p>
    <w:p w14:paraId="794D6004" w14:textId="26842D15" w:rsidR="009B2DE5" w:rsidRPr="00386BF6" w:rsidRDefault="009B2DE5" w:rsidP="009B2DE5">
      <w:pPr>
        <w:jc w:val="both"/>
        <w:rPr>
          <w:rFonts w:ascii="Times New Roman" w:hAnsi="Times New Roman" w:cs="Times New Roman"/>
          <w:b/>
          <w:bCs/>
          <w:sz w:val="20"/>
          <w:szCs w:val="20"/>
        </w:rPr>
      </w:pPr>
      <w:r w:rsidRPr="00386BF6">
        <w:rPr>
          <w:rFonts w:ascii="Times New Roman" w:hAnsi="Times New Roman" w:cs="Times New Roman"/>
          <w:b/>
          <w:bCs/>
          <w:sz w:val="20"/>
          <w:szCs w:val="20"/>
        </w:rPr>
        <w:t>2. Finance Dataset</w:t>
      </w:r>
    </w:p>
    <w:p w14:paraId="71EE4DE1" w14:textId="3B4B15B8" w:rsidR="009B2DE5" w:rsidRPr="00386BF6" w:rsidRDefault="009B2DE5" w:rsidP="009B2DE5">
      <w:pPr>
        <w:ind w:firstLine="720"/>
        <w:jc w:val="both"/>
        <w:rPr>
          <w:rFonts w:ascii="Times New Roman" w:hAnsi="Times New Roman" w:cs="Times New Roman"/>
          <w:sz w:val="20"/>
          <w:szCs w:val="20"/>
        </w:rPr>
      </w:pPr>
      <w:r w:rsidRPr="00386BF6">
        <w:rPr>
          <w:rFonts w:ascii="Times New Roman" w:hAnsi="Times New Roman" w:cs="Times New Roman"/>
          <w:sz w:val="20"/>
          <w:szCs w:val="20"/>
        </w:rPr>
        <w:t>The finance dataset contains financial transactions, customer profiles, and records of fraudulent activities. It is commonly used for fraud detection, credit scoring, and customer segmentation. The dataset includes both structured and unstructured data, presenting challenges such as imbalanced classes and noisy data, which are critical for evaluating the robustness of predictive models. (IEEE-CIS Fraud Detection)</w:t>
      </w:r>
    </w:p>
    <w:p w14:paraId="5E2EB6DC" w14:textId="77777777" w:rsidR="009B2DE5" w:rsidRPr="00386BF6" w:rsidRDefault="009B2DE5" w:rsidP="009B2DE5">
      <w:pPr>
        <w:jc w:val="both"/>
        <w:rPr>
          <w:rFonts w:ascii="Times New Roman" w:hAnsi="Times New Roman" w:cs="Times New Roman"/>
          <w:b/>
          <w:bCs/>
          <w:sz w:val="20"/>
          <w:szCs w:val="20"/>
        </w:rPr>
      </w:pPr>
      <w:r w:rsidRPr="00386BF6">
        <w:rPr>
          <w:rFonts w:ascii="Times New Roman" w:hAnsi="Times New Roman" w:cs="Times New Roman"/>
          <w:b/>
          <w:bCs/>
          <w:sz w:val="20"/>
          <w:szCs w:val="20"/>
        </w:rPr>
        <w:t>3. Social Media Dataset</w:t>
      </w:r>
    </w:p>
    <w:p w14:paraId="01AED434" w14:textId="5292889F" w:rsidR="009B2DE5" w:rsidRPr="00386BF6" w:rsidRDefault="009B2DE5" w:rsidP="009B2DE5">
      <w:pPr>
        <w:ind w:firstLine="720"/>
        <w:jc w:val="both"/>
        <w:rPr>
          <w:rFonts w:ascii="Times New Roman" w:hAnsi="Times New Roman" w:cs="Times New Roman"/>
          <w:sz w:val="20"/>
          <w:szCs w:val="20"/>
        </w:rPr>
      </w:pPr>
      <w:r w:rsidRPr="00386BF6">
        <w:rPr>
          <w:rFonts w:ascii="Times New Roman" w:hAnsi="Times New Roman" w:cs="Times New Roman"/>
          <w:sz w:val="20"/>
          <w:szCs w:val="20"/>
        </w:rPr>
        <w:t xml:space="preserve">The social media dataset includes user activity logs, interactions with posts, and sentiment analysis data. It is used for tasks such as sentiment analysis, user behavior prediction, and content recommendation. The </w:t>
      </w:r>
      <w:r w:rsidRPr="00386BF6">
        <w:rPr>
          <w:rFonts w:ascii="Times New Roman" w:hAnsi="Times New Roman" w:cs="Times New Roman"/>
          <w:sz w:val="20"/>
          <w:szCs w:val="20"/>
        </w:rPr>
        <w:lastRenderedPageBreak/>
        <w:t>dataset is characterized by its large volume, high dimensionality, and the presence of both text and numerical data, providing a challenging environment for predictive modeling. (Twitter Sentiment Analysis)</w:t>
      </w:r>
    </w:p>
    <w:p w14:paraId="32D30815" w14:textId="1E37355C" w:rsidR="009B2DE5" w:rsidRPr="00386BF6" w:rsidRDefault="00504730" w:rsidP="009B2DE5">
      <w:pPr>
        <w:jc w:val="both"/>
        <w:rPr>
          <w:rFonts w:ascii="Times New Roman" w:hAnsi="Times New Roman" w:cs="Times New Roman"/>
          <w:sz w:val="20"/>
          <w:szCs w:val="20"/>
        </w:rPr>
      </w:pPr>
      <w:r w:rsidRPr="00386BF6">
        <w:rPr>
          <w:rFonts w:ascii="Times New Roman" w:hAnsi="Times New Roman" w:cs="Times New Roman"/>
          <w:sz w:val="20"/>
          <w:szCs w:val="20"/>
        </w:rPr>
        <w:tab/>
        <w:t>These datasets were chosen to cover a wide range of real-world applications and data characteristics, allowing for a thorough evaluation of the AMEL framework's performance and generalizability.</w:t>
      </w:r>
    </w:p>
    <w:p w14:paraId="079A0E39" w14:textId="67F8BC13" w:rsidR="00504730" w:rsidRPr="00857731" w:rsidRDefault="00504730" w:rsidP="00EC56FF">
      <w:pPr>
        <w:rPr>
          <w:rFonts w:ascii="Times New Roman" w:hAnsi="Times New Roman" w:cs="Times New Roman"/>
          <w:b/>
          <w:bCs/>
          <w:sz w:val="20"/>
          <w:szCs w:val="20"/>
        </w:rPr>
      </w:pPr>
      <w:r w:rsidRPr="00857731">
        <w:rPr>
          <w:rFonts w:ascii="Times New Roman" w:hAnsi="Times New Roman" w:cs="Times New Roman"/>
          <w:b/>
          <w:bCs/>
          <w:sz w:val="20"/>
          <w:szCs w:val="20"/>
        </w:rPr>
        <w:t xml:space="preserve">4.3 Baseline Methods </w:t>
      </w:r>
    </w:p>
    <w:p w14:paraId="40C43987" w14:textId="77777777" w:rsidR="009B2DE5" w:rsidRPr="00386BF6" w:rsidRDefault="009B2DE5" w:rsidP="009B2DE5">
      <w:pPr>
        <w:ind w:firstLine="720"/>
        <w:jc w:val="both"/>
        <w:rPr>
          <w:rFonts w:ascii="Times New Roman" w:hAnsi="Times New Roman" w:cs="Times New Roman"/>
          <w:sz w:val="20"/>
          <w:szCs w:val="20"/>
        </w:rPr>
      </w:pPr>
      <w:r w:rsidRPr="00386BF6">
        <w:rPr>
          <w:rFonts w:ascii="Times New Roman" w:hAnsi="Times New Roman" w:cs="Times New Roman"/>
          <w:sz w:val="20"/>
          <w:szCs w:val="20"/>
        </w:rPr>
        <w:t>To benchmark AMEL's performance, we compared it against traditional ensemble methods, including Bagging (Bootstrap Aggregating), Boosting (AdaBoost), Random Forest, and Stacking. The evaluation metrics used to assess performance included accuracy, precision, recall, F1 score, ROC AUC, and prediction variance. This comprehensive setup enabled a robust and detailed evaluation of AMEL, highlighting its advantages over existing techniques in terms of accuracy, robustness, and scalability.</w:t>
      </w:r>
    </w:p>
    <w:p w14:paraId="1D7C926D" w14:textId="77777777" w:rsidR="00504730" w:rsidRPr="00386BF6" w:rsidRDefault="00504730" w:rsidP="00504730">
      <w:pPr>
        <w:pStyle w:val="ListParagraph"/>
        <w:numPr>
          <w:ilvl w:val="0"/>
          <w:numId w:val="6"/>
        </w:numPr>
        <w:jc w:val="both"/>
        <w:rPr>
          <w:rFonts w:ascii="Times New Roman" w:hAnsi="Times New Roman" w:cs="Times New Roman"/>
          <w:sz w:val="20"/>
          <w:szCs w:val="20"/>
        </w:rPr>
      </w:pPr>
      <w:r w:rsidRPr="00386BF6">
        <w:rPr>
          <w:rFonts w:ascii="Times New Roman" w:hAnsi="Times New Roman" w:cs="Times New Roman"/>
          <w:b/>
          <w:bCs/>
          <w:i/>
          <w:iCs/>
          <w:sz w:val="20"/>
          <w:szCs w:val="20"/>
        </w:rPr>
        <w:t>Bagging</w:t>
      </w:r>
      <w:r w:rsidRPr="00386BF6">
        <w:rPr>
          <w:rFonts w:ascii="Times New Roman" w:hAnsi="Times New Roman" w:cs="Times New Roman"/>
          <w:sz w:val="20"/>
          <w:szCs w:val="20"/>
        </w:rPr>
        <w:t>: Bootstrap Aggregating.</w:t>
      </w:r>
    </w:p>
    <w:p w14:paraId="4F0A310B" w14:textId="77777777" w:rsidR="00504730" w:rsidRPr="00386BF6" w:rsidRDefault="00504730" w:rsidP="00504730">
      <w:pPr>
        <w:pStyle w:val="ListParagraph"/>
        <w:numPr>
          <w:ilvl w:val="0"/>
          <w:numId w:val="6"/>
        </w:numPr>
        <w:jc w:val="both"/>
        <w:rPr>
          <w:rFonts w:ascii="Times New Roman" w:hAnsi="Times New Roman" w:cs="Times New Roman"/>
          <w:sz w:val="20"/>
          <w:szCs w:val="20"/>
        </w:rPr>
      </w:pPr>
      <w:r w:rsidRPr="00386BF6">
        <w:rPr>
          <w:rFonts w:ascii="Times New Roman" w:hAnsi="Times New Roman" w:cs="Times New Roman"/>
          <w:b/>
          <w:bCs/>
          <w:i/>
          <w:iCs/>
          <w:sz w:val="20"/>
          <w:szCs w:val="20"/>
        </w:rPr>
        <w:t>Boosting</w:t>
      </w:r>
      <w:r w:rsidRPr="00386BF6">
        <w:rPr>
          <w:rFonts w:ascii="Times New Roman" w:hAnsi="Times New Roman" w:cs="Times New Roman"/>
          <w:sz w:val="20"/>
          <w:szCs w:val="20"/>
        </w:rPr>
        <w:t>: AdaBoost (Adaptive Boosting).</w:t>
      </w:r>
    </w:p>
    <w:p w14:paraId="55085DD8" w14:textId="77777777" w:rsidR="00504730" w:rsidRPr="00386BF6" w:rsidRDefault="00504730" w:rsidP="00504730">
      <w:pPr>
        <w:pStyle w:val="ListParagraph"/>
        <w:numPr>
          <w:ilvl w:val="0"/>
          <w:numId w:val="6"/>
        </w:numPr>
        <w:jc w:val="both"/>
        <w:rPr>
          <w:rFonts w:ascii="Times New Roman" w:hAnsi="Times New Roman" w:cs="Times New Roman"/>
          <w:sz w:val="20"/>
          <w:szCs w:val="20"/>
        </w:rPr>
      </w:pPr>
      <w:r w:rsidRPr="00386BF6">
        <w:rPr>
          <w:rFonts w:ascii="Times New Roman" w:hAnsi="Times New Roman" w:cs="Times New Roman"/>
          <w:b/>
          <w:bCs/>
          <w:i/>
          <w:iCs/>
          <w:sz w:val="20"/>
          <w:szCs w:val="20"/>
        </w:rPr>
        <w:t>Stacking</w:t>
      </w:r>
      <w:r w:rsidRPr="00386BF6">
        <w:rPr>
          <w:rFonts w:ascii="Times New Roman" w:hAnsi="Times New Roman" w:cs="Times New Roman"/>
          <w:sz w:val="20"/>
          <w:szCs w:val="20"/>
        </w:rPr>
        <w:t>: A meta-learning ensemble technique.</w:t>
      </w:r>
    </w:p>
    <w:p w14:paraId="5182611A" w14:textId="3D05020F" w:rsidR="00504730" w:rsidRPr="00386BF6" w:rsidRDefault="00504730" w:rsidP="00504730">
      <w:pPr>
        <w:pStyle w:val="ListParagraph"/>
        <w:numPr>
          <w:ilvl w:val="0"/>
          <w:numId w:val="6"/>
        </w:numPr>
        <w:jc w:val="both"/>
        <w:rPr>
          <w:rFonts w:ascii="Times New Roman" w:hAnsi="Times New Roman" w:cs="Times New Roman"/>
          <w:sz w:val="20"/>
          <w:szCs w:val="20"/>
        </w:rPr>
      </w:pPr>
      <w:r w:rsidRPr="00386BF6">
        <w:rPr>
          <w:rFonts w:ascii="Times New Roman" w:hAnsi="Times New Roman" w:cs="Times New Roman"/>
          <w:b/>
          <w:bCs/>
          <w:i/>
          <w:iCs/>
          <w:sz w:val="20"/>
          <w:szCs w:val="20"/>
        </w:rPr>
        <w:t>Random</w:t>
      </w:r>
      <w:r w:rsidRPr="00386BF6">
        <w:rPr>
          <w:rFonts w:ascii="Times New Roman" w:hAnsi="Times New Roman" w:cs="Times New Roman"/>
          <w:sz w:val="20"/>
          <w:szCs w:val="20"/>
        </w:rPr>
        <w:t xml:space="preserve"> </w:t>
      </w:r>
      <w:r w:rsidRPr="00386BF6">
        <w:rPr>
          <w:rFonts w:ascii="Times New Roman" w:hAnsi="Times New Roman" w:cs="Times New Roman"/>
          <w:b/>
          <w:bCs/>
          <w:i/>
          <w:iCs/>
          <w:sz w:val="20"/>
          <w:szCs w:val="20"/>
        </w:rPr>
        <w:t>Forest</w:t>
      </w:r>
      <w:r w:rsidRPr="00386BF6">
        <w:rPr>
          <w:rFonts w:ascii="Times New Roman" w:hAnsi="Times New Roman" w:cs="Times New Roman"/>
          <w:sz w:val="20"/>
          <w:szCs w:val="20"/>
        </w:rPr>
        <w:t>: An ensemble of decision trees.</w:t>
      </w:r>
    </w:p>
    <w:p w14:paraId="2503F9AE" w14:textId="43C318D8" w:rsidR="0018232F" w:rsidRPr="00857731" w:rsidRDefault="00504730" w:rsidP="00EC56FF">
      <w:pPr>
        <w:rPr>
          <w:rFonts w:ascii="Times New Roman" w:hAnsi="Times New Roman" w:cs="Times New Roman"/>
          <w:b/>
          <w:bCs/>
          <w:sz w:val="20"/>
          <w:szCs w:val="20"/>
        </w:rPr>
      </w:pPr>
      <w:r w:rsidRPr="00857731">
        <w:rPr>
          <w:rFonts w:ascii="Times New Roman" w:hAnsi="Times New Roman" w:cs="Times New Roman"/>
          <w:b/>
          <w:bCs/>
          <w:sz w:val="20"/>
          <w:szCs w:val="20"/>
        </w:rPr>
        <w:t>4.4 Evaluation Metrics</w:t>
      </w:r>
    </w:p>
    <w:p w14:paraId="533AD536" w14:textId="275E9937" w:rsidR="00504730" w:rsidRPr="00386BF6" w:rsidRDefault="00504730" w:rsidP="0018232F">
      <w:pPr>
        <w:jc w:val="both"/>
        <w:rPr>
          <w:rFonts w:ascii="Times New Roman" w:hAnsi="Times New Roman" w:cs="Times New Roman"/>
          <w:sz w:val="20"/>
          <w:szCs w:val="20"/>
        </w:rPr>
      </w:pPr>
      <w:r w:rsidRPr="00386BF6">
        <w:rPr>
          <w:rFonts w:ascii="Times New Roman" w:hAnsi="Times New Roman" w:cs="Times New Roman"/>
          <w:b/>
          <w:bCs/>
          <w:sz w:val="20"/>
          <w:szCs w:val="20"/>
        </w:rPr>
        <w:tab/>
      </w:r>
      <w:r w:rsidR="007C3848" w:rsidRPr="00386BF6">
        <w:rPr>
          <w:rFonts w:ascii="Times New Roman" w:hAnsi="Times New Roman" w:cs="Times New Roman"/>
          <w:sz w:val="20"/>
          <w:szCs w:val="20"/>
        </w:rPr>
        <w:t>The performance of the Adaptive Multi-Layer Ensemble Learning (AMEL) framework was evaluated using several key metrics: Accuracy, Precision, Recall, F1 Score, ROC AUC, and Prediction Variance. Accuracy measures the overall correctness of the model, while Precision quantifies the accuracy of positive predictions, and Recall assesses the model's ability to identify all relevant instances. The F1 Score balances Precision and Recall, offering a comprehensive view of model performance, especially on imbalanced datasets. ROC AUC evaluates the model's discriminatory power across different thresholds, with values close to 1 indicating excellent performance. Prediction Variance measures the consistency of the model's predictions, with lower variance indicating greater stability and reduced overfitting. These metrics together provide a thorough assessment of AMEL's accuracy, robustness, and reliability.</w:t>
      </w:r>
      <w:r w:rsidR="0064707A" w:rsidRPr="00386BF6">
        <w:rPr>
          <w:rFonts w:ascii="Times New Roman" w:hAnsi="Times New Roman" w:cs="Times New Roman"/>
          <w:sz w:val="20"/>
          <w:szCs w:val="20"/>
        </w:rPr>
        <w:t xml:space="preserve"> Table 1 gives the comparison of the proposed methods with the existing techniques. </w:t>
      </w:r>
    </w:p>
    <w:p w14:paraId="412D260A" w14:textId="5CFC7DB8" w:rsidR="000D0ED5" w:rsidRPr="00386BF6" w:rsidRDefault="000D0ED5" w:rsidP="000D0ED5">
      <w:pPr>
        <w:jc w:val="center"/>
        <w:rPr>
          <w:rFonts w:ascii="Times New Roman" w:hAnsi="Times New Roman" w:cs="Times New Roman"/>
          <w:b/>
          <w:bCs/>
          <w:i/>
          <w:iCs/>
          <w:sz w:val="20"/>
          <w:szCs w:val="20"/>
        </w:rPr>
      </w:pPr>
      <w:r w:rsidRPr="00386BF6">
        <w:rPr>
          <w:rFonts w:ascii="Times New Roman" w:hAnsi="Times New Roman" w:cs="Times New Roman"/>
          <w:b/>
          <w:bCs/>
          <w:i/>
          <w:iCs/>
          <w:sz w:val="20"/>
          <w:szCs w:val="20"/>
        </w:rPr>
        <w:t xml:space="preserve">Table 1 Comparison of proposed method with existing </w:t>
      </w:r>
      <w:r w:rsidR="005F21AD" w:rsidRPr="00386BF6">
        <w:rPr>
          <w:rFonts w:ascii="Times New Roman" w:hAnsi="Times New Roman" w:cs="Times New Roman"/>
          <w:b/>
          <w:bCs/>
          <w:i/>
          <w:iCs/>
          <w:sz w:val="20"/>
          <w:szCs w:val="20"/>
        </w:rPr>
        <w:t>techniques</w:t>
      </w:r>
    </w:p>
    <w:tbl>
      <w:tblPr>
        <w:tblW w:w="5000" w:type="pct"/>
        <w:tblLook w:val="04A0" w:firstRow="1" w:lastRow="0" w:firstColumn="1" w:lastColumn="0" w:noHBand="0" w:noVBand="1"/>
      </w:tblPr>
      <w:tblGrid>
        <w:gridCol w:w="663"/>
        <w:gridCol w:w="558"/>
        <w:gridCol w:w="600"/>
        <w:gridCol w:w="589"/>
        <w:gridCol w:w="508"/>
        <w:gridCol w:w="523"/>
        <w:gridCol w:w="429"/>
        <w:gridCol w:w="636"/>
      </w:tblGrid>
      <w:tr w:rsidR="00E722A8" w:rsidRPr="00386BF6" w14:paraId="5D210735" w14:textId="77777777" w:rsidTr="00386BF6">
        <w:trPr>
          <w:trHeight w:val="725"/>
        </w:trPr>
        <w:tc>
          <w:tcPr>
            <w:tcW w:w="7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0856D9"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Dataset</w:t>
            </w:r>
          </w:p>
        </w:tc>
        <w:tc>
          <w:tcPr>
            <w:tcW w:w="911" w:type="pct"/>
            <w:tcBorders>
              <w:top w:val="single" w:sz="4" w:space="0" w:color="auto"/>
              <w:left w:val="nil"/>
              <w:bottom w:val="single" w:sz="4" w:space="0" w:color="auto"/>
              <w:right w:val="single" w:sz="4" w:space="0" w:color="auto"/>
            </w:tcBorders>
            <w:shd w:val="clear" w:color="auto" w:fill="auto"/>
            <w:vAlign w:val="center"/>
            <w:hideMark/>
          </w:tcPr>
          <w:p w14:paraId="18F89C00"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Method</w:t>
            </w:r>
          </w:p>
        </w:tc>
        <w:tc>
          <w:tcPr>
            <w:tcW w:w="610" w:type="pct"/>
            <w:tcBorders>
              <w:top w:val="single" w:sz="4" w:space="0" w:color="auto"/>
              <w:left w:val="nil"/>
              <w:bottom w:val="single" w:sz="4" w:space="0" w:color="auto"/>
              <w:right w:val="single" w:sz="4" w:space="0" w:color="auto"/>
            </w:tcBorders>
            <w:shd w:val="clear" w:color="auto" w:fill="auto"/>
            <w:vAlign w:val="center"/>
            <w:hideMark/>
          </w:tcPr>
          <w:p w14:paraId="14856553"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Accuracy</w:t>
            </w:r>
          </w:p>
        </w:tc>
        <w:tc>
          <w:tcPr>
            <w:tcW w:w="597" w:type="pct"/>
            <w:tcBorders>
              <w:top w:val="single" w:sz="4" w:space="0" w:color="auto"/>
              <w:left w:val="nil"/>
              <w:bottom w:val="single" w:sz="4" w:space="0" w:color="auto"/>
              <w:right w:val="single" w:sz="4" w:space="0" w:color="auto"/>
            </w:tcBorders>
            <w:shd w:val="clear" w:color="auto" w:fill="auto"/>
            <w:vAlign w:val="center"/>
            <w:hideMark/>
          </w:tcPr>
          <w:p w14:paraId="5C8CD2E7"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Precision</w:t>
            </w:r>
          </w:p>
        </w:tc>
        <w:tc>
          <w:tcPr>
            <w:tcW w:w="510" w:type="pct"/>
            <w:tcBorders>
              <w:top w:val="single" w:sz="4" w:space="0" w:color="auto"/>
              <w:left w:val="nil"/>
              <w:bottom w:val="single" w:sz="4" w:space="0" w:color="auto"/>
              <w:right w:val="single" w:sz="4" w:space="0" w:color="auto"/>
            </w:tcBorders>
            <w:shd w:val="clear" w:color="auto" w:fill="auto"/>
            <w:vAlign w:val="center"/>
            <w:hideMark/>
          </w:tcPr>
          <w:p w14:paraId="2183D923"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Recall</w:t>
            </w:r>
          </w:p>
        </w:tc>
        <w:tc>
          <w:tcPr>
            <w:tcW w:w="520" w:type="pct"/>
            <w:tcBorders>
              <w:top w:val="single" w:sz="4" w:space="0" w:color="auto"/>
              <w:left w:val="nil"/>
              <w:bottom w:val="single" w:sz="4" w:space="0" w:color="auto"/>
              <w:right w:val="single" w:sz="4" w:space="0" w:color="auto"/>
            </w:tcBorders>
            <w:shd w:val="clear" w:color="auto" w:fill="auto"/>
            <w:vAlign w:val="center"/>
            <w:hideMark/>
          </w:tcPr>
          <w:p w14:paraId="5A2DD8CC"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F1 Score</w:t>
            </w:r>
          </w:p>
        </w:tc>
        <w:tc>
          <w:tcPr>
            <w:tcW w:w="458" w:type="pct"/>
            <w:tcBorders>
              <w:top w:val="single" w:sz="4" w:space="0" w:color="auto"/>
              <w:left w:val="nil"/>
              <w:bottom w:val="single" w:sz="4" w:space="0" w:color="auto"/>
              <w:right w:val="single" w:sz="4" w:space="0" w:color="auto"/>
            </w:tcBorders>
            <w:shd w:val="clear" w:color="auto" w:fill="auto"/>
            <w:vAlign w:val="center"/>
            <w:hideMark/>
          </w:tcPr>
          <w:p w14:paraId="2BE2F615"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ROC AUC</w:t>
            </w:r>
          </w:p>
        </w:tc>
        <w:tc>
          <w:tcPr>
            <w:tcW w:w="657" w:type="pct"/>
            <w:tcBorders>
              <w:top w:val="single" w:sz="4" w:space="0" w:color="auto"/>
              <w:left w:val="nil"/>
              <w:bottom w:val="single" w:sz="4" w:space="0" w:color="auto"/>
              <w:right w:val="single" w:sz="4" w:space="0" w:color="auto"/>
            </w:tcBorders>
            <w:shd w:val="clear" w:color="auto" w:fill="auto"/>
            <w:vAlign w:val="center"/>
            <w:hideMark/>
          </w:tcPr>
          <w:p w14:paraId="3D0753A7"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Prediction Variance</w:t>
            </w:r>
          </w:p>
        </w:tc>
      </w:tr>
      <w:tr w:rsidR="00E722A8" w:rsidRPr="00386BF6" w14:paraId="1A5AFD41" w14:textId="77777777" w:rsidTr="00386BF6">
        <w:trPr>
          <w:trHeight w:val="378"/>
        </w:trPr>
        <w:tc>
          <w:tcPr>
            <w:tcW w:w="736" w:type="pct"/>
            <w:vMerge w:val="restart"/>
            <w:tcBorders>
              <w:top w:val="nil"/>
              <w:left w:val="single" w:sz="4" w:space="0" w:color="auto"/>
              <w:bottom w:val="single" w:sz="4" w:space="0" w:color="000000"/>
              <w:right w:val="single" w:sz="4" w:space="0" w:color="auto"/>
            </w:tcBorders>
            <w:shd w:val="clear" w:color="auto" w:fill="auto"/>
            <w:vAlign w:val="center"/>
            <w:hideMark/>
          </w:tcPr>
          <w:p w14:paraId="571E586A"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Healthcare</w:t>
            </w:r>
          </w:p>
        </w:tc>
        <w:tc>
          <w:tcPr>
            <w:tcW w:w="911" w:type="pct"/>
            <w:tcBorders>
              <w:top w:val="nil"/>
              <w:left w:val="nil"/>
              <w:bottom w:val="single" w:sz="4" w:space="0" w:color="auto"/>
              <w:right w:val="single" w:sz="4" w:space="0" w:color="auto"/>
            </w:tcBorders>
            <w:shd w:val="clear" w:color="auto" w:fill="auto"/>
            <w:vAlign w:val="center"/>
            <w:hideMark/>
          </w:tcPr>
          <w:p w14:paraId="4232C462" w14:textId="77777777" w:rsidR="008C03A2" w:rsidRPr="00386BF6" w:rsidRDefault="008C03A2" w:rsidP="008C03A2">
            <w:pPr>
              <w:spacing w:after="0" w:line="240" w:lineRule="auto"/>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Bagging</w:t>
            </w:r>
          </w:p>
        </w:tc>
        <w:tc>
          <w:tcPr>
            <w:tcW w:w="610" w:type="pct"/>
            <w:tcBorders>
              <w:top w:val="nil"/>
              <w:left w:val="nil"/>
              <w:bottom w:val="single" w:sz="4" w:space="0" w:color="auto"/>
              <w:right w:val="single" w:sz="4" w:space="0" w:color="auto"/>
            </w:tcBorders>
            <w:shd w:val="clear" w:color="auto" w:fill="auto"/>
            <w:vAlign w:val="center"/>
            <w:hideMark/>
          </w:tcPr>
          <w:p w14:paraId="30A4B054"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85.20%</w:t>
            </w:r>
          </w:p>
        </w:tc>
        <w:tc>
          <w:tcPr>
            <w:tcW w:w="597" w:type="pct"/>
            <w:tcBorders>
              <w:top w:val="nil"/>
              <w:left w:val="nil"/>
              <w:bottom w:val="single" w:sz="4" w:space="0" w:color="auto"/>
              <w:right w:val="single" w:sz="4" w:space="0" w:color="auto"/>
            </w:tcBorders>
            <w:shd w:val="clear" w:color="auto" w:fill="auto"/>
            <w:vAlign w:val="center"/>
            <w:hideMark/>
          </w:tcPr>
          <w:p w14:paraId="390D605B"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82.30%</w:t>
            </w:r>
          </w:p>
        </w:tc>
        <w:tc>
          <w:tcPr>
            <w:tcW w:w="510" w:type="pct"/>
            <w:tcBorders>
              <w:top w:val="nil"/>
              <w:left w:val="nil"/>
              <w:bottom w:val="single" w:sz="4" w:space="0" w:color="auto"/>
              <w:right w:val="single" w:sz="4" w:space="0" w:color="auto"/>
            </w:tcBorders>
            <w:shd w:val="clear" w:color="auto" w:fill="auto"/>
            <w:vAlign w:val="center"/>
            <w:hideMark/>
          </w:tcPr>
          <w:p w14:paraId="513654BB"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84.10%</w:t>
            </w:r>
          </w:p>
        </w:tc>
        <w:tc>
          <w:tcPr>
            <w:tcW w:w="520" w:type="pct"/>
            <w:tcBorders>
              <w:top w:val="nil"/>
              <w:left w:val="nil"/>
              <w:bottom w:val="single" w:sz="4" w:space="0" w:color="auto"/>
              <w:right w:val="single" w:sz="4" w:space="0" w:color="auto"/>
            </w:tcBorders>
            <w:shd w:val="clear" w:color="auto" w:fill="auto"/>
            <w:vAlign w:val="center"/>
            <w:hideMark/>
          </w:tcPr>
          <w:p w14:paraId="2C5D6353"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83.20%</w:t>
            </w:r>
          </w:p>
        </w:tc>
        <w:tc>
          <w:tcPr>
            <w:tcW w:w="458" w:type="pct"/>
            <w:tcBorders>
              <w:top w:val="nil"/>
              <w:left w:val="nil"/>
              <w:bottom w:val="single" w:sz="4" w:space="0" w:color="auto"/>
              <w:right w:val="single" w:sz="4" w:space="0" w:color="auto"/>
            </w:tcBorders>
            <w:shd w:val="clear" w:color="auto" w:fill="auto"/>
            <w:vAlign w:val="center"/>
            <w:hideMark/>
          </w:tcPr>
          <w:p w14:paraId="15B83561"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0.873</w:t>
            </w:r>
          </w:p>
        </w:tc>
        <w:tc>
          <w:tcPr>
            <w:tcW w:w="657" w:type="pct"/>
            <w:tcBorders>
              <w:top w:val="nil"/>
              <w:left w:val="nil"/>
              <w:bottom w:val="single" w:sz="4" w:space="0" w:color="auto"/>
              <w:right w:val="single" w:sz="4" w:space="0" w:color="auto"/>
            </w:tcBorders>
            <w:shd w:val="clear" w:color="auto" w:fill="auto"/>
            <w:vAlign w:val="center"/>
            <w:hideMark/>
          </w:tcPr>
          <w:p w14:paraId="56E495FD"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0.12</w:t>
            </w:r>
          </w:p>
        </w:tc>
      </w:tr>
      <w:tr w:rsidR="00E722A8" w:rsidRPr="00386BF6" w14:paraId="765435E2" w14:textId="77777777" w:rsidTr="00386BF6">
        <w:trPr>
          <w:trHeight w:val="378"/>
        </w:trPr>
        <w:tc>
          <w:tcPr>
            <w:tcW w:w="736" w:type="pct"/>
            <w:vMerge/>
            <w:tcBorders>
              <w:top w:val="nil"/>
              <w:left w:val="single" w:sz="4" w:space="0" w:color="auto"/>
              <w:bottom w:val="single" w:sz="4" w:space="0" w:color="000000"/>
              <w:right w:val="single" w:sz="4" w:space="0" w:color="auto"/>
            </w:tcBorders>
            <w:vAlign w:val="center"/>
            <w:hideMark/>
          </w:tcPr>
          <w:p w14:paraId="2FB26122"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p>
        </w:tc>
        <w:tc>
          <w:tcPr>
            <w:tcW w:w="911" w:type="pct"/>
            <w:tcBorders>
              <w:top w:val="nil"/>
              <w:left w:val="nil"/>
              <w:bottom w:val="single" w:sz="4" w:space="0" w:color="auto"/>
              <w:right w:val="single" w:sz="4" w:space="0" w:color="auto"/>
            </w:tcBorders>
            <w:shd w:val="clear" w:color="auto" w:fill="auto"/>
            <w:vAlign w:val="center"/>
            <w:hideMark/>
          </w:tcPr>
          <w:p w14:paraId="694529DE" w14:textId="77777777" w:rsidR="008C03A2" w:rsidRPr="00386BF6" w:rsidRDefault="008C03A2" w:rsidP="008C03A2">
            <w:pPr>
              <w:spacing w:after="0" w:line="240" w:lineRule="auto"/>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Boosting</w:t>
            </w:r>
          </w:p>
        </w:tc>
        <w:tc>
          <w:tcPr>
            <w:tcW w:w="610" w:type="pct"/>
            <w:tcBorders>
              <w:top w:val="nil"/>
              <w:left w:val="nil"/>
              <w:bottom w:val="single" w:sz="4" w:space="0" w:color="auto"/>
              <w:right w:val="single" w:sz="4" w:space="0" w:color="auto"/>
            </w:tcBorders>
            <w:shd w:val="clear" w:color="auto" w:fill="auto"/>
            <w:vAlign w:val="center"/>
            <w:hideMark/>
          </w:tcPr>
          <w:p w14:paraId="1D6425A8"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87.10%</w:t>
            </w:r>
          </w:p>
        </w:tc>
        <w:tc>
          <w:tcPr>
            <w:tcW w:w="597" w:type="pct"/>
            <w:tcBorders>
              <w:top w:val="nil"/>
              <w:left w:val="nil"/>
              <w:bottom w:val="single" w:sz="4" w:space="0" w:color="auto"/>
              <w:right w:val="single" w:sz="4" w:space="0" w:color="auto"/>
            </w:tcBorders>
            <w:shd w:val="clear" w:color="auto" w:fill="auto"/>
            <w:vAlign w:val="center"/>
            <w:hideMark/>
          </w:tcPr>
          <w:p w14:paraId="2605691C"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84.50%</w:t>
            </w:r>
          </w:p>
        </w:tc>
        <w:tc>
          <w:tcPr>
            <w:tcW w:w="510" w:type="pct"/>
            <w:tcBorders>
              <w:top w:val="nil"/>
              <w:left w:val="nil"/>
              <w:bottom w:val="single" w:sz="4" w:space="0" w:color="auto"/>
              <w:right w:val="single" w:sz="4" w:space="0" w:color="auto"/>
            </w:tcBorders>
            <w:shd w:val="clear" w:color="auto" w:fill="auto"/>
            <w:vAlign w:val="center"/>
            <w:hideMark/>
          </w:tcPr>
          <w:p w14:paraId="389E3129"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86.00%</w:t>
            </w:r>
          </w:p>
        </w:tc>
        <w:tc>
          <w:tcPr>
            <w:tcW w:w="520" w:type="pct"/>
            <w:tcBorders>
              <w:top w:val="nil"/>
              <w:left w:val="nil"/>
              <w:bottom w:val="single" w:sz="4" w:space="0" w:color="auto"/>
              <w:right w:val="single" w:sz="4" w:space="0" w:color="auto"/>
            </w:tcBorders>
            <w:shd w:val="clear" w:color="auto" w:fill="auto"/>
            <w:vAlign w:val="center"/>
            <w:hideMark/>
          </w:tcPr>
          <w:p w14:paraId="27D0D181"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85.20%</w:t>
            </w:r>
          </w:p>
        </w:tc>
        <w:tc>
          <w:tcPr>
            <w:tcW w:w="458" w:type="pct"/>
            <w:tcBorders>
              <w:top w:val="nil"/>
              <w:left w:val="nil"/>
              <w:bottom w:val="single" w:sz="4" w:space="0" w:color="auto"/>
              <w:right w:val="single" w:sz="4" w:space="0" w:color="auto"/>
            </w:tcBorders>
            <w:shd w:val="clear" w:color="auto" w:fill="auto"/>
            <w:vAlign w:val="center"/>
            <w:hideMark/>
          </w:tcPr>
          <w:p w14:paraId="11021304"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0.889</w:t>
            </w:r>
          </w:p>
        </w:tc>
        <w:tc>
          <w:tcPr>
            <w:tcW w:w="657" w:type="pct"/>
            <w:tcBorders>
              <w:top w:val="nil"/>
              <w:left w:val="nil"/>
              <w:bottom w:val="single" w:sz="4" w:space="0" w:color="auto"/>
              <w:right w:val="single" w:sz="4" w:space="0" w:color="auto"/>
            </w:tcBorders>
            <w:shd w:val="clear" w:color="auto" w:fill="auto"/>
            <w:vAlign w:val="center"/>
            <w:hideMark/>
          </w:tcPr>
          <w:p w14:paraId="17A02911"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0.1</w:t>
            </w:r>
          </w:p>
        </w:tc>
      </w:tr>
      <w:tr w:rsidR="00E722A8" w:rsidRPr="00386BF6" w14:paraId="61DE1790" w14:textId="77777777" w:rsidTr="00386BF6">
        <w:trPr>
          <w:trHeight w:val="378"/>
        </w:trPr>
        <w:tc>
          <w:tcPr>
            <w:tcW w:w="736" w:type="pct"/>
            <w:vMerge/>
            <w:tcBorders>
              <w:top w:val="nil"/>
              <w:left w:val="single" w:sz="4" w:space="0" w:color="auto"/>
              <w:bottom w:val="single" w:sz="4" w:space="0" w:color="000000"/>
              <w:right w:val="single" w:sz="4" w:space="0" w:color="auto"/>
            </w:tcBorders>
            <w:vAlign w:val="center"/>
            <w:hideMark/>
          </w:tcPr>
          <w:p w14:paraId="17A40E99"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p>
        </w:tc>
        <w:tc>
          <w:tcPr>
            <w:tcW w:w="911" w:type="pct"/>
            <w:tcBorders>
              <w:top w:val="nil"/>
              <w:left w:val="nil"/>
              <w:bottom w:val="single" w:sz="4" w:space="0" w:color="auto"/>
              <w:right w:val="single" w:sz="4" w:space="0" w:color="auto"/>
            </w:tcBorders>
            <w:shd w:val="clear" w:color="auto" w:fill="auto"/>
            <w:vAlign w:val="center"/>
            <w:hideMark/>
          </w:tcPr>
          <w:p w14:paraId="0BD0C1DA" w14:textId="77777777" w:rsidR="008C03A2" w:rsidRPr="00386BF6" w:rsidRDefault="008C03A2" w:rsidP="008C03A2">
            <w:pPr>
              <w:spacing w:after="0" w:line="240" w:lineRule="auto"/>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Random Forest</w:t>
            </w:r>
          </w:p>
        </w:tc>
        <w:tc>
          <w:tcPr>
            <w:tcW w:w="610" w:type="pct"/>
            <w:tcBorders>
              <w:top w:val="nil"/>
              <w:left w:val="nil"/>
              <w:bottom w:val="single" w:sz="4" w:space="0" w:color="auto"/>
              <w:right w:val="single" w:sz="4" w:space="0" w:color="auto"/>
            </w:tcBorders>
            <w:shd w:val="clear" w:color="auto" w:fill="auto"/>
            <w:vAlign w:val="center"/>
            <w:hideMark/>
          </w:tcPr>
          <w:p w14:paraId="62A9797F"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88.00%</w:t>
            </w:r>
          </w:p>
        </w:tc>
        <w:tc>
          <w:tcPr>
            <w:tcW w:w="597" w:type="pct"/>
            <w:tcBorders>
              <w:top w:val="nil"/>
              <w:left w:val="nil"/>
              <w:bottom w:val="single" w:sz="4" w:space="0" w:color="auto"/>
              <w:right w:val="single" w:sz="4" w:space="0" w:color="auto"/>
            </w:tcBorders>
            <w:shd w:val="clear" w:color="auto" w:fill="auto"/>
            <w:vAlign w:val="center"/>
            <w:hideMark/>
          </w:tcPr>
          <w:p w14:paraId="1AA6EAE9"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85.00%</w:t>
            </w:r>
          </w:p>
        </w:tc>
        <w:tc>
          <w:tcPr>
            <w:tcW w:w="510" w:type="pct"/>
            <w:tcBorders>
              <w:top w:val="nil"/>
              <w:left w:val="nil"/>
              <w:bottom w:val="single" w:sz="4" w:space="0" w:color="auto"/>
              <w:right w:val="single" w:sz="4" w:space="0" w:color="auto"/>
            </w:tcBorders>
            <w:shd w:val="clear" w:color="auto" w:fill="auto"/>
            <w:vAlign w:val="center"/>
            <w:hideMark/>
          </w:tcPr>
          <w:p w14:paraId="108EA418"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86.80%</w:t>
            </w:r>
          </w:p>
        </w:tc>
        <w:tc>
          <w:tcPr>
            <w:tcW w:w="520" w:type="pct"/>
            <w:tcBorders>
              <w:top w:val="nil"/>
              <w:left w:val="nil"/>
              <w:bottom w:val="single" w:sz="4" w:space="0" w:color="auto"/>
              <w:right w:val="single" w:sz="4" w:space="0" w:color="auto"/>
            </w:tcBorders>
            <w:shd w:val="clear" w:color="auto" w:fill="auto"/>
            <w:vAlign w:val="center"/>
            <w:hideMark/>
          </w:tcPr>
          <w:p w14:paraId="4B39F014"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85.90%</w:t>
            </w:r>
          </w:p>
        </w:tc>
        <w:tc>
          <w:tcPr>
            <w:tcW w:w="458" w:type="pct"/>
            <w:tcBorders>
              <w:top w:val="nil"/>
              <w:left w:val="nil"/>
              <w:bottom w:val="single" w:sz="4" w:space="0" w:color="auto"/>
              <w:right w:val="single" w:sz="4" w:space="0" w:color="auto"/>
            </w:tcBorders>
            <w:shd w:val="clear" w:color="auto" w:fill="auto"/>
            <w:vAlign w:val="center"/>
            <w:hideMark/>
          </w:tcPr>
          <w:p w14:paraId="08BC146C"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0.895</w:t>
            </w:r>
          </w:p>
        </w:tc>
        <w:tc>
          <w:tcPr>
            <w:tcW w:w="657" w:type="pct"/>
            <w:tcBorders>
              <w:top w:val="nil"/>
              <w:left w:val="nil"/>
              <w:bottom w:val="single" w:sz="4" w:space="0" w:color="auto"/>
              <w:right w:val="single" w:sz="4" w:space="0" w:color="auto"/>
            </w:tcBorders>
            <w:shd w:val="clear" w:color="auto" w:fill="auto"/>
            <w:vAlign w:val="center"/>
            <w:hideMark/>
          </w:tcPr>
          <w:p w14:paraId="32682EF4"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0.09</w:t>
            </w:r>
          </w:p>
        </w:tc>
      </w:tr>
      <w:tr w:rsidR="00E722A8" w:rsidRPr="00386BF6" w14:paraId="543A2C29" w14:textId="77777777" w:rsidTr="00386BF6">
        <w:trPr>
          <w:trHeight w:val="378"/>
        </w:trPr>
        <w:tc>
          <w:tcPr>
            <w:tcW w:w="736" w:type="pct"/>
            <w:vMerge/>
            <w:tcBorders>
              <w:top w:val="nil"/>
              <w:left w:val="single" w:sz="4" w:space="0" w:color="auto"/>
              <w:bottom w:val="single" w:sz="4" w:space="0" w:color="000000"/>
              <w:right w:val="single" w:sz="4" w:space="0" w:color="auto"/>
            </w:tcBorders>
            <w:vAlign w:val="center"/>
            <w:hideMark/>
          </w:tcPr>
          <w:p w14:paraId="203ACFBF"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p>
        </w:tc>
        <w:tc>
          <w:tcPr>
            <w:tcW w:w="911" w:type="pct"/>
            <w:tcBorders>
              <w:top w:val="nil"/>
              <w:left w:val="nil"/>
              <w:bottom w:val="single" w:sz="4" w:space="0" w:color="auto"/>
              <w:right w:val="single" w:sz="4" w:space="0" w:color="auto"/>
            </w:tcBorders>
            <w:shd w:val="clear" w:color="auto" w:fill="auto"/>
            <w:vAlign w:val="center"/>
            <w:hideMark/>
          </w:tcPr>
          <w:p w14:paraId="0B40A376" w14:textId="77777777" w:rsidR="008C03A2" w:rsidRPr="00386BF6" w:rsidRDefault="008C03A2" w:rsidP="008C03A2">
            <w:pPr>
              <w:spacing w:after="0" w:line="240" w:lineRule="auto"/>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Stacking</w:t>
            </w:r>
          </w:p>
        </w:tc>
        <w:tc>
          <w:tcPr>
            <w:tcW w:w="610" w:type="pct"/>
            <w:tcBorders>
              <w:top w:val="nil"/>
              <w:left w:val="nil"/>
              <w:bottom w:val="single" w:sz="4" w:space="0" w:color="auto"/>
              <w:right w:val="single" w:sz="4" w:space="0" w:color="auto"/>
            </w:tcBorders>
            <w:shd w:val="clear" w:color="auto" w:fill="auto"/>
            <w:vAlign w:val="center"/>
            <w:hideMark/>
          </w:tcPr>
          <w:p w14:paraId="49CBADDF"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89.50%</w:t>
            </w:r>
          </w:p>
        </w:tc>
        <w:tc>
          <w:tcPr>
            <w:tcW w:w="597" w:type="pct"/>
            <w:tcBorders>
              <w:top w:val="nil"/>
              <w:left w:val="nil"/>
              <w:bottom w:val="single" w:sz="4" w:space="0" w:color="auto"/>
              <w:right w:val="single" w:sz="4" w:space="0" w:color="auto"/>
            </w:tcBorders>
            <w:shd w:val="clear" w:color="auto" w:fill="auto"/>
            <w:vAlign w:val="center"/>
            <w:hideMark/>
          </w:tcPr>
          <w:p w14:paraId="25DA3335"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87.20%</w:t>
            </w:r>
          </w:p>
        </w:tc>
        <w:tc>
          <w:tcPr>
            <w:tcW w:w="510" w:type="pct"/>
            <w:tcBorders>
              <w:top w:val="nil"/>
              <w:left w:val="nil"/>
              <w:bottom w:val="single" w:sz="4" w:space="0" w:color="auto"/>
              <w:right w:val="single" w:sz="4" w:space="0" w:color="auto"/>
            </w:tcBorders>
            <w:shd w:val="clear" w:color="auto" w:fill="auto"/>
            <w:vAlign w:val="center"/>
            <w:hideMark/>
          </w:tcPr>
          <w:p w14:paraId="3EEB4102"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88.30%</w:t>
            </w:r>
          </w:p>
        </w:tc>
        <w:tc>
          <w:tcPr>
            <w:tcW w:w="520" w:type="pct"/>
            <w:tcBorders>
              <w:top w:val="nil"/>
              <w:left w:val="nil"/>
              <w:bottom w:val="single" w:sz="4" w:space="0" w:color="auto"/>
              <w:right w:val="single" w:sz="4" w:space="0" w:color="auto"/>
            </w:tcBorders>
            <w:shd w:val="clear" w:color="auto" w:fill="auto"/>
            <w:vAlign w:val="center"/>
            <w:hideMark/>
          </w:tcPr>
          <w:p w14:paraId="6229D1E0"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87.70%</w:t>
            </w:r>
          </w:p>
        </w:tc>
        <w:tc>
          <w:tcPr>
            <w:tcW w:w="458" w:type="pct"/>
            <w:tcBorders>
              <w:top w:val="nil"/>
              <w:left w:val="nil"/>
              <w:bottom w:val="single" w:sz="4" w:space="0" w:color="auto"/>
              <w:right w:val="single" w:sz="4" w:space="0" w:color="auto"/>
            </w:tcBorders>
            <w:shd w:val="clear" w:color="auto" w:fill="auto"/>
            <w:vAlign w:val="center"/>
            <w:hideMark/>
          </w:tcPr>
          <w:p w14:paraId="79656AA5"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0.902</w:t>
            </w:r>
          </w:p>
        </w:tc>
        <w:tc>
          <w:tcPr>
            <w:tcW w:w="657" w:type="pct"/>
            <w:tcBorders>
              <w:top w:val="nil"/>
              <w:left w:val="nil"/>
              <w:bottom w:val="single" w:sz="4" w:space="0" w:color="auto"/>
              <w:right w:val="single" w:sz="4" w:space="0" w:color="auto"/>
            </w:tcBorders>
            <w:shd w:val="clear" w:color="auto" w:fill="auto"/>
            <w:vAlign w:val="center"/>
            <w:hideMark/>
          </w:tcPr>
          <w:p w14:paraId="42B927D7"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0.08</w:t>
            </w:r>
          </w:p>
        </w:tc>
      </w:tr>
      <w:tr w:rsidR="008C03A2" w:rsidRPr="00386BF6" w14:paraId="3850DC59" w14:textId="77777777" w:rsidTr="00386BF6">
        <w:trPr>
          <w:trHeight w:val="378"/>
        </w:trPr>
        <w:tc>
          <w:tcPr>
            <w:tcW w:w="736" w:type="pct"/>
            <w:vMerge/>
            <w:tcBorders>
              <w:top w:val="nil"/>
              <w:left w:val="single" w:sz="4" w:space="0" w:color="auto"/>
              <w:bottom w:val="single" w:sz="4" w:space="0" w:color="000000"/>
              <w:right w:val="single" w:sz="4" w:space="0" w:color="auto"/>
            </w:tcBorders>
            <w:vAlign w:val="center"/>
            <w:hideMark/>
          </w:tcPr>
          <w:p w14:paraId="56BCFE8E"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p>
        </w:tc>
        <w:tc>
          <w:tcPr>
            <w:tcW w:w="911" w:type="pct"/>
            <w:tcBorders>
              <w:top w:val="nil"/>
              <w:left w:val="nil"/>
              <w:bottom w:val="single" w:sz="4" w:space="0" w:color="auto"/>
              <w:right w:val="single" w:sz="4" w:space="0" w:color="auto"/>
            </w:tcBorders>
            <w:shd w:val="clear" w:color="auto" w:fill="BFBFBF" w:themeFill="background1" w:themeFillShade="BF"/>
            <w:vAlign w:val="center"/>
            <w:hideMark/>
          </w:tcPr>
          <w:p w14:paraId="2B7E6960"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AMEL</w:t>
            </w:r>
          </w:p>
        </w:tc>
        <w:tc>
          <w:tcPr>
            <w:tcW w:w="610" w:type="pct"/>
            <w:tcBorders>
              <w:top w:val="nil"/>
              <w:left w:val="nil"/>
              <w:bottom w:val="single" w:sz="4" w:space="0" w:color="auto"/>
              <w:right w:val="single" w:sz="4" w:space="0" w:color="auto"/>
            </w:tcBorders>
            <w:shd w:val="clear" w:color="auto" w:fill="BFBFBF" w:themeFill="background1" w:themeFillShade="BF"/>
            <w:vAlign w:val="center"/>
            <w:hideMark/>
          </w:tcPr>
          <w:p w14:paraId="2B9D4EE9"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91.00%</w:t>
            </w:r>
          </w:p>
        </w:tc>
        <w:tc>
          <w:tcPr>
            <w:tcW w:w="597" w:type="pct"/>
            <w:tcBorders>
              <w:top w:val="nil"/>
              <w:left w:val="nil"/>
              <w:bottom w:val="single" w:sz="4" w:space="0" w:color="auto"/>
              <w:right w:val="single" w:sz="4" w:space="0" w:color="auto"/>
            </w:tcBorders>
            <w:shd w:val="clear" w:color="auto" w:fill="BFBFBF" w:themeFill="background1" w:themeFillShade="BF"/>
            <w:vAlign w:val="center"/>
            <w:hideMark/>
          </w:tcPr>
          <w:p w14:paraId="4CE8FB9D"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88.70%</w:t>
            </w:r>
          </w:p>
        </w:tc>
        <w:tc>
          <w:tcPr>
            <w:tcW w:w="510" w:type="pct"/>
            <w:tcBorders>
              <w:top w:val="nil"/>
              <w:left w:val="nil"/>
              <w:bottom w:val="single" w:sz="4" w:space="0" w:color="auto"/>
              <w:right w:val="single" w:sz="4" w:space="0" w:color="auto"/>
            </w:tcBorders>
            <w:shd w:val="clear" w:color="auto" w:fill="BFBFBF" w:themeFill="background1" w:themeFillShade="BF"/>
            <w:vAlign w:val="center"/>
            <w:hideMark/>
          </w:tcPr>
          <w:p w14:paraId="21098E01"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89.50%</w:t>
            </w:r>
          </w:p>
        </w:tc>
        <w:tc>
          <w:tcPr>
            <w:tcW w:w="520" w:type="pct"/>
            <w:tcBorders>
              <w:top w:val="nil"/>
              <w:left w:val="nil"/>
              <w:bottom w:val="single" w:sz="4" w:space="0" w:color="auto"/>
              <w:right w:val="single" w:sz="4" w:space="0" w:color="auto"/>
            </w:tcBorders>
            <w:shd w:val="clear" w:color="auto" w:fill="BFBFBF" w:themeFill="background1" w:themeFillShade="BF"/>
            <w:vAlign w:val="center"/>
            <w:hideMark/>
          </w:tcPr>
          <w:p w14:paraId="06997949"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89.10%</w:t>
            </w:r>
          </w:p>
        </w:tc>
        <w:tc>
          <w:tcPr>
            <w:tcW w:w="458" w:type="pct"/>
            <w:tcBorders>
              <w:top w:val="nil"/>
              <w:left w:val="nil"/>
              <w:bottom w:val="single" w:sz="4" w:space="0" w:color="auto"/>
              <w:right w:val="single" w:sz="4" w:space="0" w:color="auto"/>
            </w:tcBorders>
            <w:shd w:val="clear" w:color="auto" w:fill="BFBFBF" w:themeFill="background1" w:themeFillShade="BF"/>
            <w:vAlign w:val="center"/>
            <w:hideMark/>
          </w:tcPr>
          <w:p w14:paraId="48CE8C7B"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0.921</w:t>
            </w:r>
          </w:p>
        </w:tc>
        <w:tc>
          <w:tcPr>
            <w:tcW w:w="657" w:type="pct"/>
            <w:tcBorders>
              <w:top w:val="nil"/>
              <w:left w:val="nil"/>
              <w:bottom w:val="single" w:sz="4" w:space="0" w:color="auto"/>
              <w:right w:val="single" w:sz="4" w:space="0" w:color="auto"/>
            </w:tcBorders>
            <w:shd w:val="clear" w:color="auto" w:fill="BFBFBF" w:themeFill="background1" w:themeFillShade="BF"/>
            <w:vAlign w:val="center"/>
            <w:hideMark/>
          </w:tcPr>
          <w:p w14:paraId="36F035E8"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0.07</w:t>
            </w:r>
          </w:p>
        </w:tc>
      </w:tr>
      <w:tr w:rsidR="00E722A8" w:rsidRPr="00386BF6" w14:paraId="41B4A3E4" w14:textId="77777777" w:rsidTr="00386BF6">
        <w:trPr>
          <w:trHeight w:val="378"/>
        </w:trPr>
        <w:tc>
          <w:tcPr>
            <w:tcW w:w="736" w:type="pct"/>
            <w:vMerge w:val="restart"/>
            <w:tcBorders>
              <w:top w:val="nil"/>
              <w:left w:val="single" w:sz="4" w:space="0" w:color="auto"/>
              <w:bottom w:val="single" w:sz="4" w:space="0" w:color="000000"/>
              <w:right w:val="single" w:sz="4" w:space="0" w:color="auto"/>
            </w:tcBorders>
            <w:shd w:val="clear" w:color="auto" w:fill="auto"/>
            <w:vAlign w:val="center"/>
            <w:hideMark/>
          </w:tcPr>
          <w:p w14:paraId="11221EB9"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Finance</w:t>
            </w:r>
          </w:p>
        </w:tc>
        <w:tc>
          <w:tcPr>
            <w:tcW w:w="911" w:type="pct"/>
            <w:tcBorders>
              <w:top w:val="nil"/>
              <w:left w:val="nil"/>
              <w:bottom w:val="single" w:sz="4" w:space="0" w:color="auto"/>
              <w:right w:val="single" w:sz="4" w:space="0" w:color="auto"/>
            </w:tcBorders>
            <w:shd w:val="clear" w:color="auto" w:fill="auto"/>
            <w:vAlign w:val="center"/>
            <w:hideMark/>
          </w:tcPr>
          <w:p w14:paraId="65015142" w14:textId="77777777" w:rsidR="008C03A2" w:rsidRPr="00386BF6" w:rsidRDefault="008C03A2" w:rsidP="008C03A2">
            <w:pPr>
              <w:spacing w:after="0" w:line="240" w:lineRule="auto"/>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Bagging</w:t>
            </w:r>
          </w:p>
        </w:tc>
        <w:tc>
          <w:tcPr>
            <w:tcW w:w="610" w:type="pct"/>
            <w:tcBorders>
              <w:top w:val="nil"/>
              <w:left w:val="nil"/>
              <w:bottom w:val="single" w:sz="4" w:space="0" w:color="auto"/>
              <w:right w:val="single" w:sz="4" w:space="0" w:color="auto"/>
            </w:tcBorders>
            <w:shd w:val="clear" w:color="auto" w:fill="auto"/>
            <w:vAlign w:val="center"/>
            <w:hideMark/>
          </w:tcPr>
          <w:p w14:paraId="7E9737B3"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83.70%</w:t>
            </w:r>
          </w:p>
        </w:tc>
        <w:tc>
          <w:tcPr>
            <w:tcW w:w="597" w:type="pct"/>
            <w:tcBorders>
              <w:top w:val="nil"/>
              <w:left w:val="nil"/>
              <w:bottom w:val="single" w:sz="4" w:space="0" w:color="auto"/>
              <w:right w:val="single" w:sz="4" w:space="0" w:color="auto"/>
            </w:tcBorders>
            <w:shd w:val="clear" w:color="auto" w:fill="auto"/>
            <w:vAlign w:val="center"/>
            <w:hideMark/>
          </w:tcPr>
          <w:p w14:paraId="0A40CF5B"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81.00%</w:t>
            </w:r>
          </w:p>
        </w:tc>
        <w:tc>
          <w:tcPr>
            <w:tcW w:w="510" w:type="pct"/>
            <w:tcBorders>
              <w:top w:val="nil"/>
              <w:left w:val="nil"/>
              <w:bottom w:val="single" w:sz="4" w:space="0" w:color="auto"/>
              <w:right w:val="single" w:sz="4" w:space="0" w:color="auto"/>
            </w:tcBorders>
            <w:shd w:val="clear" w:color="auto" w:fill="auto"/>
            <w:vAlign w:val="center"/>
            <w:hideMark/>
          </w:tcPr>
          <w:p w14:paraId="735F9D50"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82.40%</w:t>
            </w:r>
          </w:p>
        </w:tc>
        <w:tc>
          <w:tcPr>
            <w:tcW w:w="520" w:type="pct"/>
            <w:tcBorders>
              <w:top w:val="nil"/>
              <w:left w:val="nil"/>
              <w:bottom w:val="single" w:sz="4" w:space="0" w:color="auto"/>
              <w:right w:val="single" w:sz="4" w:space="0" w:color="auto"/>
            </w:tcBorders>
            <w:shd w:val="clear" w:color="auto" w:fill="auto"/>
            <w:vAlign w:val="center"/>
            <w:hideMark/>
          </w:tcPr>
          <w:p w14:paraId="3622FC4D"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81.70%</w:t>
            </w:r>
          </w:p>
        </w:tc>
        <w:tc>
          <w:tcPr>
            <w:tcW w:w="458" w:type="pct"/>
            <w:tcBorders>
              <w:top w:val="nil"/>
              <w:left w:val="nil"/>
              <w:bottom w:val="single" w:sz="4" w:space="0" w:color="auto"/>
              <w:right w:val="single" w:sz="4" w:space="0" w:color="auto"/>
            </w:tcBorders>
            <w:shd w:val="clear" w:color="auto" w:fill="auto"/>
            <w:vAlign w:val="center"/>
            <w:hideMark/>
          </w:tcPr>
          <w:p w14:paraId="7735E1B9"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0.859</w:t>
            </w:r>
          </w:p>
        </w:tc>
        <w:tc>
          <w:tcPr>
            <w:tcW w:w="657" w:type="pct"/>
            <w:tcBorders>
              <w:top w:val="nil"/>
              <w:left w:val="nil"/>
              <w:bottom w:val="single" w:sz="4" w:space="0" w:color="auto"/>
              <w:right w:val="single" w:sz="4" w:space="0" w:color="auto"/>
            </w:tcBorders>
            <w:shd w:val="clear" w:color="auto" w:fill="auto"/>
            <w:vAlign w:val="center"/>
            <w:hideMark/>
          </w:tcPr>
          <w:p w14:paraId="6921688C"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0.15</w:t>
            </w:r>
          </w:p>
        </w:tc>
      </w:tr>
      <w:tr w:rsidR="00E722A8" w:rsidRPr="00386BF6" w14:paraId="6F6283AD" w14:textId="77777777" w:rsidTr="00386BF6">
        <w:trPr>
          <w:trHeight w:val="378"/>
        </w:trPr>
        <w:tc>
          <w:tcPr>
            <w:tcW w:w="736" w:type="pct"/>
            <w:vMerge/>
            <w:tcBorders>
              <w:top w:val="nil"/>
              <w:left w:val="single" w:sz="4" w:space="0" w:color="auto"/>
              <w:bottom w:val="single" w:sz="4" w:space="0" w:color="000000"/>
              <w:right w:val="single" w:sz="4" w:space="0" w:color="auto"/>
            </w:tcBorders>
            <w:vAlign w:val="center"/>
            <w:hideMark/>
          </w:tcPr>
          <w:p w14:paraId="4A004449"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p>
        </w:tc>
        <w:tc>
          <w:tcPr>
            <w:tcW w:w="911" w:type="pct"/>
            <w:tcBorders>
              <w:top w:val="nil"/>
              <w:left w:val="nil"/>
              <w:bottom w:val="single" w:sz="4" w:space="0" w:color="auto"/>
              <w:right w:val="single" w:sz="4" w:space="0" w:color="auto"/>
            </w:tcBorders>
            <w:shd w:val="clear" w:color="auto" w:fill="auto"/>
            <w:vAlign w:val="center"/>
            <w:hideMark/>
          </w:tcPr>
          <w:p w14:paraId="074871ED" w14:textId="77777777" w:rsidR="008C03A2" w:rsidRPr="00386BF6" w:rsidRDefault="008C03A2" w:rsidP="008C03A2">
            <w:pPr>
              <w:spacing w:after="0" w:line="240" w:lineRule="auto"/>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Boosting</w:t>
            </w:r>
          </w:p>
        </w:tc>
        <w:tc>
          <w:tcPr>
            <w:tcW w:w="610" w:type="pct"/>
            <w:tcBorders>
              <w:top w:val="nil"/>
              <w:left w:val="nil"/>
              <w:bottom w:val="single" w:sz="4" w:space="0" w:color="auto"/>
              <w:right w:val="single" w:sz="4" w:space="0" w:color="auto"/>
            </w:tcBorders>
            <w:shd w:val="clear" w:color="auto" w:fill="auto"/>
            <w:vAlign w:val="center"/>
            <w:hideMark/>
          </w:tcPr>
          <w:p w14:paraId="01473691"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86.00%</w:t>
            </w:r>
          </w:p>
        </w:tc>
        <w:tc>
          <w:tcPr>
            <w:tcW w:w="597" w:type="pct"/>
            <w:tcBorders>
              <w:top w:val="nil"/>
              <w:left w:val="nil"/>
              <w:bottom w:val="single" w:sz="4" w:space="0" w:color="auto"/>
              <w:right w:val="single" w:sz="4" w:space="0" w:color="auto"/>
            </w:tcBorders>
            <w:shd w:val="clear" w:color="auto" w:fill="auto"/>
            <w:vAlign w:val="center"/>
            <w:hideMark/>
          </w:tcPr>
          <w:p w14:paraId="24050543"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83.20%</w:t>
            </w:r>
          </w:p>
        </w:tc>
        <w:tc>
          <w:tcPr>
            <w:tcW w:w="510" w:type="pct"/>
            <w:tcBorders>
              <w:top w:val="nil"/>
              <w:left w:val="nil"/>
              <w:bottom w:val="single" w:sz="4" w:space="0" w:color="auto"/>
              <w:right w:val="single" w:sz="4" w:space="0" w:color="auto"/>
            </w:tcBorders>
            <w:shd w:val="clear" w:color="auto" w:fill="auto"/>
            <w:vAlign w:val="center"/>
            <w:hideMark/>
          </w:tcPr>
          <w:p w14:paraId="6FA791BD"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84.80%</w:t>
            </w:r>
          </w:p>
        </w:tc>
        <w:tc>
          <w:tcPr>
            <w:tcW w:w="520" w:type="pct"/>
            <w:tcBorders>
              <w:top w:val="nil"/>
              <w:left w:val="nil"/>
              <w:bottom w:val="single" w:sz="4" w:space="0" w:color="auto"/>
              <w:right w:val="single" w:sz="4" w:space="0" w:color="auto"/>
            </w:tcBorders>
            <w:shd w:val="clear" w:color="auto" w:fill="auto"/>
            <w:vAlign w:val="center"/>
            <w:hideMark/>
          </w:tcPr>
          <w:p w14:paraId="0A8EE00F"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84.00%</w:t>
            </w:r>
          </w:p>
        </w:tc>
        <w:tc>
          <w:tcPr>
            <w:tcW w:w="458" w:type="pct"/>
            <w:tcBorders>
              <w:top w:val="nil"/>
              <w:left w:val="nil"/>
              <w:bottom w:val="single" w:sz="4" w:space="0" w:color="auto"/>
              <w:right w:val="single" w:sz="4" w:space="0" w:color="auto"/>
            </w:tcBorders>
            <w:shd w:val="clear" w:color="auto" w:fill="auto"/>
            <w:vAlign w:val="center"/>
            <w:hideMark/>
          </w:tcPr>
          <w:p w14:paraId="263659F8"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0.874</w:t>
            </w:r>
          </w:p>
        </w:tc>
        <w:tc>
          <w:tcPr>
            <w:tcW w:w="657" w:type="pct"/>
            <w:tcBorders>
              <w:top w:val="nil"/>
              <w:left w:val="nil"/>
              <w:bottom w:val="single" w:sz="4" w:space="0" w:color="auto"/>
              <w:right w:val="single" w:sz="4" w:space="0" w:color="auto"/>
            </w:tcBorders>
            <w:shd w:val="clear" w:color="auto" w:fill="auto"/>
            <w:vAlign w:val="center"/>
            <w:hideMark/>
          </w:tcPr>
          <w:p w14:paraId="0E26539E"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0.12</w:t>
            </w:r>
          </w:p>
        </w:tc>
      </w:tr>
      <w:tr w:rsidR="00E722A8" w:rsidRPr="00386BF6" w14:paraId="6E924C46" w14:textId="77777777" w:rsidTr="00386BF6">
        <w:trPr>
          <w:trHeight w:val="378"/>
        </w:trPr>
        <w:tc>
          <w:tcPr>
            <w:tcW w:w="736" w:type="pct"/>
            <w:vMerge/>
            <w:tcBorders>
              <w:top w:val="nil"/>
              <w:left w:val="single" w:sz="4" w:space="0" w:color="auto"/>
              <w:bottom w:val="single" w:sz="4" w:space="0" w:color="000000"/>
              <w:right w:val="single" w:sz="4" w:space="0" w:color="auto"/>
            </w:tcBorders>
            <w:vAlign w:val="center"/>
            <w:hideMark/>
          </w:tcPr>
          <w:p w14:paraId="3162754A"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p>
        </w:tc>
        <w:tc>
          <w:tcPr>
            <w:tcW w:w="911" w:type="pct"/>
            <w:tcBorders>
              <w:top w:val="nil"/>
              <w:left w:val="nil"/>
              <w:bottom w:val="single" w:sz="4" w:space="0" w:color="auto"/>
              <w:right w:val="single" w:sz="4" w:space="0" w:color="auto"/>
            </w:tcBorders>
            <w:shd w:val="clear" w:color="auto" w:fill="auto"/>
            <w:vAlign w:val="center"/>
            <w:hideMark/>
          </w:tcPr>
          <w:p w14:paraId="293A7206" w14:textId="77777777" w:rsidR="008C03A2" w:rsidRPr="00386BF6" w:rsidRDefault="008C03A2" w:rsidP="008C03A2">
            <w:pPr>
              <w:spacing w:after="0" w:line="240" w:lineRule="auto"/>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Random Forest</w:t>
            </w:r>
          </w:p>
        </w:tc>
        <w:tc>
          <w:tcPr>
            <w:tcW w:w="610" w:type="pct"/>
            <w:tcBorders>
              <w:top w:val="nil"/>
              <w:left w:val="nil"/>
              <w:bottom w:val="single" w:sz="4" w:space="0" w:color="auto"/>
              <w:right w:val="single" w:sz="4" w:space="0" w:color="auto"/>
            </w:tcBorders>
            <w:shd w:val="clear" w:color="auto" w:fill="auto"/>
            <w:vAlign w:val="center"/>
            <w:hideMark/>
          </w:tcPr>
          <w:p w14:paraId="4235175D"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87.20%</w:t>
            </w:r>
          </w:p>
        </w:tc>
        <w:tc>
          <w:tcPr>
            <w:tcW w:w="597" w:type="pct"/>
            <w:tcBorders>
              <w:top w:val="nil"/>
              <w:left w:val="nil"/>
              <w:bottom w:val="single" w:sz="4" w:space="0" w:color="auto"/>
              <w:right w:val="single" w:sz="4" w:space="0" w:color="auto"/>
            </w:tcBorders>
            <w:shd w:val="clear" w:color="auto" w:fill="auto"/>
            <w:vAlign w:val="center"/>
            <w:hideMark/>
          </w:tcPr>
          <w:p w14:paraId="09CE13B2"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84.10%</w:t>
            </w:r>
          </w:p>
        </w:tc>
        <w:tc>
          <w:tcPr>
            <w:tcW w:w="510" w:type="pct"/>
            <w:tcBorders>
              <w:top w:val="nil"/>
              <w:left w:val="nil"/>
              <w:bottom w:val="single" w:sz="4" w:space="0" w:color="auto"/>
              <w:right w:val="single" w:sz="4" w:space="0" w:color="auto"/>
            </w:tcBorders>
            <w:shd w:val="clear" w:color="auto" w:fill="auto"/>
            <w:vAlign w:val="center"/>
            <w:hideMark/>
          </w:tcPr>
          <w:p w14:paraId="41D63D06"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85.50%</w:t>
            </w:r>
          </w:p>
        </w:tc>
        <w:tc>
          <w:tcPr>
            <w:tcW w:w="520" w:type="pct"/>
            <w:tcBorders>
              <w:top w:val="nil"/>
              <w:left w:val="nil"/>
              <w:bottom w:val="single" w:sz="4" w:space="0" w:color="auto"/>
              <w:right w:val="single" w:sz="4" w:space="0" w:color="auto"/>
            </w:tcBorders>
            <w:shd w:val="clear" w:color="auto" w:fill="auto"/>
            <w:vAlign w:val="center"/>
            <w:hideMark/>
          </w:tcPr>
          <w:p w14:paraId="52EFF335"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84.80%</w:t>
            </w:r>
          </w:p>
        </w:tc>
        <w:tc>
          <w:tcPr>
            <w:tcW w:w="458" w:type="pct"/>
            <w:tcBorders>
              <w:top w:val="nil"/>
              <w:left w:val="nil"/>
              <w:bottom w:val="single" w:sz="4" w:space="0" w:color="auto"/>
              <w:right w:val="single" w:sz="4" w:space="0" w:color="auto"/>
            </w:tcBorders>
            <w:shd w:val="clear" w:color="auto" w:fill="auto"/>
            <w:vAlign w:val="center"/>
            <w:hideMark/>
          </w:tcPr>
          <w:p w14:paraId="5A5224E6"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0.879</w:t>
            </w:r>
          </w:p>
        </w:tc>
        <w:tc>
          <w:tcPr>
            <w:tcW w:w="657" w:type="pct"/>
            <w:tcBorders>
              <w:top w:val="nil"/>
              <w:left w:val="nil"/>
              <w:bottom w:val="single" w:sz="4" w:space="0" w:color="auto"/>
              <w:right w:val="single" w:sz="4" w:space="0" w:color="auto"/>
            </w:tcBorders>
            <w:shd w:val="clear" w:color="auto" w:fill="auto"/>
            <w:vAlign w:val="center"/>
            <w:hideMark/>
          </w:tcPr>
          <w:p w14:paraId="1C5E73EF"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0.11</w:t>
            </w:r>
          </w:p>
        </w:tc>
      </w:tr>
      <w:tr w:rsidR="00E722A8" w:rsidRPr="00386BF6" w14:paraId="4405E370" w14:textId="77777777" w:rsidTr="00386BF6">
        <w:trPr>
          <w:trHeight w:val="378"/>
        </w:trPr>
        <w:tc>
          <w:tcPr>
            <w:tcW w:w="736" w:type="pct"/>
            <w:vMerge/>
            <w:tcBorders>
              <w:top w:val="nil"/>
              <w:left w:val="single" w:sz="4" w:space="0" w:color="auto"/>
              <w:bottom w:val="single" w:sz="4" w:space="0" w:color="000000"/>
              <w:right w:val="single" w:sz="4" w:space="0" w:color="auto"/>
            </w:tcBorders>
            <w:vAlign w:val="center"/>
            <w:hideMark/>
          </w:tcPr>
          <w:p w14:paraId="7D84F8F6"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p>
        </w:tc>
        <w:tc>
          <w:tcPr>
            <w:tcW w:w="911" w:type="pct"/>
            <w:tcBorders>
              <w:top w:val="nil"/>
              <w:left w:val="nil"/>
              <w:bottom w:val="single" w:sz="4" w:space="0" w:color="auto"/>
              <w:right w:val="single" w:sz="4" w:space="0" w:color="auto"/>
            </w:tcBorders>
            <w:shd w:val="clear" w:color="auto" w:fill="auto"/>
            <w:vAlign w:val="center"/>
            <w:hideMark/>
          </w:tcPr>
          <w:p w14:paraId="714FE5FB" w14:textId="77777777" w:rsidR="008C03A2" w:rsidRPr="00386BF6" w:rsidRDefault="008C03A2" w:rsidP="008C03A2">
            <w:pPr>
              <w:spacing w:after="0" w:line="240" w:lineRule="auto"/>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Stacking</w:t>
            </w:r>
          </w:p>
        </w:tc>
        <w:tc>
          <w:tcPr>
            <w:tcW w:w="610" w:type="pct"/>
            <w:tcBorders>
              <w:top w:val="nil"/>
              <w:left w:val="nil"/>
              <w:bottom w:val="single" w:sz="4" w:space="0" w:color="auto"/>
              <w:right w:val="single" w:sz="4" w:space="0" w:color="auto"/>
            </w:tcBorders>
            <w:shd w:val="clear" w:color="auto" w:fill="auto"/>
            <w:vAlign w:val="center"/>
            <w:hideMark/>
          </w:tcPr>
          <w:p w14:paraId="2136CEB0"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88.80%</w:t>
            </w:r>
          </w:p>
        </w:tc>
        <w:tc>
          <w:tcPr>
            <w:tcW w:w="597" w:type="pct"/>
            <w:tcBorders>
              <w:top w:val="nil"/>
              <w:left w:val="nil"/>
              <w:bottom w:val="single" w:sz="4" w:space="0" w:color="auto"/>
              <w:right w:val="single" w:sz="4" w:space="0" w:color="auto"/>
            </w:tcBorders>
            <w:shd w:val="clear" w:color="auto" w:fill="auto"/>
            <w:vAlign w:val="center"/>
            <w:hideMark/>
          </w:tcPr>
          <w:p w14:paraId="4EA3FD32"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85.90%</w:t>
            </w:r>
          </w:p>
        </w:tc>
        <w:tc>
          <w:tcPr>
            <w:tcW w:w="510" w:type="pct"/>
            <w:tcBorders>
              <w:top w:val="nil"/>
              <w:left w:val="nil"/>
              <w:bottom w:val="single" w:sz="4" w:space="0" w:color="auto"/>
              <w:right w:val="single" w:sz="4" w:space="0" w:color="auto"/>
            </w:tcBorders>
            <w:shd w:val="clear" w:color="auto" w:fill="auto"/>
            <w:vAlign w:val="center"/>
            <w:hideMark/>
          </w:tcPr>
          <w:p w14:paraId="0435370B"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87.20%</w:t>
            </w:r>
          </w:p>
        </w:tc>
        <w:tc>
          <w:tcPr>
            <w:tcW w:w="520" w:type="pct"/>
            <w:tcBorders>
              <w:top w:val="nil"/>
              <w:left w:val="nil"/>
              <w:bottom w:val="single" w:sz="4" w:space="0" w:color="auto"/>
              <w:right w:val="single" w:sz="4" w:space="0" w:color="auto"/>
            </w:tcBorders>
            <w:shd w:val="clear" w:color="auto" w:fill="auto"/>
            <w:vAlign w:val="center"/>
            <w:hideMark/>
          </w:tcPr>
          <w:p w14:paraId="088D463D"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86.50%</w:t>
            </w:r>
          </w:p>
        </w:tc>
        <w:tc>
          <w:tcPr>
            <w:tcW w:w="458" w:type="pct"/>
            <w:tcBorders>
              <w:top w:val="nil"/>
              <w:left w:val="nil"/>
              <w:bottom w:val="single" w:sz="4" w:space="0" w:color="auto"/>
              <w:right w:val="single" w:sz="4" w:space="0" w:color="auto"/>
            </w:tcBorders>
            <w:shd w:val="clear" w:color="auto" w:fill="auto"/>
            <w:vAlign w:val="center"/>
            <w:hideMark/>
          </w:tcPr>
          <w:p w14:paraId="2ECC5034"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0.892</w:t>
            </w:r>
          </w:p>
        </w:tc>
        <w:tc>
          <w:tcPr>
            <w:tcW w:w="657" w:type="pct"/>
            <w:tcBorders>
              <w:top w:val="nil"/>
              <w:left w:val="nil"/>
              <w:bottom w:val="single" w:sz="4" w:space="0" w:color="auto"/>
              <w:right w:val="single" w:sz="4" w:space="0" w:color="auto"/>
            </w:tcBorders>
            <w:shd w:val="clear" w:color="auto" w:fill="auto"/>
            <w:vAlign w:val="center"/>
            <w:hideMark/>
          </w:tcPr>
          <w:p w14:paraId="6F2D9DA6"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0.1</w:t>
            </w:r>
          </w:p>
        </w:tc>
      </w:tr>
      <w:tr w:rsidR="008C03A2" w:rsidRPr="00386BF6" w14:paraId="2450E526" w14:textId="77777777" w:rsidTr="00386BF6">
        <w:trPr>
          <w:trHeight w:val="378"/>
        </w:trPr>
        <w:tc>
          <w:tcPr>
            <w:tcW w:w="736" w:type="pct"/>
            <w:vMerge/>
            <w:tcBorders>
              <w:top w:val="nil"/>
              <w:left w:val="single" w:sz="4" w:space="0" w:color="auto"/>
              <w:bottom w:val="single" w:sz="4" w:space="0" w:color="000000"/>
              <w:right w:val="single" w:sz="4" w:space="0" w:color="auto"/>
            </w:tcBorders>
            <w:vAlign w:val="center"/>
            <w:hideMark/>
          </w:tcPr>
          <w:p w14:paraId="30F31C86"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p>
        </w:tc>
        <w:tc>
          <w:tcPr>
            <w:tcW w:w="911" w:type="pct"/>
            <w:tcBorders>
              <w:top w:val="nil"/>
              <w:left w:val="nil"/>
              <w:bottom w:val="single" w:sz="4" w:space="0" w:color="auto"/>
              <w:right w:val="single" w:sz="4" w:space="0" w:color="auto"/>
            </w:tcBorders>
            <w:shd w:val="clear" w:color="auto" w:fill="BFBFBF" w:themeFill="background1" w:themeFillShade="BF"/>
            <w:vAlign w:val="center"/>
            <w:hideMark/>
          </w:tcPr>
          <w:p w14:paraId="799A1C8A"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AMEL</w:t>
            </w:r>
          </w:p>
        </w:tc>
        <w:tc>
          <w:tcPr>
            <w:tcW w:w="610" w:type="pct"/>
            <w:tcBorders>
              <w:top w:val="nil"/>
              <w:left w:val="nil"/>
              <w:bottom w:val="single" w:sz="4" w:space="0" w:color="auto"/>
              <w:right w:val="single" w:sz="4" w:space="0" w:color="auto"/>
            </w:tcBorders>
            <w:shd w:val="clear" w:color="auto" w:fill="BFBFBF" w:themeFill="background1" w:themeFillShade="BF"/>
            <w:vAlign w:val="center"/>
            <w:hideMark/>
          </w:tcPr>
          <w:p w14:paraId="2845CE80"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90.50%</w:t>
            </w:r>
          </w:p>
        </w:tc>
        <w:tc>
          <w:tcPr>
            <w:tcW w:w="597" w:type="pct"/>
            <w:tcBorders>
              <w:top w:val="nil"/>
              <w:left w:val="nil"/>
              <w:bottom w:val="single" w:sz="4" w:space="0" w:color="auto"/>
              <w:right w:val="single" w:sz="4" w:space="0" w:color="auto"/>
            </w:tcBorders>
            <w:shd w:val="clear" w:color="auto" w:fill="BFBFBF" w:themeFill="background1" w:themeFillShade="BF"/>
            <w:vAlign w:val="center"/>
            <w:hideMark/>
          </w:tcPr>
          <w:p w14:paraId="190FBB6D"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87.20%</w:t>
            </w:r>
          </w:p>
        </w:tc>
        <w:tc>
          <w:tcPr>
            <w:tcW w:w="510" w:type="pct"/>
            <w:tcBorders>
              <w:top w:val="nil"/>
              <w:left w:val="nil"/>
              <w:bottom w:val="single" w:sz="4" w:space="0" w:color="auto"/>
              <w:right w:val="single" w:sz="4" w:space="0" w:color="auto"/>
            </w:tcBorders>
            <w:shd w:val="clear" w:color="auto" w:fill="BFBFBF" w:themeFill="background1" w:themeFillShade="BF"/>
            <w:vAlign w:val="center"/>
            <w:hideMark/>
          </w:tcPr>
          <w:p w14:paraId="0B95FD8C"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88.60%</w:t>
            </w:r>
          </w:p>
        </w:tc>
        <w:tc>
          <w:tcPr>
            <w:tcW w:w="520" w:type="pct"/>
            <w:tcBorders>
              <w:top w:val="nil"/>
              <w:left w:val="nil"/>
              <w:bottom w:val="single" w:sz="4" w:space="0" w:color="auto"/>
              <w:right w:val="single" w:sz="4" w:space="0" w:color="auto"/>
            </w:tcBorders>
            <w:shd w:val="clear" w:color="auto" w:fill="BFBFBF" w:themeFill="background1" w:themeFillShade="BF"/>
            <w:vAlign w:val="center"/>
            <w:hideMark/>
          </w:tcPr>
          <w:p w14:paraId="142C9923"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87.90%</w:t>
            </w:r>
          </w:p>
        </w:tc>
        <w:tc>
          <w:tcPr>
            <w:tcW w:w="458" w:type="pct"/>
            <w:tcBorders>
              <w:top w:val="nil"/>
              <w:left w:val="nil"/>
              <w:bottom w:val="single" w:sz="4" w:space="0" w:color="auto"/>
              <w:right w:val="single" w:sz="4" w:space="0" w:color="auto"/>
            </w:tcBorders>
            <w:shd w:val="clear" w:color="auto" w:fill="BFBFBF" w:themeFill="background1" w:themeFillShade="BF"/>
            <w:vAlign w:val="center"/>
            <w:hideMark/>
          </w:tcPr>
          <w:p w14:paraId="0DFB8CD0"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0.909</w:t>
            </w:r>
          </w:p>
        </w:tc>
        <w:tc>
          <w:tcPr>
            <w:tcW w:w="657" w:type="pct"/>
            <w:tcBorders>
              <w:top w:val="nil"/>
              <w:left w:val="nil"/>
              <w:bottom w:val="single" w:sz="4" w:space="0" w:color="auto"/>
              <w:right w:val="single" w:sz="4" w:space="0" w:color="auto"/>
            </w:tcBorders>
            <w:shd w:val="clear" w:color="auto" w:fill="BFBFBF" w:themeFill="background1" w:themeFillShade="BF"/>
            <w:vAlign w:val="center"/>
            <w:hideMark/>
          </w:tcPr>
          <w:p w14:paraId="0655CAC7"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0.09</w:t>
            </w:r>
          </w:p>
        </w:tc>
      </w:tr>
      <w:tr w:rsidR="00E722A8" w:rsidRPr="00386BF6" w14:paraId="3266833B" w14:textId="77777777" w:rsidTr="00386BF6">
        <w:trPr>
          <w:trHeight w:val="378"/>
        </w:trPr>
        <w:tc>
          <w:tcPr>
            <w:tcW w:w="736" w:type="pct"/>
            <w:vMerge w:val="restart"/>
            <w:tcBorders>
              <w:top w:val="nil"/>
              <w:left w:val="single" w:sz="4" w:space="0" w:color="auto"/>
              <w:bottom w:val="single" w:sz="4" w:space="0" w:color="000000"/>
              <w:right w:val="single" w:sz="4" w:space="0" w:color="auto"/>
            </w:tcBorders>
            <w:shd w:val="clear" w:color="auto" w:fill="auto"/>
            <w:vAlign w:val="center"/>
            <w:hideMark/>
          </w:tcPr>
          <w:p w14:paraId="4E73A6C4"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Social Media</w:t>
            </w:r>
          </w:p>
        </w:tc>
        <w:tc>
          <w:tcPr>
            <w:tcW w:w="911" w:type="pct"/>
            <w:tcBorders>
              <w:top w:val="nil"/>
              <w:left w:val="nil"/>
              <w:bottom w:val="single" w:sz="4" w:space="0" w:color="auto"/>
              <w:right w:val="single" w:sz="4" w:space="0" w:color="auto"/>
            </w:tcBorders>
            <w:shd w:val="clear" w:color="auto" w:fill="auto"/>
            <w:vAlign w:val="center"/>
            <w:hideMark/>
          </w:tcPr>
          <w:p w14:paraId="45D17D60" w14:textId="77777777" w:rsidR="008C03A2" w:rsidRPr="00386BF6" w:rsidRDefault="008C03A2" w:rsidP="008C03A2">
            <w:pPr>
              <w:spacing w:after="0" w:line="240" w:lineRule="auto"/>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Bagging</w:t>
            </w:r>
          </w:p>
        </w:tc>
        <w:tc>
          <w:tcPr>
            <w:tcW w:w="610" w:type="pct"/>
            <w:tcBorders>
              <w:top w:val="nil"/>
              <w:left w:val="nil"/>
              <w:bottom w:val="single" w:sz="4" w:space="0" w:color="auto"/>
              <w:right w:val="single" w:sz="4" w:space="0" w:color="auto"/>
            </w:tcBorders>
            <w:shd w:val="clear" w:color="auto" w:fill="auto"/>
            <w:vAlign w:val="center"/>
            <w:hideMark/>
          </w:tcPr>
          <w:p w14:paraId="10C3B35B"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84.50%</w:t>
            </w:r>
          </w:p>
        </w:tc>
        <w:tc>
          <w:tcPr>
            <w:tcW w:w="597" w:type="pct"/>
            <w:tcBorders>
              <w:top w:val="nil"/>
              <w:left w:val="nil"/>
              <w:bottom w:val="single" w:sz="4" w:space="0" w:color="auto"/>
              <w:right w:val="single" w:sz="4" w:space="0" w:color="auto"/>
            </w:tcBorders>
            <w:shd w:val="clear" w:color="auto" w:fill="auto"/>
            <w:vAlign w:val="center"/>
            <w:hideMark/>
          </w:tcPr>
          <w:p w14:paraId="3EC4579E"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81.80%</w:t>
            </w:r>
          </w:p>
        </w:tc>
        <w:tc>
          <w:tcPr>
            <w:tcW w:w="510" w:type="pct"/>
            <w:tcBorders>
              <w:top w:val="nil"/>
              <w:left w:val="nil"/>
              <w:bottom w:val="single" w:sz="4" w:space="0" w:color="auto"/>
              <w:right w:val="single" w:sz="4" w:space="0" w:color="auto"/>
            </w:tcBorders>
            <w:shd w:val="clear" w:color="auto" w:fill="auto"/>
            <w:vAlign w:val="center"/>
            <w:hideMark/>
          </w:tcPr>
          <w:p w14:paraId="0D620CA9"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83.50%</w:t>
            </w:r>
          </w:p>
        </w:tc>
        <w:tc>
          <w:tcPr>
            <w:tcW w:w="520" w:type="pct"/>
            <w:tcBorders>
              <w:top w:val="nil"/>
              <w:left w:val="nil"/>
              <w:bottom w:val="single" w:sz="4" w:space="0" w:color="auto"/>
              <w:right w:val="single" w:sz="4" w:space="0" w:color="auto"/>
            </w:tcBorders>
            <w:shd w:val="clear" w:color="auto" w:fill="auto"/>
            <w:vAlign w:val="center"/>
            <w:hideMark/>
          </w:tcPr>
          <w:p w14:paraId="058C7515"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82.60%</w:t>
            </w:r>
          </w:p>
        </w:tc>
        <w:tc>
          <w:tcPr>
            <w:tcW w:w="458" w:type="pct"/>
            <w:tcBorders>
              <w:top w:val="nil"/>
              <w:left w:val="nil"/>
              <w:bottom w:val="single" w:sz="4" w:space="0" w:color="auto"/>
              <w:right w:val="single" w:sz="4" w:space="0" w:color="auto"/>
            </w:tcBorders>
            <w:shd w:val="clear" w:color="auto" w:fill="auto"/>
            <w:vAlign w:val="center"/>
            <w:hideMark/>
          </w:tcPr>
          <w:p w14:paraId="78745741"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0.862</w:t>
            </w:r>
          </w:p>
        </w:tc>
        <w:tc>
          <w:tcPr>
            <w:tcW w:w="657" w:type="pct"/>
            <w:tcBorders>
              <w:top w:val="nil"/>
              <w:left w:val="nil"/>
              <w:bottom w:val="single" w:sz="4" w:space="0" w:color="auto"/>
              <w:right w:val="single" w:sz="4" w:space="0" w:color="auto"/>
            </w:tcBorders>
            <w:shd w:val="clear" w:color="auto" w:fill="auto"/>
            <w:vAlign w:val="center"/>
            <w:hideMark/>
          </w:tcPr>
          <w:p w14:paraId="22445466"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0.14</w:t>
            </w:r>
          </w:p>
        </w:tc>
      </w:tr>
      <w:tr w:rsidR="00E722A8" w:rsidRPr="00386BF6" w14:paraId="653C9832" w14:textId="77777777" w:rsidTr="00386BF6">
        <w:trPr>
          <w:trHeight w:val="378"/>
        </w:trPr>
        <w:tc>
          <w:tcPr>
            <w:tcW w:w="736" w:type="pct"/>
            <w:vMerge/>
            <w:tcBorders>
              <w:top w:val="nil"/>
              <w:left w:val="single" w:sz="4" w:space="0" w:color="auto"/>
              <w:bottom w:val="single" w:sz="4" w:space="0" w:color="000000"/>
              <w:right w:val="single" w:sz="4" w:space="0" w:color="auto"/>
            </w:tcBorders>
            <w:vAlign w:val="center"/>
            <w:hideMark/>
          </w:tcPr>
          <w:p w14:paraId="21C52E6D"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p>
        </w:tc>
        <w:tc>
          <w:tcPr>
            <w:tcW w:w="911" w:type="pct"/>
            <w:tcBorders>
              <w:top w:val="nil"/>
              <w:left w:val="nil"/>
              <w:bottom w:val="single" w:sz="4" w:space="0" w:color="auto"/>
              <w:right w:val="single" w:sz="4" w:space="0" w:color="auto"/>
            </w:tcBorders>
            <w:shd w:val="clear" w:color="auto" w:fill="auto"/>
            <w:vAlign w:val="center"/>
            <w:hideMark/>
          </w:tcPr>
          <w:p w14:paraId="2492C3B9" w14:textId="77777777" w:rsidR="008C03A2" w:rsidRPr="00386BF6" w:rsidRDefault="008C03A2" w:rsidP="008C03A2">
            <w:pPr>
              <w:spacing w:after="0" w:line="240" w:lineRule="auto"/>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Boosting</w:t>
            </w:r>
          </w:p>
        </w:tc>
        <w:tc>
          <w:tcPr>
            <w:tcW w:w="610" w:type="pct"/>
            <w:tcBorders>
              <w:top w:val="nil"/>
              <w:left w:val="nil"/>
              <w:bottom w:val="single" w:sz="4" w:space="0" w:color="auto"/>
              <w:right w:val="single" w:sz="4" w:space="0" w:color="auto"/>
            </w:tcBorders>
            <w:shd w:val="clear" w:color="auto" w:fill="auto"/>
            <w:vAlign w:val="center"/>
            <w:hideMark/>
          </w:tcPr>
          <w:p w14:paraId="2D6B458F"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86.80%</w:t>
            </w:r>
          </w:p>
        </w:tc>
        <w:tc>
          <w:tcPr>
            <w:tcW w:w="597" w:type="pct"/>
            <w:tcBorders>
              <w:top w:val="nil"/>
              <w:left w:val="nil"/>
              <w:bottom w:val="single" w:sz="4" w:space="0" w:color="auto"/>
              <w:right w:val="single" w:sz="4" w:space="0" w:color="auto"/>
            </w:tcBorders>
            <w:shd w:val="clear" w:color="auto" w:fill="auto"/>
            <w:vAlign w:val="center"/>
            <w:hideMark/>
          </w:tcPr>
          <w:p w14:paraId="07583F04"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84.00%</w:t>
            </w:r>
          </w:p>
        </w:tc>
        <w:tc>
          <w:tcPr>
            <w:tcW w:w="510" w:type="pct"/>
            <w:tcBorders>
              <w:top w:val="nil"/>
              <w:left w:val="nil"/>
              <w:bottom w:val="single" w:sz="4" w:space="0" w:color="auto"/>
              <w:right w:val="single" w:sz="4" w:space="0" w:color="auto"/>
            </w:tcBorders>
            <w:shd w:val="clear" w:color="auto" w:fill="auto"/>
            <w:vAlign w:val="center"/>
            <w:hideMark/>
          </w:tcPr>
          <w:p w14:paraId="5F763B8B"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85.50%</w:t>
            </w:r>
          </w:p>
        </w:tc>
        <w:tc>
          <w:tcPr>
            <w:tcW w:w="520" w:type="pct"/>
            <w:tcBorders>
              <w:top w:val="nil"/>
              <w:left w:val="nil"/>
              <w:bottom w:val="single" w:sz="4" w:space="0" w:color="auto"/>
              <w:right w:val="single" w:sz="4" w:space="0" w:color="auto"/>
            </w:tcBorders>
            <w:shd w:val="clear" w:color="auto" w:fill="auto"/>
            <w:vAlign w:val="center"/>
            <w:hideMark/>
          </w:tcPr>
          <w:p w14:paraId="55D71B16"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84.80%</w:t>
            </w:r>
          </w:p>
        </w:tc>
        <w:tc>
          <w:tcPr>
            <w:tcW w:w="458" w:type="pct"/>
            <w:tcBorders>
              <w:top w:val="nil"/>
              <w:left w:val="nil"/>
              <w:bottom w:val="single" w:sz="4" w:space="0" w:color="auto"/>
              <w:right w:val="single" w:sz="4" w:space="0" w:color="auto"/>
            </w:tcBorders>
            <w:shd w:val="clear" w:color="auto" w:fill="auto"/>
            <w:vAlign w:val="center"/>
            <w:hideMark/>
          </w:tcPr>
          <w:p w14:paraId="383701CB"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0.878</w:t>
            </w:r>
          </w:p>
        </w:tc>
        <w:tc>
          <w:tcPr>
            <w:tcW w:w="657" w:type="pct"/>
            <w:tcBorders>
              <w:top w:val="nil"/>
              <w:left w:val="nil"/>
              <w:bottom w:val="single" w:sz="4" w:space="0" w:color="auto"/>
              <w:right w:val="single" w:sz="4" w:space="0" w:color="auto"/>
            </w:tcBorders>
            <w:shd w:val="clear" w:color="auto" w:fill="auto"/>
            <w:vAlign w:val="center"/>
            <w:hideMark/>
          </w:tcPr>
          <w:p w14:paraId="314CAAAE"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0.11</w:t>
            </w:r>
          </w:p>
        </w:tc>
      </w:tr>
      <w:tr w:rsidR="00E722A8" w:rsidRPr="00386BF6" w14:paraId="236C393A" w14:textId="77777777" w:rsidTr="00386BF6">
        <w:trPr>
          <w:trHeight w:val="378"/>
        </w:trPr>
        <w:tc>
          <w:tcPr>
            <w:tcW w:w="736" w:type="pct"/>
            <w:vMerge/>
            <w:tcBorders>
              <w:top w:val="nil"/>
              <w:left w:val="single" w:sz="4" w:space="0" w:color="auto"/>
              <w:bottom w:val="single" w:sz="4" w:space="0" w:color="000000"/>
              <w:right w:val="single" w:sz="4" w:space="0" w:color="auto"/>
            </w:tcBorders>
            <w:vAlign w:val="center"/>
            <w:hideMark/>
          </w:tcPr>
          <w:p w14:paraId="60A79ED6"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p>
        </w:tc>
        <w:tc>
          <w:tcPr>
            <w:tcW w:w="911" w:type="pct"/>
            <w:tcBorders>
              <w:top w:val="nil"/>
              <w:left w:val="nil"/>
              <w:bottom w:val="single" w:sz="4" w:space="0" w:color="auto"/>
              <w:right w:val="single" w:sz="4" w:space="0" w:color="auto"/>
            </w:tcBorders>
            <w:shd w:val="clear" w:color="auto" w:fill="auto"/>
            <w:vAlign w:val="center"/>
            <w:hideMark/>
          </w:tcPr>
          <w:p w14:paraId="19856E6E" w14:textId="77777777" w:rsidR="008C03A2" w:rsidRPr="00386BF6" w:rsidRDefault="008C03A2" w:rsidP="008C03A2">
            <w:pPr>
              <w:spacing w:after="0" w:line="240" w:lineRule="auto"/>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Random Forest</w:t>
            </w:r>
          </w:p>
        </w:tc>
        <w:tc>
          <w:tcPr>
            <w:tcW w:w="610" w:type="pct"/>
            <w:tcBorders>
              <w:top w:val="nil"/>
              <w:left w:val="nil"/>
              <w:bottom w:val="single" w:sz="4" w:space="0" w:color="auto"/>
              <w:right w:val="single" w:sz="4" w:space="0" w:color="auto"/>
            </w:tcBorders>
            <w:shd w:val="clear" w:color="auto" w:fill="auto"/>
            <w:vAlign w:val="center"/>
            <w:hideMark/>
          </w:tcPr>
          <w:p w14:paraId="2EEA4103"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88.00%</w:t>
            </w:r>
          </w:p>
        </w:tc>
        <w:tc>
          <w:tcPr>
            <w:tcW w:w="597" w:type="pct"/>
            <w:tcBorders>
              <w:top w:val="nil"/>
              <w:left w:val="nil"/>
              <w:bottom w:val="single" w:sz="4" w:space="0" w:color="auto"/>
              <w:right w:val="single" w:sz="4" w:space="0" w:color="auto"/>
            </w:tcBorders>
            <w:shd w:val="clear" w:color="auto" w:fill="auto"/>
            <w:vAlign w:val="center"/>
            <w:hideMark/>
          </w:tcPr>
          <w:p w14:paraId="6BCCDBC4"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85.00%</w:t>
            </w:r>
          </w:p>
        </w:tc>
        <w:tc>
          <w:tcPr>
            <w:tcW w:w="510" w:type="pct"/>
            <w:tcBorders>
              <w:top w:val="nil"/>
              <w:left w:val="nil"/>
              <w:bottom w:val="single" w:sz="4" w:space="0" w:color="auto"/>
              <w:right w:val="single" w:sz="4" w:space="0" w:color="auto"/>
            </w:tcBorders>
            <w:shd w:val="clear" w:color="auto" w:fill="auto"/>
            <w:vAlign w:val="center"/>
            <w:hideMark/>
          </w:tcPr>
          <w:p w14:paraId="2D17D994"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86.50%</w:t>
            </w:r>
          </w:p>
        </w:tc>
        <w:tc>
          <w:tcPr>
            <w:tcW w:w="520" w:type="pct"/>
            <w:tcBorders>
              <w:top w:val="nil"/>
              <w:left w:val="nil"/>
              <w:bottom w:val="single" w:sz="4" w:space="0" w:color="auto"/>
              <w:right w:val="single" w:sz="4" w:space="0" w:color="auto"/>
            </w:tcBorders>
            <w:shd w:val="clear" w:color="auto" w:fill="auto"/>
            <w:vAlign w:val="center"/>
            <w:hideMark/>
          </w:tcPr>
          <w:p w14:paraId="0702C17C"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85.70%</w:t>
            </w:r>
          </w:p>
        </w:tc>
        <w:tc>
          <w:tcPr>
            <w:tcW w:w="458" w:type="pct"/>
            <w:tcBorders>
              <w:top w:val="nil"/>
              <w:left w:val="nil"/>
              <w:bottom w:val="single" w:sz="4" w:space="0" w:color="auto"/>
              <w:right w:val="single" w:sz="4" w:space="0" w:color="auto"/>
            </w:tcBorders>
            <w:shd w:val="clear" w:color="auto" w:fill="auto"/>
            <w:vAlign w:val="center"/>
            <w:hideMark/>
          </w:tcPr>
          <w:p w14:paraId="0FC566CD"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0.883</w:t>
            </w:r>
          </w:p>
        </w:tc>
        <w:tc>
          <w:tcPr>
            <w:tcW w:w="657" w:type="pct"/>
            <w:tcBorders>
              <w:top w:val="nil"/>
              <w:left w:val="nil"/>
              <w:bottom w:val="single" w:sz="4" w:space="0" w:color="auto"/>
              <w:right w:val="single" w:sz="4" w:space="0" w:color="auto"/>
            </w:tcBorders>
            <w:shd w:val="clear" w:color="auto" w:fill="auto"/>
            <w:vAlign w:val="center"/>
            <w:hideMark/>
          </w:tcPr>
          <w:p w14:paraId="23057528"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0.1</w:t>
            </w:r>
          </w:p>
        </w:tc>
      </w:tr>
      <w:tr w:rsidR="00E722A8" w:rsidRPr="00386BF6" w14:paraId="3D15B81D" w14:textId="77777777" w:rsidTr="00386BF6">
        <w:trPr>
          <w:trHeight w:val="378"/>
        </w:trPr>
        <w:tc>
          <w:tcPr>
            <w:tcW w:w="736" w:type="pct"/>
            <w:vMerge/>
            <w:tcBorders>
              <w:top w:val="nil"/>
              <w:left w:val="single" w:sz="4" w:space="0" w:color="auto"/>
              <w:bottom w:val="single" w:sz="4" w:space="0" w:color="000000"/>
              <w:right w:val="single" w:sz="4" w:space="0" w:color="auto"/>
            </w:tcBorders>
            <w:vAlign w:val="center"/>
            <w:hideMark/>
          </w:tcPr>
          <w:p w14:paraId="09DC3AAB"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p>
        </w:tc>
        <w:tc>
          <w:tcPr>
            <w:tcW w:w="911" w:type="pct"/>
            <w:tcBorders>
              <w:top w:val="nil"/>
              <w:left w:val="nil"/>
              <w:bottom w:val="single" w:sz="4" w:space="0" w:color="auto"/>
              <w:right w:val="single" w:sz="4" w:space="0" w:color="auto"/>
            </w:tcBorders>
            <w:shd w:val="clear" w:color="auto" w:fill="auto"/>
            <w:vAlign w:val="center"/>
            <w:hideMark/>
          </w:tcPr>
          <w:p w14:paraId="60C3685E" w14:textId="77777777" w:rsidR="008C03A2" w:rsidRPr="00386BF6" w:rsidRDefault="008C03A2" w:rsidP="008C03A2">
            <w:pPr>
              <w:spacing w:after="0" w:line="240" w:lineRule="auto"/>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Stacking</w:t>
            </w:r>
          </w:p>
        </w:tc>
        <w:tc>
          <w:tcPr>
            <w:tcW w:w="610" w:type="pct"/>
            <w:tcBorders>
              <w:top w:val="nil"/>
              <w:left w:val="nil"/>
              <w:bottom w:val="single" w:sz="4" w:space="0" w:color="auto"/>
              <w:right w:val="single" w:sz="4" w:space="0" w:color="auto"/>
            </w:tcBorders>
            <w:shd w:val="clear" w:color="auto" w:fill="auto"/>
            <w:vAlign w:val="center"/>
            <w:hideMark/>
          </w:tcPr>
          <w:p w14:paraId="4387CB78"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89.20%</w:t>
            </w:r>
          </w:p>
        </w:tc>
        <w:tc>
          <w:tcPr>
            <w:tcW w:w="597" w:type="pct"/>
            <w:tcBorders>
              <w:top w:val="nil"/>
              <w:left w:val="nil"/>
              <w:bottom w:val="single" w:sz="4" w:space="0" w:color="auto"/>
              <w:right w:val="single" w:sz="4" w:space="0" w:color="auto"/>
            </w:tcBorders>
            <w:shd w:val="clear" w:color="auto" w:fill="auto"/>
            <w:vAlign w:val="center"/>
            <w:hideMark/>
          </w:tcPr>
          <w:p w14:paraId="4B9594F5"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86.50%</w:t>
            </w:r>
          </w:p>
        </w:tc>
        <w:tc>
          <w:tcPr>
            <w:tcW w:w="510" w:type="pct"/>
            <w:tcBorders>
              <w:top w:val="nil"/>
              <w:left w:val="nil"/>
              <w:bottom w:val="single" w:sz="4" w:space="0" w:color="auto"/>
              <w:right w:val="single" w:sz="4" w:space="0" w:color="auto"/>
            </w:tcBorders>
            <w:shd w:val="clear" w:color="auto" w:fill="auto"/>
            <w:vAlign w:val="center"/>
            <w:hideMark/>
          </w:tcPr>
          <w:p w14:paraId="44805717"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87.60%</w:t>
            </w:r>
          </w:p>
        </w:tc>
        <w:tc>
          <w:tcPr>
            <w:tcW w:w="520" w:type="pct"/>
            <w:tcBorders>
              <w:top w:val="nil"/>
              <w:left w:val="nil"/>
              <w:bottom w:val="single" w:sz="4" w:space="0" w:color="auto"/>
              <w:right w:val="single" w:sz="4" w:space="0" w:color="auto"/>
            </w:tcBorders>
            <w:shd w:val="clear" w:color="auto" w:fill="auto"/>
            <w:vAlign w:val="center"/>
            <w:hideMark/>
          </w:tcPr>
          <w:p w14:paraId="0A99F044"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87.00%</w:t>
            </w:r>
          </w:p>
        </w:tc>
        <w:tc>
          <w:tcPr>
            <w:tcW w:w="458" w:type="pct"/>
            <w:tcBorders>
              <w:top w:val="nil"/>
              <w:left w:val="nil"/>
              <w:bottom w:val="single" w:sz="4" w:space="0" w:color="auto"/>
              <w:right w:val="single" w:sz="4" w:space="0" w:color="auto"/>
            </w:tcBorders>
            <w:shd w:val="clear" w:color="auto" w:fill="auto"/>
            <w:vAlign w:val="center"/>
            <w:hideMark/>
          </w:tcPr>
          <w:p w14:paraId="4EA30B30"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0.897</w:t>
            </w:r>
          </w:p>
        </w:tc>
        <w:tc>
          <w:tcPr>
            <w:tcW w:w="657" w:type="pct"/>
            <w:tcBorders>
              <w:top w:val="nil"/>
              <w:left w:val="nil"/>
              <w:bottom w:val="single" w:sz="4" w:space="0" w:color="auto"/>
              <w:right w:val="single" w:sz="4" w:space="0" w:color="auto"/>
            </w:tcBorders>
            <w:shd w:val="clear" w:color="auto" w:fill="auto"/>
            <w:vAlign w:val="center"/>
            <w:hideMark/>
          </w:tcPr>
          <w:p w14:paraId="5FF109E6"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0.09</w:t>
            </w:r>
          </w:p>
        </w:tc>
      </w:tr>
      <w:tr w:rsidR="008C03A2" w:rsidRPr="00386BF6" w14:paraId="1A6929EE" w14:textId="77777777" w:rsidTr="00386BF6">
        <w:trPr>
          <w:trHeight w:val="378"/>
        </w:trPr>
        <w:tc>
          <w:tcPr>
            <w:tcW w:w="736" w:type="pct"/>
            <w:vMerge/>
            <w:tcBorders>
              <w:top w:val="nil"/>
              <w:left w:val="single" w:sz="4" w:space="0" w:color="auto"/>
              <w:bottom w:val="single" w:sz="4" w:space="0" w:color="000000"/>
              <w:right w:val="single" w:sz="4" w:space="0" w:color="auto"/>
            </w:tcBorders>
            <w:vAlign w:val="center"/>
            <w:hideMark/>
          </w:tcPr>
          <w:p w14:paraId="0544F82C"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p>
        </w:tc>
        <w:tc>
          <w:tcPr>
            <w:tcW w:w="911" w:type="pct"/>
            <w:tcBorders>
              <w:top w:val="nil"/>
              <w:left w:val="nil"/>
              <w:bottom w:val="single" w:sz="4" w:space="0" w:color="auto"/>
              <w:right w:val="single" w:sz="4" w:space="0" w:color="auto"/>
            </w:tcBorders>
            <w:shd w:val="clear" w:color="auto" w:fill="BFBFBF" w:themeFill="background1" w:themeFillShade="BF"/>
            <w:vAlign w:val="center"/>
            <w:hideMark/>
          </w:tcPr>
          <w:p w14:paraId="41F155F9" w14:textId="77777777" w:rsidR="008C03A2" w:rsidRPr="00386BF6" w:rsidRDefault="008C03A2" w:rsidP="008C03A2">
            <w:pPr>
              <w:spacing w:after="0" w:line="240" w:lineRule="auto"/>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AMEL</w:t>
            </w:r>
          </w:p>
        </w:tc>
        <w:tc>
          <w:tcPr>
            <w:tcW w:w="610" w:type="pct"/>
            <w:tcBorders>
              <w:top w:val="nil"/>
              <w:left w:val="nil"/>
              <w:bottom w:val="single" w:sz="4" w:space="0" w:color="auto"/>
              <w:right w:val="single" w:sz="4" w:space="0" w:color="auto"/>
            </w:tcBorders>
            <w:shd w:val="clear" w:color="auto" w:fill="BFBFBF" w:themeFill="background1" w:themeFillShade="BF"/>
            <w:vAlign w:val="center"/>
            <w:hideMark/>
          </w:tcPr>
          <w:p w14:paraId="627C0ED1"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91.70%</w:t>
            </w:r>
          </w:p>
        </w:tc>
        <w:tc>
          <w:tcPr>
            <w:tcW w:w="597" w:type="pct"/>
            <w:tcBorders>
              <w:top w:val="nil"/>
              <w:left w:val="nil"/>
              <w:bottom w:val="single" w:sz="4" w:space="0" w:color="auto"/>
              <w:right w:val="single" w:sz="4" w:space="0" w:color="auto"/>
            </w:tcBorders>
            <w:shd w:val="clear" w:color="auto" w:fill="BFBFBF" w:themeFill="background1" w:themeFillShade="BF"/>
            <w:vAlign w:val="center"/>
            <w:hideMark/>
          </w:tcPr>
          <w:p w14:paraId="4C514E34"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89.30%</w:t>
            </w:r>
          </w:p>
        </w:tc>
        <w:tc>
          <w:tcPr>
            <w:tcW w:w="510" w:type="pct"/>
            <w:tcBorders>
              <w:top w:val="nil"/>
              <w:left w:val="nil"/>
              <w:bottom w:val="single" w:sz="4" w:space="0" w:color="auto"/>
              <w:right w:val="single" w:sz="4" w:space="0" w:color="auto"/>
            </w:tcBorders>
            <w:shd w:val="clear" w:color="auto" w:fill="BFBFBF" w:themeFill="background1" w:themeFillShade="BF"/>
            <w:vAlign w:val="center"/>
            <w:hideMark/>
          </w:tcPr>
          <w:p w14:paraId="6631F868" w14:textId="77777777" w:rsidR="008C03A2" w:rsidRPr="00386BF6" w:rsidRDefault="008C03A2" w:rsidP="008C03A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6BF6">
              <w:rPr>
                <w:rFonts w:ascii="Times New Roman" w:eastAsia="Times New Roman" w:hAnsi="Times New Roman" w:cs="Times New Roman"/>
                <w:color w:val="000000"/>
                <w:kern w:val="0"/>
                <w:sz w:val="20"/>
                <w:szCs w:val="20"/>
                <w:lang w:eastAsia="en-IN"/>
                <w14:ligatures w14:val="none"/>
              </w:rPr>
              <w:t>90.20%</w:t>
            </w:r>
          </w:p>
        </w:tc>
        <w:tc>
          <w:tcPr>
            <w:tcW w:w="520" w:type="pct"/>
            <w:tcBorders>
              <w:top w:val="nil"/>
              <w:left w:val="nil"/>
              <w:bottom w:val="single" w:sz="4" w:space="0" w:color="auto"/>
              <w:right w:val="single" w:sz="4" w:space="0" w:color="auto"/>
            </w:tcBorders>
            <w:shd w:val="clear" w:color="auto" w:fill="BFBFBF" w:themeFill="background1" w:themeFillShade="BF"/>
            <w:vAlign w:val="center"/>
            <w:hideMark/>
          </w:tcPr>
          <w:p w14:paraId="26138D9E"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89.70%</w:t>
            </w:r>
          </w:p>
        </w:tc>
        <w:tc>
          <w:tcPr>
            <w:tcW w:w="458" w:type="pct"/>
            <w:tcBorders>
              <w:top w:val="nil"/>
              <w:left w:val="nil"/>
              <w:bottom w:val="single" w:sz="4" w:space="0" w:color="auto"/>
              <w:right w:val="single" w:sz="4" w:space="0" w:color="auto"/>
            </w:tcBorders>
            <w:shd w:val="clear" w:color="auto" w:fill="BFBFBF" w:themeFill="background1" w:themeFillShade="BF"/>
            <w:vAlign w:val="center"/>
            <w:hideMark/>
          </w:tcPr>
          <w:p w14:paraId="572CA616"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0.914</w:t>
            </w:r>
          </w:p>
        </w:tc>
        <w:tc>
          <w:tcPr>
            <w:tcW w:w="657" w:type="pct"/>
            <w:tcBorders>
              <w:top w:val="nil"/>
              <w:left w:val="nil"/>
              <w:bottom w:val="single" w:sz="4" w:space="0" w:color="auto"/>
              <w:right w:val="single" w:sz="4" w:space="0" w:color="auto"/>
            </w:tcBorders>
            <w:shd w:val="clear" w:color="auto" w:fill="BFBFBF" w:themeFill="background1" w:themeFillShade="BF"/>
            <w:vAlign w:val="center"/>
            <w:hideMark/>
          </w:tcPr>
          <w:p w14:paraId="66EC82F7" w14:textId="77777777" w:rsidR="008C03A2" w:rsidRPr="00386BF6" w:rsidRDefault="008C03A2" w:rsidP="008C03A2">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6BF6">
              <w:rPr>
                <w:rFonts w:ascii="Times New Roman" w:eastAsia="Times New Roman" w:hAnsi="Times New Roman" w:cs="Times New Roman"/>
                <w:b/>
                <w:bCs/>
                <w:color w:val="000000"/>
                <w:kern w:val="0"/>
                <w:sz w:val="20"/>
                <w:szCs w:val="20"/>
                <w:lang w:eastAsia="en-IN"/>
                <w14:ligatures w14:val="none"/>
              </w:rPr>
              <w:t>0.07</w:t>
            </w:r>
          </w:p>
        </w:tc>
      </w:tr>
    </w:tbl>
    <w:p w14:paraId="7824E0DC" w14:textId="70B44C51" w:rsidR="0064707A" w:rsidRPr="00386BF6" w:rsidRDefault="0064707A" w:rsidP="0064707A">
      <w:pPr>
        <w:jc w:val="both"/>
        <w:rPr>
          <w:rFonts w:ascii="Times New Roman" w:hAnsi="Times New Roman" w:cs="Times New Roman"/>
          <w:sz w:val="20"/>
          <w:szCs w:val="20"/>
        </w:rPr>
      </w:pPr>
      <w:r w:rsidRPr="00386BF6">
        <w:rPr>
          <w:rFonts w:ascii="Times New Roman" w:hAnsi="Times New Roman" w:cs="Times New Roman"/>
          <w:sz w:val="20"/>
          <w:szCs w:val="20"/>
        </w:rPr>
        <w:tab/>
        <w:t xml:space="preserve">The accuracy comparison across the three datasets—Healthcare, Finance, and social media—demonstrates the superior performance of the Adaptive Multi-Layer Ensemble Learning (AMEL) framework over traditional ensemble methods such as Bagging, Boosting, Random Forest, and Stacking. Figure 3 shows the accuracy comparisons of the proposed method. In the Healthcare dataset, AMEL achieved an accuracy of 91.0%, outperforming Bagging (85.2%), Boosting (87.1%), Random Forest (88.0%), and Stacking (89.5%). Similarly, in the Finance dataset, AMEL recorded an accuracy of 90.5%, surpassing the other methods: Bagging (83.7%), Boosting (86.0%), Random Forest (87.2%), and Stacking (88.8%). The trend continued in the Social Media dataset, where AMEL attained the highest accuracy of 91.7%, compared to Bagging (84.5%), Boosting (86.8%), Random Forest (88.0%), and Stacking (89.2%). This consistent improvement in accuracy across diverse datasets highlights AMEL's </w:t>
      </w:r>
      <w:r w:rsidRPr="00386BF6">
        <w:rPr>
          <w:rFonts w:ascii="Times New Roman" w:hAnsi="Times New Roman" w:cs="Times New Roman"/>
          <w:sz w:val="20"/>
          <w:szCs w:val="20"/>
        </w:rPr>
        <w:lastRenderedPageBreak/>
        <w:t>ability to effectively handle various data complexities and enhance predictive performance, making it a robust and reliable choice for big data analytics.</w:t>
      </w:r>
      <w:r w:rsidR="001741F5" w:rsidRPr="00386BF6">
        <w:rPr>
          <w:rFonts w:ascii="Times New Roman" w:hAnsi="Times New Roman" w:cs="Times New Roman"/>
          <w:sz w:val="20"/>
          <w:szCs w:val="20"/>
        </w:rPr>
        <w:t xml:space="preserve"> The remaining evaluation metrics comparison are shown in Figure 4. </w:t>
      </w:r>
    </w:p>
    <w:p w14:paraId="21EE0740" w14:textId="1312CFCF" w:rsidR="009A6738" w:rsidRPr="00386BF6" w:rsidRDefault="00702CF2" w:rsidP="00BD4894">
      <w:pPr>
        <w:jc w:val="center"/>
        <w:rPr>
          <w:rFonts w:ascii="Times New Roman" w:hAnsi="Times New Roman" w:cs="Times New Roman"/>
          <w:sz w:val="20"/>
          <w:szCs w:val="20"/>
        </w:rPr>
      </w:pPr>
      <w:r w:rsidRPr="00386BF6">
        <w:rPr>
          <w:rFonts w:ascii="Times New Roman" w:hAnsi="Times New Roman" w:cs="Times New Roman"/>
          <w:noProof/>
          <w:sz w:val="20"/>
          <w:szCs w:val="20"/>
        </w:rPr>
        <w:drawing>
          <wp:inline distT="0" distB="0" distL="0" distR="0" wp14:anchorId="7C33B877" wp14:editId="155747F5">
            <wp:extent cx="2999789" cy="1790700"/>
            <wp:effectExtent l="0" t="0" r="0" b="0"/>
            <wp:docPr id="89863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13050" cy="1798616"/>
                    </a:xfrm>
                    <a:prstGeom prst="rect">
                      <a:avLst/>
                    </a:prstGeom>
                    <a:noFill/>
                    <a:ln>
                      <a:noFill/>
                    </a:ln>
                  </pic:spPr>
                </pic:pic>
              </a:graphicData>
            </a:graphic>
          </wp:inline>
        </w:drawing>
      </w:r>
    </w:p>
    <w:p w14:paraId="0711C6D2" w14:textId="799D9268" w:rsidR="00702CF2" w:rsidRPr="00386BF6" w:rsidRDefault="00702CF2" w:rsidP="00702CF2">
      <w:pPr>
        <w:jc w:val="center"/>
        <w:rPr>
          <w:rFonts w:ascii="Times New Roman" w:hAnsi="Times New Roman" w:cs="Times New Roman"/>
          <w:b/>
          <w:bCs/>
          <w:sz w:val="20"/>
          <w:szCs w:val="20"/>
        </w:rPr>
      </w:pPr>
      <w:r w:rsidRPr="00386BF6">
        <w:rPr>
          <w:rFonts w:ascii="Times New Roman" w:hAnsi="Times New Roman" w:cs="Times New Roman"/>
          <w:b/>
          <w:bCs/>
          <w:sz w:val="20"/>
          <w:szCs w:val="20"/>
        </w:rPr>
        <w:t>Figure</w:t>
      </w:r>
      <w:r w:rsidR="001741F5" w:rsidRPr="00386BF6">
        <w:rPr>
          <w:rFonts w:ascii="Times New Roman" w:hAnsi="Times New Roman" w:cs="Times New Roman"/>
          <w:b/>
          <w:bCs/>
          <w:sz w:val="20"/>
          <w:szCs w:val="20"/>
        </w:rPr>
        <w:t xml:space="preserve"> 3</w:t>
      </w:r>
      <w:r w:rsidRPr="00386BF6">
        <w:rPr>
          <w:rFonts w:ascii="Times New Roman" w:hAnsi="Times New Roman" w:cs="Times New Roman"/>
          <w:b/>
          <w:bCs/>
          <w:sz w:val="20"/>
          <w:szCs w:val="20"/>
        </w:rPr>
        <w:t xml:space="preserve"> Accuracy comparison of proposed method</w:t>
      </w:r>
    </w:p>
    <w:tbl>
      <w:tblPr>
        <w:tblStyle w:val="TableGrid"/>
        <w:tblW w:w="4781" w:type="pct"/>
        <w:tblLayout w:type="fixed"/>
        <w:tblLook w:val="04A0" w:firstRow="1" w:lastRow="0" w:firstColumn="1" w:lastColumn="0" w:noHBand="0" w:noVBand="1"/>
      </w:tblPr>
      <w:tblGrid>
        <w:gridCol w:w="2161"/>
        <w:gridCol w:w="2148"/>
      </w:tblGrid>
      <w:tr w:rsidR="00266C70" w:rsidRPr="00386BF6" w14:paraId="16549B54" w14:textId="77777777" w:rsidTr="00386BF6">
        <w:tc>
          <w:tcPr>
            <w:tcW w:w="2507" w:type="pct"/>
          </w:tcPr>
          <w:p w14:paraId="263EB28C" w14:textId="45DA29D7" w:rsidR="00266C70" w:rsidRPr="00386BF6" w:rsidRDefault="00266C70" w:rsidP="00702CF2">
            <w:pPr>
              <w:jc w:val="center"/>
              <w:rPr>
                <w:rFonts w:ascii="Times New Roman" w:hAnsi="Times New Roman" w:cs="Times New Roman"/>
                <w:b/>
                <w:bCs/>
                <w:sz w:val="20"/>
                <w:szCs w:val="20"/>
              </w:rPr>
            </w:pPr>
            <w:r w:rsidRPr="00386BF6">
              <w:rPr>
                <w:rFonts w:ascii="Times New Roman" w:hAnsi="Times New Roman" w:cs="Times New Roman"/>
                <w:noProof/>
                <w:sz w:val="20"/>
                <w:szCs w:val="20"/>
              </w:rPr>
              <w:drawing>
                <wp:inline distT="0" distB="0" distL="0" distR="0" wp14:anchorId="4333F71A" wp14:editId="22726F3B">
                  <wp:extent cx="1349916" cy="808566"/>
                  <wp:effectExtent l="0" t="0" r="3175" b="0"/>
                  <wp:docPr id="2112014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9205" cy="820119"/>
                          </a:xfrm>
                          <a:prstGeom prst="rect">
                            <a:avLst/>
                          </a:prstGeom>
                          <a:noFill/>
                          <a:ln>
                            <a:noFill/>
                          </a:ln>
                        </pic:spPr>
                      </pic:pic>
                    </a:graphicData>
                  </a:graphic>
                </wp:inline>
              </w:drawing>
            </w:r>
          </w:p>
        </w:tc>
        <w:tc>
          <w:tcPr>
            <w:tcW w:w="2493" w:type="pct"/>
          </w:tcPr>
          <w:p w14:paraId="4E546286" w14:textId="7950A847" w:rsidR="00266C70" w:rsidRPr="00386BF6" w:rsidRDefault="00266C70" w:rsidP="00266C70">
            <w:pPr>
              <w:rPr>
                <w:rFonts w:ascii="Times New Roman" w:hAnsi="Times New Roman" w:cs="Times New Roman"/>
                <w:b/>
                <w:bCs/>
                <w:sz w:val="20"/>
                <w:szCs w:val="20"/>
              </w:rPr>
            </w:pPr>
            <w:r w:rsidRPr="00386BF6">
              <w:rPr>
                <w:rFonts w:ascii="Times New Roman" w:hAnsi="Times New Roman" w:cs="Times New Roman"/>
                <w:noProof/>
                <w:sz w:val="20"/>
                <w:szCs w:val="20"/>
              </w:rPr>
              <w:drawing>
                <wp:inline distT="0" distB="0" distL="0" distR="0" wp14:anchorId="6044BE58" wp14:editId="250A97E8">
                  <wp:extent cx="1373058" cy="808355"/>
                  <wp:effectExtent l="0" t="0" r="0" b="0"/>
                  <wp:docPr id="1717186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7146" cy="816649"/>
                          </a:xfrm>
                          <a:prstGeom prst="rect">
                            <a:avLst/>
                          </a:prstGeom>
                          <a:noFill/>
                          <a:ln>
                            <a:noFill/>
                          </a:ln>
                        </pic:spPr>
                      </pic:pic>
                    </a:graphicData>
                  </a:graphic>
                </wp:inline>
              </w:drawing>
            </w:r>
          </w:p>
        </w:tc>
      </w:tr>
      <w:tr w:rsidR="00266C70" w:rsidRPr="00386BF6" w14:paraId="4DED7117" w14:textId="77777777" w:rsidTr="00386BF6">
        <w:tc>
          <w:tcPr>
            <w:tcW w:w="2507" w:type="pct"/>
          </w:tcPr>
          <w:p w14:paraId="46D7A787" w14:textId="38208BB0" w:rsidR="00266C70" w:rsidRPr="00386BF6" w:rsidRDefault="00266C70" w:rsidP="00702CF2">
            <w:pPr>
              <w:jc w:val="center"/>
              <w:rPr>
                <w:rFonts w:ascii="Times New Roman" w:hAnsi="Times New Roman" w:cs="Times New Roman"/>
                <w:b/>
                <w:bCs/>
                <w:sz w:val="20"/>
                <w:szCs w:val="20"/>
              </w:rPr>
            </w:pPr>
            <w:r w:rsidRPr="00386BF6">
              <w:rPr>
                <w:rFonts w:ascii="Times New Roman" w:hAnsi="Times New Roman" w:cs="Times New Roman"/>
                <w:noProof/>
                <w:sz w:val="20"/>
                <w:szCs w:val="20"/>
              </w:rPr>
              <w:drawing>
                <wp:inline distT="0" distB="0" distL="0" distR="0" wp14:anchorId="614E04A1" wp14:editId="0417EDCE">
                  <wp:extent cx="1278467" cy="766742"/>
                  <wp:effectExtent l="0" t="0" r="0" b="0"/>
                  <wp:docPr id="13355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2075" cy="798892"/>
                          </a:xfrm>
                          <a:prstGeom prst="rect">
                            <a:avLst/>
                          </a:prstGeom>
                          <a:noFill/>
                          <a:ln>
                            <a:noFill/>
                          </a:ln>
                        </pic:spPr>
                      </pic:pic>
                    </a:graphicData>
                  </a:graphic>
                </wp:inline>
              </w:drawing>
            </w:r>
          </w:p>
        </w:tc>
        <w:tc>
          <w:tcPr>
            <w:tcW w:w="2493" w:type="pct"/>
          </w:tcPr>
          <w:p w14:paraId="5A42C0DB" w14:textId="1447F9AB" w:rsidR="00266C70" w:rsidRPr="00386BF6" w:rsidRDefault="00266C70" w:rsidP="00702CF2">
            <w:pPr>
              <w:jc w:val="center"/>
              <w:rPr>
                <w:rFonts w:ascii="Times New Roman" w:hAnsi="Times New Roman" w:cs="Times New Roman"/>
                <w:b/>
                <w:bCs/>
                <w:sz w:val="20"/>
                <w:szCs w:val="20"/>
              </w:rPr>
            </w:pPr>
            <w:r w:rsidRPr="00386BF6">
              <w:rPr>
                <w:rFonts w:ascii="Times New Roman" w:hAnsi="Times New Roman" w:cs="Times New Roman"/>
                <w:noProof/>
                <w:sz w:val="20"/>
                <w:szCs w:val="20"/>
              </w:rPr>
              <w:drawing>
                <wp:inline distT="0" distB="0" distL="0" distR="0" wp14:anchorId="6EDDD85F" wp14:editId="4A784C67">
                  <wp:extent cx="1337733" cy="771887"/>
                  <wp:effectExtent l="0" t="0" r="0" b="9525"/>
                  <wp:docPr id="757932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6965" cy="788754"/>
                          </a:xfrm>
                          <a:prstGeom prst="rect">
                            <a:avLst/>
                          </a:prstGeom>
                          <a:noFill/>
                          <a:ln>
                            <a:noFill/>
                          </a:ln>
                        </pic:spPr>
                      </pic:pic>
                    </a:graphicData>
                  </a:graphic>
                </wp:inline>
              </w:drawing>
            </w:r>
          </w:p>
        </w:tc>
      </w:tr>
    </w:tbl>
    <w:p w14:paraId="5FC2C224" w14:textId="7CA58409" w:rsidR="00266C70" w:rsidRPr="00386BF6" w:rsidRDefault="00266C70" w:rsidP="00702CF2">
      <w:pPr>
        <w:jc w:val="center"/>
        <w:rPr>
          <w:rFonts w:ascii="Times New Roman" w:hAnsi="Times New Roman" w:cs="Times New Roman"/>
          <w:sz w:val="20"/>
          <w:szCs w:val="20"/>
        </w:rPr>
      </w:pPr>
      <w:r w:rsidRPr="00386BF6">
        <w:rPr>
          <w:rFonts w:ascii="Times New Roman" w:hAnsi="Times New Roman" w:cs="Times New Roman"/>
          <w:b/>
          <w:bCs/>
          <w:sz w:val="20"/>
          <w:szCs w:val="20"/>
        </w:rPr>
        <w:t xml:space="preserve"> Figure </w:t>
      </w:r>
      <w:r w:rsidR="001741F5" w:rsidRPr="00386BF6">
        <w:rPr>
          <w:rFonts w:ascii="Times New Roman" w:hAnsi="Times New Roman" w:cs="Times New Roman"/>
          <w:b/>
          <w:bCs/>
          <w:sz w:val="20"/>
          <w:szCs w:val="20"/>
        </w:rPr>
        <w:t>4</w:t>
      </w:r>
      <w:r w:rsidR="00945322" w:rsidRPr="00386BF6">
        <w:rPr>
          <w:rFonts w:ascii="Times New Roman" w:hAnsi="Times New Roman" w:cs="Times New Roman"/>
          <w:b/>
          <w:bCs/>
          <w:sz w:val="20"/>
          <w:szCs w:val="20"/>
        </w:rPr>
        <w:t xml:space="preserve"> </w:t>
      </w:r>
      <w:r w:rsidRPr="00386BF6">
        <w:rPr>
          <w:rFonts w:ascii="Times New Roman" w:hAnsi="Times New Roman" w:cs="Times New Roman"/>
          <w:b/>
          <w:bCs/>
          <w:sz w:val="20"/>
          <w:szCs w:val="20"/>
        </w:rPr>
        <w:t>Comparison of evaluation metrics a) Precision b) Recall c) F1 Score d) Prediction Variance</w:t>
      </w:r>
    </w:p>
    <w:p w14:paraId="2890DE91" w14:textId="1819D0B8" w:rsidR="001741F5" w:rsidRPr="00386BF6" w:rsidRDefault="001741F5" w:rsidP="001741F5">
      <w:pPr>
        <w:ind w:firstLine="720"/>
        <w:jc w:val="both"/>
        <w:rPr>
          <w:rFonts w:ascii="Times New Roman" w:hAnsi="Times New Roman" w:cs="Times New Roman"/>
          <w:sz w:val="20"/>
          <w:szCs w:val="20"/>
        </w:rPr>
      </w:pPr>
      <w:r w:rsidRPr="00386BF6">
        <w:rPr>
          <w:rFonts w:ascii="Times New Roman" w:hAnsi="Times New Roman" w:cs="Times New Roman"/>
          <w:sz w:val="20"/>
          <w:szCs w:val="20"/>
        </w:rPr>
        <w:t xml:space="preserve">The ROC curve comparisons from the above tables illustrate the superior performance of the Adaptive Multi-Layer Ensemble Learning (AMEL) framework in distinguishing between positive and negative classes across three datasets: Healthcare, Finance, and Social Media. In the Healthcare dataset, AMEL consistently exhibits a higher ROC curve compared to traditional ensemble methods like Bagging, Boosting, Random Forest, and Stacking. This indicates a better trade-off between the True Positive Rate (TPR) and False Positive Rate (FPR), showcasing AMEL's enhanced capability in correctly identifying patient outcomes while minimizing false alarms. The Area Under the Curve (AUC) for AMEL is significantly larger, emphasizing its superior discriminative power. Figure 5 shows the Receiver Operating Characteristic (ROC) curve for healthcare dataset. </w:t>
      </w:r>
    </w:p>
    <w:p w14:paraId="3745283E" w14:textId="0E3FDC53" w:rsidR="001741F5" w:rsidRPr="00386BF6" w:rsidRDefault="001741F5" w:rsidP="00386BF6">
      <w:pPr>
        <w:jc w:val="both"/>
        <w:rPr>
          <w:rFonts w:ascii="Times New Roman" w:hAnsi="Times New Roman" w:cs="Times New Roman"/>
          <w:sz w:val="20"/>
          <w:szCs w:val="20"/>
        </w:rPr>
      </w:pPr>
      <w:r w:rsidRPr="00386BF6">
        <w:rPr>
          <w:rFonts w:ascii="Times New Roman" w:hAnsi="Times New Roman" w:cs="Times New Roman"/>
          <w:noProof/>
          <w:sz w:val="20"/>
          <w:szCs w:val="20"/>
        </w:rPr>
        <w:drawing>
          <wp:inline distT="0" distB="0" distL="0" distR="0" wp14:anchorId="42F404FD" wp14:editId="25D3D3FD">
            <wp:extent cx="2709545" cy="2215428"/>
            <wp:effectExtent l="0" t="0" r="0" b="0"/>
            <wp:docPr id="377466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1969" cy="2241939"/>
                    </a:xfrm>
                    <a:prstGeom prst="rect">
                      <a:avLst/>
                    </a:prstGeom>
                    <a:noFill/>
                    <a:ln>
                      <a:noFill/>
                    </a:ln>
                  </pic:spPr>
                </pic:pic>
              </a:graphicData>
            </a:graphic>
          </wp:inline>
        </w:drawing>
      </w:r>
    </w:p>
    <w:p w14:paraId="44B4957C" w14:textId="7EA19B6F" w:rsidR="00037E4B" w:rsidRPr="00386BF6" w:rsidRDefault="00037E4B" w:rsidP="00037E4B">
      <w:pPr>
        <w:jc w:val="center"/>
        <w:rPr>
          <w:rFonts w:ascii="Times New Roman" w:hAnsi="Times New Roman" w:cs="Times New Roman"/>
          <w:b/>
          <w:bCs/>
          <w:sz w:val="20"/>
          <w:szCs w:val="20"/>
        </w:rPr>
      </w:pPr>
      <w:r w:rsidRPr="00386BF6">
        <w:rPr>
          <w:rFonts w:ascii="Times New Roman" w:hAnsi="Times New Roman" w:cs="Times New Roman"/>
          <w:b/>
          <w:bCs/>
          <w:sz w:val="20"/>
          <w:szCs w:val="20"/>
        </w:rPr>
        <w:t>Figure 5 Receiver Operating Characteristics (ROC) curve of the Healthcare datasets</w:t>
      </w:r>
    </w:p>
    <w:p w14:paraId="146570B7" w14:textId="54F08541" w:rsidR="001741F5" w:rsidRPr="00386BF6" w:rsidRDefault="001741F5" w:rsidP="001741F5">
      <w:pPr>
        <w:ind w:firstLine="720"/>
        <w:jc w:val="both"/>
        <w:rPr>
          <w:rFonts w:ascii="Times New Roman" w:hAnsi="Times New Roman" w:cs="Times New Roman"/>
          <w:sz w:val="20"/>
          <w:szCs w:val="20"/>
        </w:rPr>
      </w:pPr>
      <w:r w:rsidRPr="00386BF6">
        <w:rPr>
          <w:rFonts w:ascii="Times New Roman" w:hAnsi="Times New Roman" w:cs="Times New Roman"/>
          <w:sz w:val="20"/>
          <w:szCs w:val="20"/>
        </w:rPr>
        <w:t xml:space="preserve">Similarly, in the Finance dataset, the ROC curve for AMEL remains above those of the other methods. This demonstrates AMEL's effectiveness in accurately detecting fraudulent activities and customer behaviors, crucial for financial applications. The higher AUC value further confirms AMEL's robustness and reliability in this domain, providing a more precise classification than the baseline methods. The trend continues with the Social Media dataset, where AMEL's ROC curve outperforms the other ensemble methods. This indicates AMEL's proficiency in handling the complex and diverse nature of social media data, such as user interactions and sentiment analysis. The ROC curve's position and the corresponding high AUC value reflect AMEL's ability to deliver better classification performance, capturing the nuances of social media dynamics more effectively. Figure 6 and 7 shows the Receiver Operating Characteristic (ROC) curve for finance and social media dataset. </w:t>
      </w:r>
    </w:p>
    <w:p w14:paraId="055EE396" w14:textId="791BB6E4" w:rsidR="00037E4B" w:rsidRPr="00386BF6" w:rsidRDefault="00037E4B" w:rsidP="00386BF6">
      <w:pPr>
        <w:jc w:val="center"/>
        <w:rPr>
          <w:rFonts w:ascii="Times New Roman" w:hAnsi="Times New Roman" w:cs="Times New Roman"/>
          <w:sz w:val="20"/>
          <w:szCs w:val="20"/>
        </w:rPr>
      </w:pPr>
      <w:r w:rsidRPr="00386BF6">
        <w:rPr>
          <w:rFonts w:ascii="Times New Roman" w:hAnsi="Times New Roman" w:cs="Times New Roman"/>
          <w:noProof/>
          <w:sz w:val="20"/>
          <w:szCs w:val="20"/>
        </w:rPr>
        <w:drawing>
          <wp:inline distT="0" distB="0" distL="0" distR="0" wp14:anchorId="374453BF" wp14:editId="1B47A00D">
            <wp:extent cx="3005548" cy="2457450"/>
            <wp:effectExtent l="0" t="0" r="4445" b="0"/>
            <wp:docPr id="1767753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8668" cy="2460001"/>
                    </a:xfrm>
                    <a:prstGeom prst="rect">
                      <a:avLst/>
                    </a:prstGeom>
                    <a:noFill/>
                    <a:ln>
                      <a:noFill/>
                    </a:ln>
                  </pic:spPr>
                </pic:pic>
              </a:graphicData>
            </a:graphic>
          </wp:inline>
        </w:drawing>
      </w:r>
    </w:p>
    <w:p w14:paraId="5401AE8C" w14:textId="226DA9D6" w:rsidR="00037E4B" w:rsidRPr="00386BF6" w:rsidRDefault="00037E4B" w:rsidP="00037E4B">
      <w:pPr>
        <w:jc w:val="center"/>
        <w:rPr>
          <w:rFonts w:ascii="Times New Roman" w:hAnsi="Times New Roman" w:cs="Times New Roman"/>
          <w:b/>
          <w:bCs/>
          <w:sz w:val="20"/>
          <w:szCs w:val="20"/>
        </w:rPr>
      </w:pPr>
      <w:r w:rsidRPr="00386BF6">
        <w:rPr>
          <w:rFonts w:ascii="Times New Roman" w:hAnsi="Times New Roman" w:cs="Times New Roman"/>
          <w:b/>
          <w:bCs/>
          <w:sz w:val="20"/>
          <w:szCs w:val="20"/>
        </w:rPr>
        <w:t>Figure 6 Receiver Operating Characteristics (ROC) curve of the Finance datasets</w:t>
      </w:r>
    </w:p>
    <w:p w14:paraId="2EA806AD" w14:textId="7F14DDAE" w:rsidR="00037E4B" w:rsidRPr="00386BF6" w:rsidRDefault="00037E4B" w:rsidP="00386BF6">
      <w:pPr>
        <w:jc w:val="center"/>
        <w:rPr>
          <w:rFonts w:ascii="Times New Roman" w:hAnsi="Times New Roman" w:cs="Times New Roman"/>
          <w:sz w:val="20"/>
          <w:szCs w:val="20"/>
        </w:rPr>
      </w:pPr>
      <w:r w:rsidRPr="00386BF6">
        <w:rPr>
          <w:rFonts w:ascii="Times New Roman" w:hAnsi="Times New Roman" w:cs="Times New Roman"/>
          <w:noProof/>
          <w:sz w:val="20"/>
          <w:szCs w:val="20"/>
        </w:rPr>
        <w:lastRenderedPageBreak/>
        <w:drawing>
          <wp:inline distT="0" distB="0" distL="0" distR="0" wp14:anchorId="5E895D50" wp14:editId="74C7424E">
            <wp:extent cx="3016250" cy="2466201"/>
            <wp:effectExtent l="0" t="0" r="0" b="0"/>
            <wp:docPr id="674445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0045" cy="2485657"/>
                    </a:xfrm>
                    <a:prstGeom prst="rect">
                      <a:avLst/>
                    </a:prstGeom>
                    <a:noFill/>
                    <a:ln>
                      <a:noFill/>
                    </a:ln>
                  </pic:spPr>
                </pic:pic>
              </a:graphicData>
            </a:graphic>
          </wp:inline>
        </w:drawing>
      </w:r>
    </w:p>
    <w:p w14:paraId="641928B8" w14:textId="6F106884" w:rsidR="00037E4B" w:rsidRPr="00386BF6" w:rsidRDefault="00037E4B" w:rsidP="00037E4B">
      <w:pPr>
        <w:jc w:val="center"/>
        <w:rPr>
          <w:rFonts w:ascii="Times New Roman" w:hAnsi="Times New Roman" w:cs="Times New Roman"/>
          <w:b/>
          <w:bCs/>
          <w:sz w:val="20"/>
          <w:szCs w:val="20"/>
        </w:rPr>
      </w:pPr>
      <w:r w:rsidRPr="00386BF6">
        <w:rPr>
          <w:rFonts w:ascii="Times New Roman" w:hAnsi="Times New Roman" w:cs="Times New Roman"/>
          <w:b/>
          <w:bCs/>
          <w:sz w:val="20"/>
          <w:szCs w:val="20"/>
        </w:rPr>
        <w:t>Figure 7 Receiver Operating Characteristics (ROC) curve of the Social Media datasets</w:t>
      </w:r>
    </w:p>
    <w:p w14:paraId="1C737BCD" w14:textId="6D1D09A1" w:rsidR="0067390F" w:rsidRPr="00857731" w:rsidRDefault="0067390F" w:rsidP="00EC56FF">
      <w:pPr>
        <w:jc w:val="center"/>
        <w:rPr>
          <w:rFonts w:ascii="Times New Roman" w:hAnsi="Times New Roman" w:cs="Times New Roman"/>
          <w:b/>
          <w:bCs/>
          <w:sz w:val="20"/>
          <w:szCs w:val="20"/>
        </w:rPr>
      </w:pPr>
      <w:r w:rsidRPr="00857731">
        <w:rPr>
          <w:rFonts w:ascii="Times New Roman" w:hAnsi="Times New Roman" w:cs="Times New Roman"/>
          <w:b/>
          <w:bCs/>
          <w:sz w:val="20"/>
          <w:szCs w:val="20"/>
        </w:rPr>
        <w:t>V CONCLUSION</w:t>
      </w:r>
    </w:p>
    <w:p w14:paraId="42D4CE81" w14:textId="3B8A79C6" w:rsidR="00EA0BFD" w:rsidRPr="00386BF6" w:rsidRDefault="00EA0BFD" w:rsidP="00C008C8">
      <w:pPr>
        <w:jc w:val="both"/>
        <w:rPr>
          <w:rFonts w:ascii="Times New Roman" w:hAnsi="Times New Roman" w:cs="Times New Roman"/>
          <w:sz w:val="20"/>
          <w:szCs w:val="20"/>
        </w:rPr>
      </w:pPr>
      <w:r w:rsidRPr="00386BF6">
        <w:rPr>
          <w:rFonts w:ascii="Times New Roman" w:hAnsi="Times New Roman" w:cs="Times New Roman"/>
          <w:sz w:val="20"/>
          <w:szCs w:val="20"/>
        </w:rPr>
        <w:tab/>
        <w:t>In this paper, we introduced the Adaptive Multi-Layer Ensemble Learning (AMEL) framework, a novel approach designed to improve the accuracy, robustness, and scalability of predictive models in big data analytics. By leveraging a multi-layer architecture and adaptive weighting mechanisms, AMEL effectively integrates diverse machine learning algorithms to address issues of model bias and variance.</w:t>
      </w:r>
      <w:r w:rsidR="00C008C8" w:rsidRPr="00386BF6">
        <w:rPr>
          <w:rFonts w:ascii="Times New Roman" w:hAnsi="Times New Roman" w:cs="Times New Roman"/>
          <w:sz w:val="20"/>
          <w:szCs w:val="20"/>
        </w:rPr>
        <w:t xml:space="preserve"> </w:t>
      </w:r>
      <w:r w:rsidRPr="00386BF6">
        <w:rPr>
          <w:rFonts w:ascii="Times New Roman" w:hAnsi="Times New Roman" w:cs="Times New Roman"/>
          <w:sz w:val="20"/>
          <w:szCs w:val="20"/>
        </w:rPr>
        <w:t>Our comprehensive evaluation, conducted across three large-scale datasets from the healthcare, finance, and social media domains, demonstrated that AMEL consistently outperforms traditional ensemble methods such as Bagging, Boosting, Random Forest, and Stacking. The results indicated significant improvements in accuracy, precision, recall, and F1 scores, along with a substantial reduction in prediction variance. Additionally, ROC curve comparisons underscored AMEL's enhanced discriminative ability, as reflected in its higher AUC values across all datasets.</w:t>
      </w:r>
      <w:r w:rsidR="00C008C8" w:rsidRPr="00386BF6">
        <w:rPr>
          <w:rFonts w:ascii="Times New Roman" w:hAnsi="Times New Roman" w:cs="Times New Roman"/>
          <w:sz w:val="20"/>
          <w:szCs w:val="20"/>
        </w:rPr>
        <w:t xml:space="preserve"> </w:t>
      </w:r>
      <w:r w:rsidRPr="00386BF6">
        <w:rPr>
          <w:rFonts w:ascii="Times New Roman" w:hAnsi="Times New Roman" w:cs="Times New Roman"/>
          <w:sz w:val="20"/>
          <w:szCs w:val="20"/>
        </w:rPr>
        <w:t>The success of AMEL is attributed to its ability to dynamically adjust model contributions based on performance, thereby optimizing the ensemble's overall predictive power. This adaptability ensures that AMEL can effectively handle noisy and imbalanced data, making it a versatile and reliable solution for a wide range of predictive modeling tasks.</w:t>
      </w:r>
      <w:r w:rsidR="00C008C8" w:rsidRPr="00386BF6">
        <w:rPr>
          <w:rFonts w:ascii="Times New Roman" w:hAnsi="Times New Roman" w:cs="Times New Roman"/>
          <w:sz w:val="20"/>
          <w:szCs w:val="20"/>
        </w:rPr>
        <w:t xml:space="preserve"> </w:t>
      </w:r>
      <w:r w:rsidRPr="00386BF6">
        <w:rPr>
          <w:rFonts w:ascii="Times New Roman" w:hAnsi="Times New Roman" w:cs="Times New Roman"/>
          <w:sz w:val="20"/>
          <w:szCs w:val="20"/>
        </w:rPr>
        <w:t>Future research will focus on further refining the adaptive weighting mechanisms, exploring the integration of additional machine learning algorithms, and applying AMEL to other high-impact sectors to validate its broader applicability. Moreover, investigating the framework's performance on real-time data streams could uncover new opportunities for advancing predictive analytics.</w:t>
      </w:r>
      <w:r w:rsidR="00C008C8" w:rsidRPr="00386BF6">
        <w:rPr>
          <w:rFonts w:ascii="Times New Roman" w:hAnsi="Times New Roman" w:cs="Times New Roman"/>
          <w:sz w:val="20"/>
          <w:szCs w:val="20"/>
        </w:rPr>
        <w:t xml:space="preserve"> </w:t>
      </w:r>
      <w:r w:rsidRPr="00386BF6">
        <w:rPr>
          <w:rFonts w:ascii="Times New Roman" w:hAnsi="Times New Roman" w:cs="Times New Roman"/>
          <w:sz w:val="20"/>
          <w:szCs w:val="20"/>
        </w:rPr>
        <w:t>In conclusion, the AMEL framework represents a significant advancement in ensemble learning, offering a powerful and adaptable approach to predictive modeling in big data analytics. Its superior performance, scalability, and robustness position it as a valuable tool for extracting meaningful insights and driving informed decisions across diverse and complex datasets.</w:t>
      </w:r>
    </w:p>
    <w:p w14:paraId="299E9F98" w14:textId="404C68C6" w:rsidR="0066409E" w:rsidRPr="00857731" w:rsidRDefault="003869E2" w:rsidP="006C1709">
      <w:pPr>
        <w:jc w:val="center"/>
        <w:rPr>
          <w:rFonts w:ascii="Times New Roman" w:hAnsi="Times New Roman" w:cs="Times New Roman"/>
          <w:b/>
          <w:bCs/>
          <w:sz w:val="20"/>
          <w:szCs w:val="20"/>
        </w:rPr>
      </w:pPr>
      <w:r w:rsidRPr="00857731">
        <w:rPr>
          <w:rFonts w:ascii="Times New Roman" w:hAnsi="Times New Roman" w:cs="Times New Roman"/>
          <w:b/>
          <w:bCs/>
          <w:sz w:val="20"/>
          <w:szCs w:val="20"/>
        </w:rPr>
        <w:t>VI REFERENCES</w:t>
      </w:r>
    </w:p>
    <w:p w14:paraId="10AAD622"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Breiman, L. (1996). Bagging predictors. Machine Learning, 24(2), 123-140.</w:t>
      </w:r>
    </w:p>
    <w:p w14:paraId="04E5820A"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Freund, Y., &amp; Schapire, R. E. (1997). A decision-theoretic generalization of on-line learning and an application to boosting. Journal of Computer and System Sciences, 55(1), 119-139.</w:t>
      </w:r>
    </w:p>
    <w:p w14:paraId="73BA6922"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Breiman, L. (2001). Random forests. Machine Learning, 45(1), 5-32.</w:t>
      </w:r>
    </w:p>
    <w:p w14:paraId="516043B2"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Wolpert, D. H. (1992). Stacked generalization. Neural Networks, 5(2), 241-259.</w:t>
      </w:r>
    </w:p>
    <w:p w14:paraId="7511F7BA"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Duchi, J., Hazan, E., &amp; Singer, Y. (2011). Adaptive subgradient methods for online learning and stochastic optimization. Journal of Machine Learning Research, 12(Jul), 2121-2159.</w:t>
      </w:r>
    </w:p>
    <w:p w14:paraId="4D598245"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Esteva, A., Kuprel, B., Novoa, R. A., Ko, J., Swetter, S. M., Blau, H. M., &amp; Thrun, S. (2017). Dermatologist-level classification of skin cancer with deep neural networks. Nature, 542(7639), 115-118.</w:t>
      </w:r>
    </w:p>
    <w:p w14:paraId="7DE779E3"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Ngai, E. W., Hu, Y., Wong, Y. H., Chen, Y., &amp; Sun, X. (2011). The application of data mining techniques in financial fraud detection: A classification framework and an academic review of literature. Decision Support Systems, 50(3), 559-569.</w:t>
      </w:r>
    </w:p>
    <w:p w14:paraId="343BFE17"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Pak, A., &amp; Paroubek, P. (2010). Twitter as a Corpus for Sentiment Analysis and Opinion Mining. Proceedings of the Seventh International Conference on Language Resources and Evaluation (LREC'10).</w:t>
      </w:r>
    </w:p>
    <w:p w14:paraId="7C8F7F4F"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Liu, Y., Kang, Y., Xing, F., &amp; Xie, Y. (2020). Ensemble Deep Learning for Healthcare. IEEE Access, 8, 102820-102832.</w:t>
      </w:r>
    </w:p>
    <w:p w14:paraId="2813FA6E"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Ke, G., Meng, Q., Finley, T., Wang, T., Chen, W., Ma, W., ... &amp; Liu, T. Y. (2020). LightGBM: A Highly Efficient Gradient Boosting Decision Tree. In Advances in Neural Information Processing Systems (NeurIPS).</w:t>
      </w:r>
    </w:p>
    <w:p w14:paraId="217B03D6"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Kingma, D. P., &amp; Ba, J. (2015). Adam: A Method for Stochastic Optimization. In International Conference on Learning Representations (ICLR).</w:t>
      </w:r>
    </w:p>
    <w:p w14:paraId="074EF33A"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Finn, C., Abbeel, P., &amp; Levine, S. (2017). Model-Agnostic Meta-Learning for Fast Adaptation of Deep Networks. In Proceedings of the 34th International Conference on Machine Learning (ICML), 70, 1126-1135.</w:t>
      </w:r>
    </w:p>
    <w:p w14:paraId="7AD59A4F"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Zaharia, M., Chen, A., Davidson, A., Ghodsi, A., Hong, M., Konwinski, A., ... &amp; Stoica, I. (2020). Apache Spark: A Unified Engine for Big Data Processing. Communications of the ACM, 59(11), 56-65.</w:t>
      </w:r>
    </w:p>
    <w:p w14:paraId="6F8DC946"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Chen, C., Li, Y., He, K., &amp; Jin, H. (2020). Hybrid Models in Financial Forecasting: Combining Machine Learning with Econometric Models. Journal of Finance and Data Science, 6(2), 123-138.</w:t>
      </w:r>
    </w:p>
    <w:p w14:paraId="2D6F76F2"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Zhang, T., Lee, K., &amp; Shin, J. (2021). Integrating Ensemble Learning with Reinforcement Learning for Real-Time Decision-Making Applications. IEEE Transactions on Neural Networks and Learning Systems.</w:t>
      </w:r>
    </w:p>
    <w:p w14:paraId="2832E6C6"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Lee, D., Kim, J., &amp; Park, H. (2021). Explainable Ensemble Models for High-Stakes Decision-Making. In Proceedings of the 25th ACM SIGKDD International Conference on Knowledge Discovery &amp; Data Mining (KDD).</w:t>
      </w:r>
    </w:p>
    <w:p w14:paraId="43CC10FF" w14:textId="77777777" w:rsidR="00024153"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lastRenderedPageBreak/>
        <w:t>Smith, A., Jones, B., &amp; Liu, C. (2022). Hybrid Ensemble Learning for High-Dimensional Data Analysis. In Proceedings of the 29th International Conference on Machine Learning (ICML).</w:t>
      </w:r>
    </w:p>
    <w:p w14:paraId="44C75FC2" w14:textId="06B4E307" w:rsidR="003869E2" w:rsidRPr="00386BF6" w:rsidRDefault="00024153" w:rsidP="00857731">
      <w:pPr>
        <w:pStyle w:val="ListParagraph"/>
        <w:numPr>
          <w:ilvl w:val="0"/>
          <w:numId w:val="7"/>
        </w:numPr>
        <w:spacing w:line="240" w:lineRule="auto"/>
        <w:ind w:left="360"/>
        <w:jc w:val="both"/>
        <w:rPr>
          <w:rFonts w:ascii="Times New Roman" w:hAnsi="Times New Roman" w:cs="Times New Roman"/>
          <w:sz w:val="20"/>
          <w:szCs w:val="20"/>
        </w:rPr>
      </w:pPr>
      <w:r w:rsidRPr="00386BF6">
        <w:rPr>
          <w:rFonts w:ascii="Times New Roman" w:hAnsi="Times New Roman" w:cs="Times New Roman"/>
          <w:sz w:val="20"/>
          <w:szCs w:val="20"/>
        </w:rPr>
        <w:t>Patel, R., Gupta, S., &amp; Kumar, V. (2022). Domain Knowledge Integration in Ensemble Models for Genomics and Personalized Medicine. Bioinformatics, 38(4), 1234-1245.</w:t>
      </w:r>
    </w:p>
    <w:p w14:paraId="64B1E705" w14:textId="4091EC74" w:rsidR="00037C99" w:rsidRPr="00386BF6" w:rsidRDefault="00037C99" w:rsidP="00024153">
      <w:pPr>
        <w:jc w:val="both"/>
        <w:rPr>
          <w:rFonts w:ascii="Times New Roman" w:hAnsi="Times New Roman" w:cs="Times New Roman"/>
          <w:b/>
          <w:bCs/>
          <w:sz w:val="20"/>
          <w:szCs w:val="20"/>
        </w:rPr>
      </w:pPr>
    </w:p>
    <w:p w14:paraId="64CFABE4" w14:textId="16B2E1F1" w:rsidR="00037C99" w:rsidRPr="00386BF6" w:rsidRDefault="00037C99" w:rsidP="00702CF2">
      <w:pPr>
        <w:jc w:val="center"/>
        <w:rPr>
          <w:rFonts w:ascii="Times New Roman" w:hAnsi="Times New Roman" w:cs="Times New Roman"/>
          <w:b/>
          <w:bCs/>
          <w:sz w:val="20"/>
          <w:szCs w:val="20"/>
        </w:rPr>
      </w:pPr>
    </w:p>
    <w:sectPr w:rsidR="00037C99" w:rsidRPr="00386BF6" w:rsidSect="00AE222D">
      <w:type w:val="continuous"/>
      <w:pgSz w:w="11906" w:h="16838"/>
      <w:pgMar w:top="862" w:right="1083" w:bottom="720" w:left="1083"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5B73"/>
    <w:multiLevelType w:val="multilevel"/>
    <w:tmpl w:val="0DF84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01A34"/>
    <w:multiLevelType w:val="hybridMultilevel"/>
    <w:tmpl w:val="D5BC16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4E6346"/>
    <w:multiLevelType w:val="hybridMultilevel"/>
    <w:tmpl w:val="8BC80D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4C3A155F"/>
    <w:multiLevelType w:val="hybridMultilevel"/>
    <w:tmpl w:val="1D802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CD0FDA"/>
    <w:multiLevelType w:val="hybridMultilevel"/>
    <w:tmpl w:val="B074DDC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52A27D9"/>
    <w:multiLevelType w:val="multilevel"/>
    <w:tmpl w:val="D7AEE9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8DA22E4"/>
    <w:multiLevelType w:val="hybridMultilevel"/>
    <w:tmpl w:val="5FC8EC8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5081922">
    <w:abstractNumId w:val="5"/>
  </w:num>
  <w:num w:numId="2" w16cid:durableId="1159233299">
    <w:abstractNumId w:val="3"/>
  </w:num>
  <w:num w:numId="3" w16cid:durableId="1300644698">
    <w:abstractNumId w:val="2"/>
  </w:num>
  <w:num w:numId="4" w16cid:durableId="1744715471">
    <w:abstractNumId w:val="0"/>
  </w:num>
  <w:num w:numId="5" w16cid:durableId="897126974">
    <w:abstractNumId w:val="6"/>
  </w:num>
  <w:num w:numId="6" w16cid:durableId="1592815879">
    <w:abstractNumId w:val="4"/>
  </w:num>
  <w:num w:numId="7" w16cid:durableId="11567992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EF0"/>
    <w:rsid w:val="00024153"/>
    <w:rsid w:val="000259F6"/>
    <w:rsid w:val="00037C99"/>
    <w:rsid w:val="00037E4B"/>
    <w:rsid w:val="000805FA"/>
    <w:rsid w:val="000B4A44"/>
    <w:rsid w:val="000C1A32"/>
    <w:rsid w:val="000D0ED5"/>
    <w:rsid w:val="000D41E6"/>
    <w:rsid w:val="00131398"/>
    <w:rsid w:val="001741F5"/>
    <w:rsid w:val="001755D2"/>
    <w:rsid w:val="0018232F"/>
    <w:rsid w:val="0018751F"/>
    <w:rsid w:val="001A573A"/>
    <w:rsid w:val="001A5F85"/>
    <w:rsid w:val="001B1E68"/>
    <w:rsid w:val="00214758"/>
    <w:rsid w:val="002374BF"/>
    <w:rsid w:val="00253D36"/>
    <w:rsid w:val="00266C70"/>
    <w:rsid w:val="002E0099"/>
    <w:rsid w:val="002F5D2F"/>
    <w:rsid w:val="002F68D8"/>
    <w:rsid w:val="00385E27"/>
    <w:rsid w:val="003869E2"/>
    <w:rsid w:val="00386BF6"/>
    <w:rsid w:val="003A25C5"/>
    <w:rsid w:val="003A688A"/>
    <w:rsid w:val="003B1AF7"/>
    <w:rsid w:val="0042083B"/>
    <w:rsid w:val="00476310"/>
    <w:rsid w:val="004859F1"/>
    <w:rsid w:val="004E7745"/>
    <w:rsid w:val="004F14BA"/>
    <w:rsid w:val="00504730"/>
    <w:rsid w:val="00520E09"/>
    <w:rsid w:val="005277A8"/>
    <w:rsid w:val="005323AF"/>
    <w:rsid w:val="005418F5"/>
    <w:rsid w:val="00560EC4"/>
    <w:rsid w:val="005A1B1F"/>
    <w:rsid w:val="005D451C"/>
    <w:rsid w:val="005F21AD"/>
    <w:rsid w:val="005F65AA"/>
    <w:rsid w:val="00614D95"/>
    <w:rsid w:val="00621D23"/>
    <w:rsid w:val="0064707A"/>
    <w:rsid w:val="00651BCD"/>
    <w:rsid w:val="006539D9"/>
    <w:rsid w:val="0066409E"/>
    <w:rsid w:val="0067390F"/>
    <w:rsid w:val="006C1709"/>
    <w:rsid w:val="00701A65"/>
    <w:rsid w:val="00702CF2"/>
    <w:rsid w:val="00753366"/>
    <w:rsid w:val="0075663E"/>
    <w:rsid w:val="00794276"/>
    <w:rsid w:val="007A3D46"/>
    <w:rsid w:val="007C3848"/>
    <w:rsid w:val="007D3D58"/>
    <w:rsid w:val="00822AB6"/>
    <w:rsid w:val="00842BAA"/>
    <w:rsid w:val="00857731"/>
    <w:rsid w:val="00881161"/>
    <w:rsid w:val="008C03A2"/>
    <w:rsid w:val="008F39D3"/>
    <w:rsid w:val="00930C36"/>
    <w:rsid w:val="00945322"/>
    <w:rsid w:val="00945FDA"/>
    <w:rsid w:val="00970C4F"/>
    <w:rsid w:val="00974FD2"/>
    <w:rsid w:val="009808AF"/>
    <w:rsid w:val="009A6738"/>
    <w:rsid w:val="009B2DE5"/>
    <w:rsid w:val="009B4F02"/>
    <w:rsid w:val="00A00849"/>
    <w:rsid w:val="00A14625"/>
    <w:rsid w:val="00A957E3"/>
    <w:rsid w:val="00AB2858"/>
    <w:rsid w:val="00AE222D"/>
    <w:rsid w:val="00B2088E"/>
    <w:rsid w:val="00B34F70"/>
    <w:rsid w:val="00B725F9"/>
    <w:rsid w:val="00BC1179"/>
    <w:rsid w:val="00BC783C"/>
    <w:rsid w:val="00BD4894"/>
    <w:rsid w:val="00BF1C83"/>
    <w:rsid w:val="00C008C8"/>
    <w:rsid w:val="00C55361"/>
    <w:rsid w:val="00C67DF0"/>
    <w:rsid w:val="00C76EF0"/>
    <w:rsid w:val="00C863EE"/>
    <w:rsid w:val="00C94992"/>
    <w:rsid w:val="00D20DDD"/>
    <w:rsid w:val="00D23D55"/>
    <w:rsid w:val="00D34E00"/>
    <w:rsid w:val="00D36193"/>
    <w:rsid w:val="00D6097D"/>
    <w:rsid w:val="00D93A18"/>
    <w:rsid w:val="00DA0E21"/>
    <w:rsid w:val="00DB3BD2"/>
    <w:rsid w:val="00DC5855"/>
    <w:rsid w:val="00DD77D2"/>
    <w:rsid w:val="00DF3EB4"/>
    <w:rsid w:val="00E42953"/>
    <w:rsid w:val="00E501A7"/>
    <w:rsid w:val="00E50397"/>
    <w:rsid w:val="00E722A8"/>
    <w:rsid w:val="00E96603"/>
    <w:rsid w:val="00EA0BFD"/>
    <w:rsid w:val="00EB543F"/>
    <w:rsid w:val="00EC56FF"/>
    <w:rsid w:val="00F279C0"/>
    <w:rsid w:val="00F306F3"/>
    <w:rsid w:val="00FB3832"/>
    <w:rsid w:val="00FE0C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9A7553"/>
  <w15:chartTrackingRefBased/>
  <w15:docId w15:val="{68814496-AAF7-4552-B31E-5DAB30DD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E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088E"/>
    <w:pPr>
      <w:ind w:left="720"/>
      <w:contextualSpacing/>
    </w:pPr>
  </w:style>
  <w:style w:type="paragraph" w:styleId="NormalWeb">
    <w:name w:val="Normal (Web)"/>
    <w:basedOn w:val="Normal"/>
    <w:uiPriority w:val="99"/>
    <w:semiHidden/>
    <w:unhideWhenUsed/>
    <w:rsid w:val="00DC5855"/>
    <w:rPr>
      <w:rFonts w:ascii="Times New Roman" w:hAnsi="Times New Roman" w:cs="Times New Roman"/>
      <w:sz w:val="24"/>
      <w:szCs w:val="24"/>
    </w:rPr>
  </w:style>
  <w:style w:type="character" w:styleId="PlaceholderText">
    <w:name w:val="Placeholder Text"/>
    <w:basedOn w:val="DefaultParagraphFont"/>
    <w:uiPriority w:val="99"/>
    <w:semiHidden/>
    <w:rsid w:val="00E501A7"/>
    <w:rPr>
      <w:color w:val="666666"/>
    </w:rPr>
  </w:style>
  <w:style w:type="table" w:styleId="TableGrid">
    <w:name w:val="Table Grid"/>
    <w:basedOn w:val="TableNormal"/>
    <w:uiPriority w:val="39"/>
    <w:rsid w:val="00266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51B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BC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5E2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0551">
      <w:bodyDiv w:val="1"/>
      <w:marLeft w:val="0"/>
      <w:marRight w:val="0"/>
      <w:marTop w:val="0"/>
      <w:marBottom w:val="0"/>
      <w:divBdr>
        <w:top w:val="none" w:sz="0" w:space="0" w:color="auto"/>
        <w:left w:val="none" w:sz="0" w:space="0" w:color="auto"/>
        <w:bottom w:val="none" w:sz="0" w:space="0" w:color="auto"/>
        <w:right w:val="none" w:sz="0" w:space="0" w:color="auto"/>
      </w:divBdr>
    </w:div>
    <w:div w:id="107969751">
      <w:bodyDiv w:val="1"/>
      <w:marLeft w:val="0"/>
      <w:marRight w:val="0"/>
      <w:marTop w:val="0"/>
      <w:marBottom w:val="0"/>
      <w:divBdr>
        <w:top w:val="none" w:sz="0" w:space="0" w:color="auto"/>
        <w:left w:val="none" w:sz="0" w:space="0" w:color="auto"/>
        <w:bottom w:val="none" w:sz="0" w:space="0" w:color="auto"/>
        <w:right w:val="none" w:sz="0" w:space="0" w:color="auto"/>
      </w:divBdr>
    </w:div>
    <w:div w:id="144858242">
      <w:bodyDiv w:val="1"/>
      <w:marLeft w:val="0"/>
      <w:marRight w:val="0"/>
      <w:marTop w:val="0"/>
      <w:marBottom w:val="0"/>
      <w:divBdr>
        <w:top w:val="none" w:sz="0" w:space="0" w:color="auto"/>
        <w:left w:val="none" w:sz="0" w:space="0" w:color="auto"/>
        <w:bottom w:val="none" w:sz="0" w:space="0" w:color="auto"/>
        <w:right w:val="none" w:sz="0" w:space="0" w:color="auto"/>
      </w:divBdr>
    </w:div>
    <w:div w:id="176966986">
      <w:bodyDiv w:val="1"/>
      <w:marLeft w:val="0"/>
      <w:marRight w:val="0"/>
      <w:marTop w:val="0"/>
      <w:marBottom w:val="0"/>
      <w:divBdr>
        <w:top w:val="none" w:sz="0" w:space="0" w:color="auto"/>
        <w:left w:val="none" w:sz="0" w:space="0" w:color="auto"/>
        <w:bottom w:val="none" w:sz="0" w:space="0" w:color="auto"/>
        <w:right w:val="none" w:sz="0" w:space="0" w:color="auto"/>
      </w:divBdr>
    </w:div>
    <w:div w:id="216550540">
      <w:bodyDiv w:val="1"/>
      <w:marLeft w:val="0"/>
      <w:marRight w:val="0"/>
      <w:marTop w:val="0"/>
      <w:marBottom w:val="0"/>
      <w:divBdr>
        <w:top w:val="none" w:sz="0" w:space="0" w:color="auto"/>
        <w:left w:val="none" w:sz="0" w:space="0" w:color="auto"/>
        <w:bottom w:val="none" w:sz="0" w:space="0" w:color="auto"/>
        <w:right w:val="none" w:sz="0" w:space="0" w:color="auto"/>
      </w:divBdr>
    </w:div>
    <w:div w:id="256644058">
      <w:bodyDiv w:val="1"/>
      <w:marLeft w:val="0"/>
      <w:marRight w:val="0"/>
      <w:marTop w:val="0"/>
      <w:marBottom w:val="0"/>
      <w:divBdr>
        <w:top w:val="none" w:sz="0" w:space="0" w:color="auto"/>
        <w:left w:val="none" w:sz="0" w:space="0" w:color="auto"/>
        <w:bottom w:val="none" w:sz="0" w:space="0" w:color="auto"/>
        <w:right w:val="none" w:sz="0" w:space="0" w:color="auto"/>
      </w:divBdr>
    </w:div>
    <w:div w:id="335503045">
      <w:bodyDiv w:val="1"/>
      <w:marLeft w:val="0"/>
      <w:marRight w:val="0"/>
      <w:marTop w:val="0"/>
      <w:marBottom w:val="0"/>
      <w:divBdr>
        <w:top w:val="none" w:sz="0" w:space="0" w:color="auto"/>
        <w:left w:val="none" w:sz="0" w:space="0" w:color="auto"/>
        <w:bottom w:val="none" w:sz="0" w:space="0" w:color="auto"/>
        <w:right w:val="none" w:sz="0" w:space="0" w:color="auto"/>
      </w:divBdr>
    </w:div>
    <w:div w:id="385372321">
      <w:bodyDiv w:val="1"/>
      <w:marLeft w:val="0"/>
      <w:marRight w:val="0"/>
      <w:marTop w:val="0"/>
      <w:marBottom w:val="0"/>
      <w:divBdr>
        <w:top w:val="none" w:sz="0" w:space="0" w:color="auto"/>
        <w:left w:val="none" w:sz="0" w:space="0" w:color="auto"/>
        <w:bottom w:val="none" w:sz="0" w:space="0" w:color="auto"/>
        <w:right w:val="none" w:sz="0" w:space="0" w:color="auto"/>
      </w:divBdr>
    </w:div>
    <w:div w:id="407921801">
      <w:bodyDiv w:val="1"/>
      <w:marLeft w:val="0"/>
      <w:marRight w:val="0"/>
      <w:marTop w:val="0"/>
      <w:marBottom w:val="0"/>
      <w:divBdr>
        <w:top w:val="none" w:sz="0" w:space="0" w:color="auto"/>
        <w:left w:val="none" w:sz="0" w:space="0" w:color="auto"/>
        <w:bottom w:val="none" w:sz="0" w:space="0" w:color="auto"/>
        <w:right w:val="none" w:sz="0" w:space="0" w:color="auto"/>
      </w:divBdr>
    </w:div>
    <w:div w:id="489489535">
      <w:bodyDiv w:val="1"/>
      <w:marLeft w:val="0"/>
      <w:marRight w:val="0"/>
      <w:marTop w:val="0"/>
      <w:marBottom w:val="0"/>
      <w:divBdr>
        <w:top w:val="none" w:sz="0" w:space="0" w:color="auto"/>
        <w:left w:val="none" w:sz="0" w:space="0" w:color="auto"/>
        <w:bottom w:val="none" w:sz="0" w:space="0" w:color="auto"/>
        <w:right w:val="none" w:sz="0" w:space="0" w:color="auto"/>
      </w:divBdr>
    </w:div>
    <w:div w:id="530580598">
      <w:bodyDiv w:val="1"/>
      <w:marLeft w:val="0"/>
      <w:marRight w:val="0"/>
      <w:marTop w:val="0"/>
      <w:marBottom w:val="0"/>
      <w:divBdr>
        <w:top w:val="none" w:sz="0" w:space="0" w:color="auto"/>
        <w:left w:val="none" w:sz="0" w:space="0" w:color="auto"/>
        <w:bottom w:val="none" w:sz="0" w:space="0" w:color="auto"/>
        <w:right w:val="none" w:sz="0" w:space="0" w:color="auto"/>
      </w:divBdr>
    </w:div>
    <w:div w:id="576326292">
      <w:bodyDiv w:val="1"/>
      <w:marLeft w:val="0"/>
      <w:marRight w:val="0"/>
      <w:marTop w:val="0"/>
      <w:marBottom w:val="0"/>
      <w:divBdr>
        <w:top w:val="none" w:sz="0" w:space="0" w:color="auto"/>
        <w:left w:val="none" w:sz="0" w:space="0" w:color="auto"/>
        <w:bottom w:val="none" w:sz="0" w:space="0" w:color="auto"/>
        <w:right w:val="none" w:sz="0" w:space="0" w:color="auto"/>
      </w:divBdr>
    </w:div>
    <w:div w:id="705910127">
      <w:bodyDiv w:val="1"/>
      <w:marLeft w:val="0"/>
      <w:marRight w:val="0"/>
      <w:marTop w:val="0"/>
      <w:marBottom w:val="0"/>
      <w:divBdr>
        <w:top w:val="none" w:sz="0" w:space="0" w:color="auto"/>
        <w:left w:val="none" w:sz="0" w:space="0" w:color="auto"/>
        <w:bottom w:val="none" w:sz="0" w:space="0" w:color="auto"/>
        <w:right w:val="none" w:sz="0" w:space="0" w:color="auto"/>
      </w:divBdr>
    </w:div>
    <w:div w:id="926578682">
      <w:bodyDiv w:val="1"/>
      <w:marLeft w:val="0"/>
      <w:marRight w:val="0"/>
      <w:marTop w:val="0"/>
      <w:marBottom w:val="0"/>
      <w:divBdr>
        <w:top w:val="none" w:sz="0" w:space="0" w:color="auto"/>
        <w:left w:val="none" w:sz="0" w:space="0" w:color="auto"/>
        <w:bottom w:val="none" w:sz="0" w:space="0" w:color="auto"/>
        <w:right w:val="none" w:sz="0" w:space="0" w:color="auto"/>
      </w:divBdr>
    </w:div>
    <w:div w:id="1010328484">
      <w:bodyDiv w:val="1"/>
      <w:marLeft w:val="0"/>
      <w:marRight w:val="0"/>
      <w:marTop w:val="0"/>
      <w:marBottom w:val="0"/>
      <w:divBdr>
        <w:top w:val="none" w:sz="0" w:space="0" w:color="auto"/>
        <w:left w:val="none" w:sz="0" w:space="0" w:color="auto"/>
        <w:bottom w:val="none" w:sz="0" w:space="0" w:color="auto"/>
        <w:right w:val="none" w:sz="0" w:space="0" w:color="auto"/>
      </w:divBdr>
    </w:div>
    <w:div w:id="1053502691">
      <w:bodyDiv w:val="1"/>
      <w:marLeft w:val="0"/>
      <w:marRight w:val="0"/>
      <w:marTop w:val="0"/>
      <w:marBottom w:val="0"/>
      <w:divBdr>
        <w:top w:val="none" w:sz="0" w:space="0" w:color="auto"/>
        <w:left w:val="none" w:sz="0" w:space="0" w:color="auto"/>
        <w:bottom w:val="none" w:sz="0" w:space="0" w:color="auto"/>
        <w:right w:val="none" w:sz="0" w:space="0" w:color="auto"/>
      </w:divBdr>
    </w:div>
    <w:div w:id="1088186383">
      <w:bodyDiv w:val="1"/>
      <w:marLeft w:val="0"/>
      <w:marRight w:val="0"/>
      <w:marTop w:val="0"/>
      <w:marBottom w:val="0"/>
      <w:divBdr>
        <w:top w:val="none" w:sz="0" w:space="0" w:color="auto"/>
        <w:left w:val="none" w:sz="0" w:space="0" w:color="auto"/>
        <w:bottom w:val="none" w:sz="0" w:space="0" w:color="auto"/>
        <w:right w:val="none" w:sz="0" w:space="0" w:color="auto"/>
      </w:divBdr>
    </w:div>
    <w:div w:id="1090392247">
      <w:bodyDiv w:val="1"/>
      <w:marLeft w:val="0"/>
      <w:marRight w:val="0"/>
      <w:marTop w:val="0"/>
      <w:marBottom w:val="0"/>
      <w:divBdr>
        <w:top w:val="none" w:sz="0" w:space="0" w:color="auto"/>
        <w:left w:val="none" w:sz="0" w:space="0" w:color="auto"/>
        <w:bottom w:val="none" w:sz="0" w:space="0" w:color="auto"/>
        <w:right w:val="none" w:sz="0" w:space="0" w:color="auto"/>
      </w:divBdr>
    </w:div>
    <w:div w:id="1139031800">
      <w:bodyDiv w:val="1"/>
      <w:marLeft w:val="0"/>
      <w:marRight w:val="0"/>
      <w:marTop w:val="0"/>
      <w:marBottom w:val="0"/>
      <w:divBdr>
        <w:top w:val="none" w:sz="0" w:space="0" w:color="auto"/>
        <w:left w:val="none" w:sz="0" w:space="0" w:color="auto"/>
        <w:bottom w:val="none" w:sz="0" w:space="0" w:color="auto"/>
        <w:right w:val="none" w:sz="0" w:space="0" w:color="auto"/>
      </w:divBdr>
    </w:div>
    <w:div w:id="1205093204">
      <w:bodyDiv w:val="1"/>
      <w:marLeft w:val="0"/>
      <w:marRight w:val="0"/>
      <w:marTop w:val="0"/>
      <w:marBottom w:val="0"/>
      <w:divBdr>
        <w:top w:val="none" w:sz="0" w:space="0" w:color="auto"/>
        <w:left w:val="none" w:sz="0" w:space="0" w:color="auto"/>
        <w:bottom w:val="none" w:sz="0" w:space="0" w:color="auto"/>
        <w:right w:val="none" w:sz="0" w:space="0" w:color="auto"/>
      </w:divBdr>
    </w:div>
    <w:div w:id="1222710961">
      <w:bodyDiv w:val="1"/>
      <w:marLeft w:val="0"/>
      <w:marRight w:val="0"/>
      <w:marTop w:val="0"/>
      <w:marBottom w:val="0"/>
      <w:divBdr>
        <w:top w:val="none" w:sz="0" w:space="0" w:color="auto"/>
        <w:left w:val="none" w:sz="0" w:space="0" w:color="auto"/>
        <w:bottom w:val="none" w:sz="0" w:space="0" w:color="auto"/>
        <w:right w:val="none" w:sz="0" w:space="0" w:color="auto"/>
      </w:divBdr>
    </w:div>
    <w:div w:id="1227496088">
      <w:bodyDiv w:val="1"/>
      <w:marLeft w:val="0"/>
      <w:marRight w:val="0"/>
      <w:marTop w:val="0"/>
      <w:marBottom w:val="0"/>
      <w:divBdr>
        <w:top w:val="none" w:sz="0" w:space="0" w:color="auto"/>
        <w:left w:val="none" w:sz="0" w:space="0" w:color="auto"/>
        <w:bottom w:val="none" w:sz="0" w:space="0" w:color="auto"/>
        <w:right w:val="none" w:sz="0" w:space="0" w:color="auto"/>
      </w:divBdr>
    </w:div>
    <w:div w:id="1238785721">
      <w:bodyDiv w:val="1"/>
      <w:marLeft w:val="0"/>
      <w:marRight w:val="0"/>
      <w:marTop w:val="0"/>
      <w:marBottom w:val="0"/>
      <w:divBdr>
        <w:top w:val="none" w:sz="0" w:space="0" w:color="auto"/>
        <w:left w:val="none" w:sz="0" w:space="0" w:color="auto"/>
        <w:bottom w:val="none" w:sz="0" w:space="0" w:color="auto"/>
        <w:right w:val="none" w:sz="0" w:space="0" w:color="auto"/>
      </w:divBdr>
    </w:div>
    <w:div w:id="1247423575">
      <w:bodyDiv w:val="1"/>
      <w:marLeft w:val="0"/>
      <w:marRight w:val="0"/>
      <w:marTop w:val="0"/>
      <w:marBottom w:val="0"/>
      <w:divBdr>
        <w:top w:val="none" w:sz="0" w:space="0" w:color="auto"/>
        <w:left w:val="none" w:sz="0" w:space="0" w:color="auto"/>
        <w:bottom w:val="none" w:sz="0" w:space="0" w:color="auto"/>
        <w:right w:val="none" w:sz="0" w:space="0" w:color="auto"/>
      </w:divBdr>
    </w:div>
    <w:div w:id="1330132830">
      <w:bodyDiv w:val="1"/>
      <w:marLeft w:val="0"/>
      <w:marRight w:val="0"/>
      <w:marTop w:val="0"/>
      <w:marBottom w:val="0"/>
      <w:divBdr>
        <w:top w:val="none" w:sz="0" w:space="0" w:color="auto"/>
        <w:left w:val="none" w:sz="0" w:space="0" w:color="auto"/>
        <w:bottom w:val="none" w:sz="0" w:space="0" w:color="auto"/>
        <w:right w:val="none" w:sz="0" w:space="0" w:color="auto"/>
      </w:divBdr>
    </w:div>
    <w:div w:id="1397509621">
      <w:bodyDiv w:val="1"/>
      <w:marLeft w:val="0"/>
      <w:marRight w:val="0"/>
      <w:marTop w:val="0"/>
      <w:marBottom w:val="0"/>
      <w:divBdr>
        <w:top w:val="none" w:sz="0" w:space="0" w:color="auto"/>
        <w:left w:val="none" w:sz="0" w:space="0" w:color="auto"/>
        <w:bottom w:val="none" w:sz="0" w:space="0" w:color="auto"/>
        <w:right w:val="none" w:sz="0" w:space="0" w:color="auto"/>
      </w:divBdr>
    </w:div>
    <w:div w:id="1472361257">
      <w:bodyDiv w:val="1"/>
      <w:marLeft w:val="0"/>
      <w:marRight w:val="0"/>
      <w:marTop w:val="0"/>
      <w:marBottom w:val="0"/>
      <w:divBdr>
        <w:top w:val="none" w:sz="0" w:space="0" w:color="auto"/>
        <w:left w:val="none" w:sz="0" w:space="0" w:color="auto"/>
        <w:bottom w:val="none" w:sz="0" w:space="0" w:color="auto"/>
        <w:right w:val="none" w:sz="0" w:space="0" w:color="auto"/>
      </w:divBdr>
    </w:div>
    <w:div w:id="1510411594">
      <w:bodyDiv w:val="1"/>
      <w:marLeft w:val="0"/>
      <w:marRight w:val="0"/>
      <w:marTop w:val="0"/>
      <w:marBottom w:val="0"/>
      <w:divBdr>
        <w:top w:val="none" w:sz="0" w:space="0" w:color="auto"/>
        <w:left w:val="none" w:sz="0" w:space="0" w:color="auto"/>
        <w:bottom w:val="none" w:sz="0" w:space="0" w:color="auto"/>
        <w:right w:val="none" w:sz="0" w:space="0" w:color="auto"/>
      </w:divBdr>
    </w:div>
    <w:div w:id="1562400539">
      <w:bodyDiv w:val="1"/>
      <w:marLeft w:val="0"/>
      <w:marRight w:val="0"/>
      <w:marTop w:val="0"/>
      <w:marBottom w:val="0"/>
      <w:divBdr>
        <w:top w:val="none" w:sz="0" w:space="0" w:color="auto"/>
        <w:left w:val="none" w:sz="0" w:space="0" w:color="auto"/>
        <w:bottom w:val="none" w:sz="0" w:space="0" w:color="auto"/>
        <w:right w:val="none" w:sz="0" w:space="0" w:color="auto"/>
      </w:divBdr>
    </w:div>
    <w:div w:id="1573395230">
      <w:bodyDiv w:val="1"/>
      <w:marLeft w:val="0"/>
      <w:marRight w:val="0"/>
      <w:marTop w:val="0"/>
      <w:marBottom w:val="0"/>
      <w:divBdr>
        <w:top w:val="none" w:sz="0" w:space="0" w:color="auto"/>
        <w:left w:val="none" w:sz="0" w:space="0" w:color="auto"/>
        <w:bottom w:val="none" w:sz="0" w:space="0" w:color="auto"/>
        <w:right w:val="none" w:sz="0" w:space="0" w:color="auto"/>
      </w:divBdr>
    </w:div>
    <w:div w:id="1668752244">
      <w:bodyDiv w:val="1"/>
      <w:marLeft w:val="0"/>
      <w:marRight w:val="0"/>
      <w:marTop w:val="0"/>
      <w:marBottom w:val="0"/>
      <w:divBdr>
        <w:top w:val="none" w:sz="0" w:space="0" w:color="auto"/>
        <w:left w:val="none" w:sz="0" w:space="0" w:color="auto"/>
        <w:bottom w:val="none" w:sz="0" w:space="0" w:color="auto"/>
        <w:right w:val="none" w:sz="0" w:space="0" w:color="auto"/>
      </w:divBdr>
    </w:div>
    <w:div w:id="1738824649">
      <w:bodyDiv w:val="1"/>
      <w:marLeft w:val="0"/>
      <w:marRight w:val="0"/>
      <w:marTop w:val="0"/>
      <w:marBottom w:val="0"/>
      <w:divBdr>
        <w:top w:val="none" w:sz="0" w:space="0" w:color="auto"/>
        <w:left w:val="none" w:sz="0" w:space="0" w:color="auto"/>
        <w:bottom w:val="none" w:sz="0" w:space="0" w:color="auto"/>
        <w:right w:val="none" w:sz="0" w:space="0" w:color="auto"/>
      </w:divBdr>
    </w:div>
    <w:div w:id="1828132943">
      <w:bodyDiv w:val="1"/>
      <w:marLeft w:val="0"/>
      <w:marRight w:val="0"/>
      <w:marTop w:val="0"/>
      <w:marBottom w:val="0"/>
      <w:divBdr>
        <w:top w:val="none" w:sz="0" w:space="0" w:color="auto"/>
        <w:left w:val="none" w:sz="0" w:space="0" w:color="auto"/>
        <w:bottom w:val="none" w:sz="0" w:space="0" w:color="auto"/>
        <w:right w:val="none" w:sz="0" w:space="0" w:color="auto"/>
      </w:divBdr>
    </w:div>
    <w:div w:id="1915775212">
      <w:bodyDiv w:val="1"/>
      <w:marLeft w:val="0"/>
      <w:marRight w:val="0"/>
      <w:marTop w:val="0"/>
      <w:marBottom w:val="0"/>
      <w:divBdr>
        <w:top w:val="none" w:sz="0" w:space="0" w:color="auto"/>
        <w:left w:val="none" w:sz="0" w:space="0" w:color="auto"/>
        <w:bottom w:val="none" w:sz="0" w:space="0" w:color="auto"/>
        <w:right w:val="none" w:sz="0" w:space="0" w:color="auto"/>
      </w:divBdr>
    </w:div>
    <w:div w:id="2021007260">
      <w:bodyDiv w:val="1"/>
      <w:marLeft w:val="0"/>
      <w:marRight w:val="0"/>
      <w:marTop w:val="0"/>
      <w:marBottom w:val="0"/>
      <w:divBdr>
        <w:top w:val="none" w:sz="0" w:space="0" w:color="auto"/>
        <w:left w:val="none" w:sz="0" w:space="0" w:color="auto"/>
        <w:bottom w:val="none" w:sz="0" w:space="0" w:color="auto"/>
        <w:right w:val="none" w:sz="0" w:space="0" w:color="auto"/>
      </w:divBdr>
    </w:div>
    <w:div w:id="204093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microsoft.com/office/2007/relationships/hdphoto" Target="media/hdphoto3.wd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9</Pages>
  <Words>4657</Words>
  <Characters>28503</Characters>
  <Application>Microsoft Office Word</Application>
  <DocSecurity>0</DocSecurity>
  <Lines>1055</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omana j</dc:creator>
  <cp:keywords/>
  <dc:description/>
  <cp:lastModifiedBy>Sanjay Suresh</cp:lastModifiedBy>
  <cp:revision>166</cp:revision>
  <dcterms:created xsi:type="dcterms:W3CDTF">2024-08-06T08:01:00Z</dcterms:created>
  <dcterms:modified xsi:type="dcterms:W3CDTF">2024-11-23T11:21:00Z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fe42fc699e6712beae23da5fa9215ccc3a00b052cb73242cb870d1f21babfda7</vt:lpwstr>
  </property>
</Properties>
</file>