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r>
        <w:rPr>
          <w:rFonts w:ascii="Times New Roman" w:hAnsi="Times New Roman" w:eastAsia="Times New Roman"/>
          <w:b/>
          <w:i w:val="0"/>
          <w:sz w:val="24"/>
        </w:rPr>
        <w:t>S. Sanjay Srivatsa, MD, FACC, FACP</w:t>
      </w:r>
    </w:p>
    <w:p>
      <w:pPr>
        <w:spacing w:after="0" w:before="0" w:line="276" w:lineRule="auto"/>
      </w:pPr>
      <w:r>
        <w:rPr>
          <w:rFonts w:ascii="Times New Roman" w:hAnsi="Times New Roman" w:eastAsia="Times New Roman"/>
          <w:b w:val="0"/>
          <w:i w:val="0"/>
          <w:sz w:val="24"/>
        </w:rPr>
        <w:t>Director, Heart Artery and Vein Center of Fresno</w:t>
      </w:r>
    </w:p>
    <w:p>
      <w:pPr>
        <w:spacing w:after="0" w:before="0" w:line="276" w:lineRule="auto"/>
      </w:pPr>
      <w:r>
        <w:rPr>
          <w:rFonts w:ascii="Times New Roman" w:hAnsi="Times New Roman" w:eastAsia="Times New Roman"/>
          <w:b w:val="0"/>
          <w:i w:val="0"/>
          <w:sz w:val="24"/>
        </w:rPr>
        <w:t>Fresno, California</w:t>
      </w:r>
    </w:p>
    <w:p>
      <w:pPr>
        <w:spacing w:after="240" w:before="0" w:line="276" w:lineRule="auto"/>
      </w:pPr>
      <w:r>
        <w:rPr>
          <w:rFonts w:ascii="Times New Roman" w:hAnsi="Times New Roman" w:eastAsia="Times New Roman"/>
          <w:b w:val="0"/>
          <w:i w:val="0"/>
          <w:sz w:val="24"/>
        </w:rPr>
        <w:t>drsanjaysrivatsa@gmail.com</w:t>
      </w:r>
    </w:p>
    <w:p>
      <w:pPr>
        <w:spacing w:after="240" w:before="0" w:line="276" w:lineRule="auto"/>
      </w:pPr>
      <w:r>
        <w:rPr>
          <w:rFonts w:ascii="Times New Roman" w:hAnsi="Times New Roman" w:eastAsia="Times New Roman"/>
          <w:b w:val="0"/>
          <w:i w:val="0"/>
          <w:sz w:val="24"/>
        </w:rPr>
        <w:t>September 21, 2026</w:t>
      </w:r>
    </w:p>
    <w:p>
      <w:pPr>
        <w:spacing w:after="0" w:before="0" w:line="276" w:lineRule="auto"/>
      </w:pPr>
      <w:r>
        <w:rPr>
          <w:rFonts w:ascii="Times New Roman" w:hAnsi="Times New Roman" w:eastAsia="Times New Roman"/>
          <w:b w:val="0"/>
          <w:i w:val="0"/>
          <w:sz w:val="24"/>
        </w:rPr>
        <w:t>Anahita Dua, MD, MS, MBA, FACS</w:t>
      </w:r>
    </w:p>
    <w:p>
      <w:pPr>
        <w:spacing w:after="0" w:before="0" w:line="276" w:lineRule="auto"/>
      </w:pPr>
      <w:r>
        <w:rPr>
          <w:rFonts w:ascii="Times New Roman" w:hAnsi="Times New Roman" w:eastAsia="Times New Roman"/>
          <w:b w:val="0"/>
          <w:i w:val="0"/>
          <w:sz w:val="24"/>
        </w:rPr>
        <w:t>Editor-in-Chief, Journal of Vascular Surgery – Vascular Insights</w:t>
      </w:r>
    </w:p>
    <w:p>
      <w:pPr>
        <w:spacing w:after="240" w:before="0" w:line="276" w:lineRule="auto"/>
      </w:pPr>
      <w:r>
        <w:rPr>
          <w:rFonts w:ascii="Times New Roman" w:hAnsi="Times New Roman" w:eastAsia="Times New Roman"/>
          <w:b w:val="0"/>
          <w:i w:val="0"/>
          <w:sz w:val="24"/>
        </w:rPr>
        <w:t>Society for Vascular Surgery</w:t>
      </w:r>
    </w:p>
    <w:p>
      <w:pPr>
        <w:spacing w:after="240" w:before="0" w:line="276" w:lineRule="auto"/>
      </w:pPr>
      <w:r>
        <w:rPr>
          <w:rFonts w:ascii="Times New Roman" w:hAnsi="Times New Roman" w:eastAsia="Times New Roman"/>
          <w:b w:val="0"/>
          <w:i/>
          <w:sz w:val="24"/>
        </w:rPr>
        <w:t>Re: Follow-up letter to the editor — ResidencyRL, accompanying JVS-VI 2026;4:100492</w:t>
      </w:r>
    </w:p>
    <w:p>
      <w:pPr>
        <w:spacing w:after="200" w:before="0" w:line="276" w:lineRule="auto"/>
      </w:pPr>
      <w:r>
        <w:rPr>
          <w:rFonts w:ascii="Times New Roman" w:hAnsi="Times New Roman" w:eastAsia="Times New Roman"/>
          <w:b w:val="0"/>
          <w:i w:val="0"/>
          <w:sz w:val="24"/>
        </w:rPr>
        <w:t>Dear Dr Dua,</w:t>
      </w:r>
    </w:p>
    <w:p>
      <w:pPr>
        <w:spacing w:after="200" w:line="276" w:lineRule="auto"/>
      </w:pPr>
      <w:r>
        <w:rPr>
          <w:rFonts w:ascii="Times New Roman" w:hAnsi="Times New Roman" w:eastAsia="Times New Roman"/>
          <w:b w:val="0"/>
          <w:i w:val="0"/>
          <w:sz w:val="24"/>
        </w:rPr>
        <w:t>I am submitting a letter to the editor as a follow-up to my article in JVS-Vascular Insights (JVS-VI 2026;4:100492), which argued that automation bias, overconfidence, and deskilling erode the productive uncertainty on which safe diagnosis depends. In August, Google DeepMind released ResidencyRL, a system that claims to train a clinical agent as a residency trains physicians. Its own appendix documents the mechanism my article predicted: the model was graded, in training and in evaluation, by the same model family that wrote its cases and played its patients, and the evaluator drifted in its favor. No commentary on the paper has yet appeared in the medical literature. I have written the letter for the JVS-VI readers who direct residency programs, because the analogy the authors chose is one they are equipped to judge. The letter runs to about 440 words and 10 references, includes one table, cites the original article first, and carries a generative-AI declaration in the form of my earlier article. I have no conflicts of interest and will shorten the letter if space requires it.</w:t>
      </w:r>
    </w:p>
    <w:p>
      <w:pPr>
        <w:spacing w:after="200" w:line="276" w:lineRule="auto"/>
      </w:pPr>
      <w:r>
        <w:rPr>
          <w:rFonts w:ascii="Times New Roman" w:hAnsi="Times New Roman" w:eastAsia="Times New Roman"/>
          <w:b w:val="0"/>
          <w:i w:val="0"/>
          <w:sz w:val="24"/>
        </w:rPr>
        <w:t>I have also released a small public calculator so a program director need not take my reading of the paper on faith. The AMIS Claim Calculator (</w:t>
      </w:r>
      <w:hyperlink r:id="rId9">
        <w:r>
          <w:rPr>
            <w:rFonts w:ascii="Times New Roman" w:hAnsi="Times New Roman"/>
            <w:sz w:val="24"/>
            <w:u w:val="single"/>
            <w:color w:val="1B4F5A"/>
          </w:rPr>
          <w:t>https://amis-claim-calculator.onrender.com</w:t>
        </w:r>
      </w:hyperlink>
      <w:r>
        <w:rPr>
          <w:rFonts w:ascii="Times New Roman" w:hAnsi="Times New Roman" w:eastAsia="Times New Roman"/>
          <w:b w:val="0"/>
          <w:i w:val="0"/>
          <w:sz w:val="24"/>
        </w:rPr>
        <w:t>) accepts an abstract or a PDF and scores AI medical claims against the five AMIS standards, plus uncertainty calibration and methodological failure — that is, who graded the system, and whether the grader trained it. An Onboarding tab on the same site explains how to run it and how to read a score. It is a heuristic, not a licensed scale, and it does not prescribe. I mention it here so the editors know the letter is accompanied by an inspectable instrument, not only an argument.</w:t>
      </w:r>
    </w:p>
    <w:p>
      <w:pPr>
        <w:spacing w:after="360" w:before="0" w:line="276" w:lineRule="auto"/>
      </w:pPr>
      <w:r>
        <w:rPr>
          <w:rFonts w:ascii="Times New Roman" w:hAnsi="Times New Roman" w:eastAsia="Times New Roman"/>
          <w:b w:val="0"/>
          <w:i w:val="0"/>
          <w:sz w:val="24"/>
        </w:rPr>
        <w:t>Sincerely,</w:t>
      </w:r>
    </w:p>
    <w:p>
      <w:pPr>
        <w:spacing w:after="0" w:before="0" w:line="276" w:lineRule="auto"/>
      </w:pPr>
      <w:r>
        <w:rPr>
          <w:rFonts w:ascii="Times New Roman" w:hAnsi="Times New Roman" w:eastAsia="Times New Roman"/>
          <w:b/>
          <w:i w:val="0"/>
          <w:sz w:val="24"/>
        </w:rPr>
        <w:t>S. Sanjay Srivatsa, MD, FACC, FACP</w:t>
      </w:r>
    </w:p>
    <w:p>
      <w:pPr>
        <w:spacing w:after="0" w:before="0" w:line="276" w:lineRule="auto"/>
      </w:pPr>
      <w:r>
        <w:rPr>
          <w:rFonts w:ascii="Times New Roman" w:hAnsi="Times New Roman" w:eastAsia="Times New Roman"/>
          <w:b w:val="0"/>
          <w:i w:val="0"/>
          <w:sz w:val="24"/>
        </w:rPr>
        <w:t>Heart Artery and Vein Center of Fresno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mis-claim-calculator.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