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hy-this-study-and-why-now"/>
    <w:p>
      <w:pPr>
        <w:pStyle w:val="Heading1"/>
      </w:pPr>
      <w:r>
        <w:t xml:space="preserve">Why This Study, and Why Now</w:t>
      </w:r>
    </w:p>
    <w:bookmarkStart w:id="20" w:name="Xf50b4a5d6f6e82b490afadb640c2f6eb0e108b9"/>
    <w:p>
      <w:pPr>
        <w:pStyle w:val="Heading2"/>
      </w:pPr>
      <w:r>
        <w:t xml:space="preserve">A Scientific Briefing for Reviewing Physicians</w:t>
      </w:r>
    </w:p>
    <w:p>
      <w:pPr>
        <w:pStyle w:val="FirstParagraph"/>
      </w:pPr>
      <w:r>
        <w:rPr>
          <w:bCs/>
          <w:b/>
        </w:rPr>
        <w:t xml:space="preserve">Study:</w:t>
      </w:r>
      <w:r>
        <w:t xml:space="preserve"> </w:t>
      </w:r>
      <w:r>
        <w:t xml:space="preserve">LLM Safety and Medical Reasoning Assessment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S. Sanjay Srivatsa, MD, FACC, FSCAI, MRCP (London), DABVLM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 — 21 August 2026</w:t>
      </w:r>
      <w:r>
        <w:br/>
      </w:r>
      <w:r>
        <w:rPr>
          <w:bCs/>
          <w:b/>
        </w:rPr>
        <w:t xml:space="preserve">Companion documents:</w:t>
      </w:r>
      <w:r>
        <w:t xml:space="preserve"> </w:t>
      </w:r>
      <w:r>
        <w:t xml:space="preserve">Consolidated Research Protocol v3; Scientific Introduction v3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briefing is written for physicians reviewing the protocol who are not specialists in artificial</w:t>
      </w:r>
      <w:r>
        <w:rPr>
          <w:iCs/>
          <w:i/>
        </w:rPr>
        <w:t xml:space="preserve"> </w:t>
      </w:r>
      <w:r>
        <w:rPr>
          <w:iCs/>
          <w:i/>
        </w:rPr>
        <w:t xml:space="preserve">intelligence and have no reason to be. It explains what the study asks, why the existing literature</w:t>
      </w:r>
      <w:r>
        <w:rPr>
          <w:iCs/>
          <w:i/>
        </w:rPr>
        <w:t xml:space="preserve"> </w:t>
      </w:r>
      <w:r>
        <w:rPr>
          <w:iCs/>
          <w:i/>
        </w:rPr>
        <w:t xml:space="preserve">does not answer it, what is methodologically new, and what the results would change. It assumes</w:t>
      </w:r>
      <w:r>
        <w:rPr>
          <w:iCs/>
          <w:i/>
        </w:rPr>
        <w:t xml:space="preserve"> </w:t>
      </w:r>
      <w:r>
        <w:rPr>
          <w:iCs/>
          <w:i/>
        </w:rPr>
        <w:t xml:space="preserve">clinical fluency and no technical background.</w:t>
      </w:r>
    </w:p>
    <w:p>
      <w:r>
        <w:pict>
          <v:rect style="width:0;height:1.5pt" o:hralign="center" o:hrstd="t" o:hr="t"/>
        </w:pict>
      </w:r>
    </w:p>
    <w:bookmarkEnd w:id="20"/>
    <w:bookmarkStart w:id="21" w:name="the-question"/>
    <w:p>
      <w:pPr>
        <w:pStyle w:val="Heading2"/>
      </w:pPr>
      <w:r>
        <w:t xml:space="preserve">1. The question</w:t>
      </w:r>
    </w:p>
    <w:p>
      <w:pPr>
        <w:pStyle w:val="FirstParagraph"/>
      </w:pPr>
      <w:r>
        <w:t xml:space="preserve">A patient develops symptoms at eleven at night. Before calling anyone, before waking a spouse, they</w:t>
      </w:r>
      <w:r>
        <w:t xml:space="preserve"> </w:t>
      </w:r>
      <w:r>
        <w:t xml:space="preserve">type what they are feeling into a chatbot and ask the question that determines everything that</w:t>
      </w:r>
      <w:r>
        <w:t xml:space="preserve"> </w:t>
      </w:r>
      <w:r>
        <w:t xml:space="preserve">follows:</w:t>
      </w:r>
    </w:p>
    <w:p>
      <w:pPr>
        <w:pStyle w:val="BlockText"/>
      </w:pPr>
      <w:r>
        <w:rPr>
          <w:iCs/>
          <w:i/>
        </w:rPr>
        <w:t xml:space="preserve">Do I need to go to the emergency room?</w:t>
      </w:r>
    </w:p>
    <w:p>
      <w:pPr>
        <w:pStyle w:val="FirstParagraph"/>
      </w:pPr>
      <w:r>
        <w:t xml:space="preserve">This now happens millions of times a day. The systems answering — ChatGPT, Claude, Gemini and their</w:t>
      </w:r>
      <w:r>
        <w:t xml:space="preserve"> </w:t>
      </w:r>
      <w:r>
        <w:t xml:space="preserve">successors — were not designed as triage instruments, were never validated against emergency medicine</w:t>
      </w:r>
      <w:r>
        <w:t xml:space="preserve"> </w:t>
      </w:r>
      <w:r>
        <w:t xml:space="preserve">standards, and operate under no regulatory framework governing their safety in this role. They</w:t>
      </w:r>
      <w:r>
        <w:t xml:space="preserve"> </w:t>
      </w:r>
      <w:r>
        <w:t xml:space="preserve">nonetheless function as de facto triage for a growing share of the population.</w:t>
      </w:r>
    </w:p>
    <w:p>
      <w:pPr>
        <w:pStyle w:val="BodyText"/>
      </w:pPr>
      <w:r>
        <w:t xml:space="preserve">The study asks one operationally precise question:</w:t>
      </w:r>
      <w:r>
        <w:t xml:space="preserve"> </w:t>
      </w:r>
      <w:r>
        <w:rPr>
          <w:bCs/>
          <w:b/>
        </w:rPr>
        <w:t xml:space="preserve">when patients describe symptoms in everyday</w:t>
      </w:r>
      <w:r>
        <w:rPr>
          <w:bCs/>
          <w:b/>
        </w:rPr>
        <w:t xml:space="preserve"> </w:t>
      </w:r>
      <w:r>
        <w:rPr>
          <w:bCs/>
          <w:b/>
        </w:rPr>
        <w:t xml:space="preserve">language to a large language model, does the model reliably recognize presentations requiring</w:t>
      </w:r>
      <w:r>
        <w:rPr>
          <w:bCs/>
          <w:b/>
        </w:rPr>
        <w:t xml:space="preserve"> </w:t>
      </w:r>
      <w:r>
        <w:rPr>
          <w:bCs/>
          <w:b/>
        </w:rPr>
        <w:t xml:space="preserve">emergency care?</w:t>
      </w:r>
    </w:p>
    <w:p>
      <w:pPr>
        <w:pStyle w:val="BodyText"/>
      </w:pPr>
      <w:r>
        <w:t xml:space="preserve">That is a clinical question, not a technology question. It is answerable by the ordinary methods of</w:t>
      </w:r>
      <w:r>
        <w:t xml:space="preserve"> </w:t>
      </w:r>
      <w:r>
        <w:t xml:space="preserve">clinical research, and it has not been answered.</w:t>
      </w:r>
    </w:p>
    <w:p>
      <w:r>
        <w:pict>
          <v:rect style="width:0;height:1.5pt" o:hralign="center" o:hrstd="t" o:hr="t"/>
        </w:pict>
      </w:r>
    </w:p>
    <w:bookmarkEnd w:id="21"/>
    <w:bookmarkStart w:id="23" w:name="Xe61c3b032eeba0e0e0fc2e9759e42b60d55596d"/>
    <w:p>
      <w:pPr>
        <w:pStyle w:val="Heading2"/>
      </w:pPr>
      <w:r>
        <w:t xml:space="preserve">2. Why the existing literature does not answer it</w:t>
      </w:r>
    </w:p>
    <w:p>
      <w:pPr>
        <w:pStyle w:val="FirstParagraph"/>
      </w:pPr>
      <w:r>
        <w:t xml:space="preserve">The dominant paradigm for evaluating medical AI tests whether a model can answer medical knowledge</w:t>
      </w:r>
      <w:r>
        <w:t xml:space="preserve"> </w:t>
      </w:r>
      <w:r>
        <w:t xml:space="preserve">questions — board-style items from USMLE, MedQA, MedMCQA. Models now score extremely well on these.</w:t>
      </w:r>
      <w:r>
        <w:t xml:space="preserve"> </w:t>
      </w:r>
      <w:r>
        <w:t xml:space="preserve">OpenAI’s o1 has reached approximately 96% on USMLE Step 1 items.</w:t>
      </w:r>
    </w:p>
    <w:p>
      <w:pPr>
        <w:pStyle w:val="BodyText"/>
      </w:pPr>
      <w:r>
        <w:rPr>
          <w:bCs/>
          <w:b/>
        </w:rPr>
        <w:t xml:space="preserve">This measures the wrong construct.</w:t>
      </w:r>
      <w:r>
        <w:t xml:space="preserve"> </w:t>
      </w:r>
      <w:r>
        <w:t xml:space="preserve">A model that recalls medical facts under examination conditions</w:t>
      </w:r>
      <w:r>
        <w:t xml:space="preserve"> </w:t>
      </w:r>
      <w:r>
        <w:t xml:space="preserve">has demonstrated recall under examination conditions. It has not demonstrated the capacity to</w:t>
      </w:r>
      <w:r>
        <w:t xml:space="preserve"> </w:t>
      </w:r>
      <w:r>
        <w:t xml:space="preserve">recognize that a 74-year-old diabetic man describing fatigue, nausea, and exertional dyspnea — with no</w:t>
      </w:r>
      <w:r>
        <w:t xml:space="preserve"> </w:t>
      </w:r>
      <w:r>
        <w:t xml:space="preserve">chest pain — needs an emergency department now.</w:t>
      </w:r>
    </w:p>
    <w:p>
      <w:pPr>
        <w:pStyle w:val="BodyText"/>
      </w:pPr>
      <w:r>
        <w:t xml:space="preserve">Every physician reading this knows the difference between the two abilities. The literature has, until</w:t>
      </w:r>
      <w:r>
        <w:t xml:space="preserve"> </w:t>
      </w:r>
      <w:r>
        <w:t xml:space="preserve">recently, largely elided it.</w:t>
      </w:r>
    </w:p>
    <w:p>
      <w:pPr>
        <w:pStyle w:val="BodyText"/>
      </w:pPr>
      <w:r>
        <w:t xml:space="preserve">That gap is no longer a matter of argument. In the NOHARM benchmark, models’ clinical-safety</w:t>
      </w:r>
      <w:r>
        <w:t xml:space="preserve"> </w:t>
      </w:r>
      <w:r>
        <w:t xml:space="preserve">performance correlated only</w:t>
      </w:r>
      <w:r>
        <w:t xml:space="preserve"> </w:t>
      </w:r>
      <w:r>
        <w:rPr>
          <w:bCs/>
          <w:b/>
        </w:rPr>
        <w:t xml:space="preserve">moderately with their scores on existing knowledge benchmarks</w:t>
      </w:r>
      <w:r>
        <w:rPr>
          <w:bCs/>
          <w:b/>
        </w:rPr>
        <w:t xml:space="preserve"> </w:t>
      </w:r>
      <w:r>
        <w:rPr>
          <w:bCs/>
          <w:b/>
        </w:rPr>
        <w:t xml:space="preserve">(r = 0.61–0.64)</w:t>
      </w:r>
      <w:r>
        <w:t xml:space="preserve">. A model can excel on accuracy evaluations and still produce severely harmful</w:t>
      </w:r>
      <w:r>
        <w:t xml:space="preserve"> </w:t>
      </w:r>
      <w:r>
        <w:t xml:space="preserve">recommendations at nontrivial rates. Accuracy and safety are measurably different axes, and only one</w:t>
      </w:r>
      <w:r>
        <w:t xml:space="preserve"> </w:t>
      </w:r>
      <w:r>
        <w:t xml:space="preserve">of them has been measured for consumer-facing triage.</w:t>
      </w:r>
    </w:p>
    <w:bookmarkStart w:id="22" w:name="the-three-failures-of-transfer"/>
    <w:p>
      <w:pPr>
        <w:pStyle w:val="Heading3"/>
      </w:pPr>
      <w:r>
        <w:t xml:space="preserve">The three failures of transfer</w:t>
      </w:r>
    </w:p>
    <w:p>
      <w:pPr>
        <w:pStyle w:val="FirstParagraph"/>
      </w:pPr>
      <w:r>
        <w:rPr>
          <w:bCs/>
          <w:b/>
        </w:rPr>
        <w:t xml:space="preserve">Format.</w:t>
      </w:r>
      <w:r>
        <w:t xml:space="preserve"> </w:t>
      </w:r>
      <w:r>
        <w:t xml:space="preserve">Most benchmarks present answer options. Real patients receive prose. When a model must</w:t>
      </w:r>
      <w:r>
        <w:t xml:space="preserve"> </w:t>
      </w:r>
      <w:r>
        <w:t xml:space="preserve">choose among five listed dispositions, the task bears little resemblance to generating advice</w:t>
      </w:r>
      <w:r>
        <w:t xml:space="preserve"> </w:t>
      </w:r>
      <w:r>
        <w:t xml:space="preserve">unprompted — and the difference is not cosmetic. A 2026 replication argued that the forced-choice</w:t>
      </w:r>
      <w:r>
        <w:t xml:space="preserve"> </w:t>
      </w:r>
      <w:r>
        <w:t xml:space="preserve">format of a widely reported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 </w:t>
      </w:r>
      <w:r>
        <w:t xml:space="preserve">evaluation manufactured much of its headline failure</w:t>
      </w:r>
      <w:r>
        <w:t xml:space="preserve"> </w:t>
      </w:r>
      <w:r>
        <w:t xml:space="preserve">rate: models scoring 0–24% under forced choice recommended emergency care in their own words 100% of</w:t>
      </w:r>
      <w:r>
        <w:t xml:space="preserve"> </w:t>
      </w:r>
      <w:r>
        <w:t xml:space="preserve">the time on matched scenarios. That dispute is unresolved, and it is a dispute about measurement, not</w:t>
      </w:r>
      <w:r>
        <w:t xml:space="preserve"> </w:t>
      </w:r>
      <w:r>
        <w:t xml:space="preserve">about models.</w:t>
      </w:r>
    </w:p>
    <w:p>
      <w:pPr>
        <w:pStyle w:val="BodyText"/>
      </w:pPr>
      <w:r>
        <w:rPr>
          <w:bCs/>
          <w:b/>
        </w:rPr>
        <w:t xml:space="preserve">Contamination.</w:t>
      </w:r>
      <w:r>
        <w:t xml:space="preserve"> </w:t>
      </w:r>
      <w:r>
        <w:t xml:space="preserve">Published case libraries — including the freely available Emergency Severity Index</w:t>
      </w:r>
      <w:r>
        <w:t xml:space="preserve"> </w:t>
      </w:r>
      <w:r>
        <w:t xml:space="preserve">Implementation Handbook cases — are in training data. A model may be reciting rather than reasoning,</w:t>
      </w:r>
      <w:r>
        <w:t xml:space="preserve"> </w:t>
      </w:r>
      <w:r>
        <w:t xml:space="preserve">and no published triage evaluation has measured this directly rather than assumed it away.</w:t>
      </w:r>
    </w:p>
    <w:p>
      <w:pPr>
        <w:pStyle w:val="BodyText"/>
      </w:pPr>
      <w:r>
        <w:rPr>
          <w:bCs/>
          <w:b/>
        </w:rPr>
        <w:t xml:space="preserve">Register.</w:t>
      </w:r>
      <w:r>
        <w:t xml:space="preserve"> </w:t>
      </w:r>
      <w:r>
        <w:t xml:space="preserve">Benchmarks are written in clinical language. Patients do not speak clinical language.</w:t>
      </w:r>
      <w:r>
        <w:t xml:space="preserve"> </w:t>
      </w:r>
      <w:r>
        <w:t xml:space="preserve">They say</w:t>
      </w:r>
      <w:r>
        <w:t xml:space="preserve"> </w:t>
      </w:r>
      <w:r>
        <w:t xml:space="preserve">“</w:t>
      </w:r>
      <w:r>
        <w:t xml:space="preserve">my stomach feels off,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I have epigastric discomfort.</w:t>
      </w:r>
      <w:r>
        <w:t xml:space="preserve">”</w:t>
      </w:r>
      <w:r>
        <w:t xml:space="preserve"> </w:t>
      </w:r>
      <w:r>
        <w:t xml:space="preserve">Whether a model that performs</w:t>
      </w:r>
      <w:r>
        <w:t xml:space="preserve"> </w:t>
      </w:r>
      <w:r>
        <w:t xml:space="preserve">well on a structured vignette performs equally well on the same case described by a frightened person</w:t>
      </w:r>
      <w:r>
        <w:t xml:space="preserve"> </w:t>
      </w:r>
      <w:r>
        <w:t xml:space="preserve">at two in the morning is an empirical question that nobody has asked systematically.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y-triage-specifically"/>
    <w:p>
      <w:pPr>
        <w:pStyle w:val="Heading2"/>
      </w:pPr>
      <w:r>
        <w:t xml:space="preserve">3. Why triage, specifically</w:t>
      </w:r>
    </w:p>
    <w:p>
      <w:pPr>
        <w:pStyle w:val="FirstParagraph"/>
      </w:pPr>
      <w:r>
        <w:t xml:space="preserve">Emergency triage has a property that makes it the right place to look, and that almost no AI benchmark</w:t>
      </w:r>
      <w:r>
        <w:t xml:space="preserve"> </w:t>
      </w:r>
      <w:r>
        <w:t xml:space="preserve">respects:</w:t>
      </w:r>
      <w:r>
        <w:t xml:space="preserve"> </w:t>
      </w:r>
      <w:r>
        <w:rPr>
          <w:bCs/>
          <w:b/>
        </w:rPr>
        <w:t xml:space="preserve">the harms are asymmetric.</w:t>
      </w:r>
    </w:p>
    <w:p>
      <w:pPr>
        <w:pStyle w:val="BodyText"/>
      </w:pPr>
      <w:r>
        <w:t xml:space="preserve">When triage errs toward caution — sending a patient with benign chest wall pain to the ED — the cost is</w:t>
      </w:r>
      <w:r>
        <w:t xml:space="preserve"> </w:t>
      </w:r>
      <w:r>
        <w:t xml:space="preserve">inconvenience, resource use, and modest expense. When it errs the other way — reassuring a patient</w:t>
      </w:r>
      <w:r>
        <w:t xml:space="preserve"> </w:t>
      </w:r>
      <w:r>
        <w:t xml:space="preserve">whose thunderclap headache is a subarachnoid hemorrhage — the cost may be death within hours.</w:t>
      </w:r>
    </w:p>
    <w:p>
      <w:pPr>
        <w:pStyle w:val="BodyText"/>
      </w:pPr>
      <w:r>
        <w:t xml:space="preserve">This is not an incidental feature. It is the organizing principle of the Emergency Severity Index, and</w:t>
      </w:r>
      <w:r>
        <w:t xml:space="preserve"> </w:t>
      </w:r>
      <w:r>
        <w:t xml:space="preserve">the American College of Surgeons codifies it numerically: trauma systems target</w:t>
      </w:r>
      <w:r>
        <w:t xml:space="preserve"> </w:t>
      </w:r>
      <w:r>
        <w:rPr>
          <w:bCs/>
          <w:b/>
        </w:rPr>
        <w:t xml:space="preserve">under-triage below</w:t>
      </w:r>
      <w:r>
        <w:rPr>
          <w:bCs/>
          <w:b/>
        </w:rPr>
        <w:t xml:space="preserve"> </w:t>
      </w:r>
      <w:r>
        <w:rPr>
          <w:bCs/>
          <w:b/>
        </w:rPr>
        <w:t xml:space="preserve">5% while tolerating over-triage as high as 35%</w:t>
      </w:r>
      <w:r>
        <w:t xml:space="preserve">. A seven-fold asymmetry, deliberately chosen.</w:t>
      </w:r>
    </w:p>
    <w:p>
      <w:pPr>
        <w:pStyle w:val="BodyText"/>
      </w:pPr>
      <w:r>
        <w:t xml:space="preserve">Nearly every AI medical benchmark scores these two error types identically. A model that sends</w:t>
      </w:r>
      <w:r>
        <w:t xml:space="preserve"> </w:t>
      </w:r>
      <w:r>
        <w:t xml:space="preserve">everyone to the ED and a model that sends no one score the same as a model that is wrong in both</w:t>
      </w:r>
      <w:r>
        <w:t xml:space="preserve"> </w:t>
      </w:r>
      <w:r>
        <w:t xml:space="preserve">directions equally often.</w:t>
      </w:r>
      <w:r>
        <w:t xml:space="preserve"> </w:t>
      </w:r>
      <w:r>
        <w:rPr>
          <w:bCs/>
          <w:b/>
        </w:rPr>
        <w:t xml:space="preserve">That is not a measurement of safety. It is a measurement of accuracy</w:t>
      </w:r>
      <w:r>
        <w:rPr>
          <w:bCs/>
          <w:b/>
        </w:rPr>
        <w:t xml:space="preserve"> </w:t>
      </w:r>
      <w:r>
        <w:rPr>
          <w:bCs/>
          <w:b/>
        </w:rPr>
        <w:t xml:space="preserve">wearing safety’s clothes.</w:t>
      </w:r>
    </w:p>
    <w:p>
      <w:pPr>
        <w:pStyle w:val="BodyText"/>
      </w:pPr>
      <w:r>
        <w:t xml:space="preserve">The disposition decision is also, clinically, the decision that kills. Diagnostic imprecision is</w:t>
      </w:r>
      <w:r>
        <w:t xml:space="preserve"> </w:t>
      </w:r>
      <w:r>
        <w:t xml:space="preserve">usually recoverable; a missed disposition is frequently not. This study measures the disposition axis</w:t>
      </w:r>
      <w:r>
        <w:t xml:space="preserve"> </w:t>
      </w:r>
      <w:r>
        <w:t xml:space="preserve">directly, weighted by harm.</w:t>
      </w:r>
    </w:p>
    <w:p>
      <w:r>
        <w:pict>
          <v:rect style="width:0;height:1.5pt" o:hralign="center" o:hrstd="t" o:hr="t"/>
        </w:pict>
      </w:r>
    </w:p>
    <w:bookmarkEnd w:id="24"/>
    <w:bookmarkStart w:id="25" w:name="what-is-methodologically-new"/>
    <w:p>
      <w:pPr>
        <w:pStyle w:val="Heading2"/>
      </w:pPr>
      <w:r>
        <w:t xml:space="preserve">4. What is methodologically new</w:t>
      </w:r>
    </w:p>
    <w:p>
      <w:pPr>
        <w:pStyle w:val="FirstParagraph"/>
      </w:pPr>
      <w:r>
        <w:t xml:space="preserve">Seven design decisions distinguish this study. Each addresses a specific, identifiable failure in the</w:t>
      </w:r>
      <w:r>
        <w:t xml:space="preserve"> </w:t>
      </w:r>
      <w:r>
        <w:t xml:space="preserve">existing evidence.</w:t>
      </w:r>
    </w:p>
    <w:p>
      <w:pPr>
        <w:pStyle w:val="BodyText"/>
      </w:pPr>
      <w:r>
        <w:rPr>
          <w:bCs/>
          <w:b/>
        </w:rPr>
        <w:t xml:space="preserve">Dual register.</w:t>
      </w:r>
      <w:r>
        <w:t xml:space="preserve"> </w:t>
      </w:r>
      <w:r>
        <w:t xml:space="preserve">Every scenario exists twice: as a lay patient narrative and as a structured expert</w:t>
      </w:r>
      <w:r>
        <w:t xml:space="preserve"> </w:t>
      </w:r>
      <w:r>
        <w:t xml:space="preserve">triage vignette, clinically identical. This is a deliberate distribution-shift probe. If a model</w:t>
      </w:r>
      <w:r>
        <w:t xml:space="preserve"> </w:t>
      </w:r>
      <w:r>
        <w:t xml:space="preserve">performs well on the vignette and poorly on the narrative, the model is not safe for consumer</w:t>
      </w:r>
      <w:r>
        <w:t xml:space="preserve"> </w:t>
      </w:r>
      <w:r>
        <w:t xml:space="preserve">deployment regardless of its benchmark scores — because consumer deployment is entirely in the lay</w:t>
      </w:r>
      <w:r>
        <w:t xml:space="preserve"> </w:t>
      </w:r>
      <w:r>
        <w:t xml:space="preserve">register.</w:t>
      </w:r>
    </w:p>
    <w:p>
      <w:pPr>
        <w:pStyle w:val="BodyText"/>
      </w:pPr>
      <w:r>
        <w:rPr>
          <w:bCs/>
          <w:b/>
        </w:rPr>
        <w:t xml:space="preserve">Key features methodology.</w:t>
      </w:r>
      <w:r>
        <w:t xml:space="preserve"> </w:t>
      </w:r>
      <w:r>
        <w:t xml:space="preserve">Scenarios are scored using the Key Features approach developed by the</w:t>
      </w:r>
      <w:r>
        <w:t xml:space="preserve"> </w:t>
      </w:r>
      <w:r>
        <w:t xml:space="preserve">Medical Council of Canada for national licensing examinations. Credit attaches only to the two to four</w:t>
      </w:r>
      <w:r>
        <w:t xml:space="preserve"> </w:t>
      </w:r>
      <w:r>
        <w:t xml:space="preserve">decision points on which the case actually turns — not to peripheral correctness. A response can be</w:t>
      </w:r>
      <w:r>
        <w:t xml:space="preserve"> </w:t>
      </w:r>
      <w:r>
        <w:t xml:space="preserve">articulate, well-organized, largely accurate, and still fail, because it missed the thing that</w:t>
      </w:r>
      <w:r>
        <w:t xml:space="preserve"> </w:t>
      </w:r>
      <w:r>
        <w:t xml:space="preserve">mattered. That is the correct standard for triage.</w:t>
      </w:r>
    </w:p>
    <w:p>
      <w:pPr>
        <w:pStyle w:val="BodyText"/>
      </w:pPr>
      <w:r>
        <w:rPr>
          <w:bCs/>
          <w:b/>
        </w:rPr>
        <w:t xml:space="preserve">Killer items and severity weighting.</w:t>
      </w:r>
      <w:r>
        <w:t xml:space="preserve"> </w:t>
      </w:r>
      <w:r>
        <w:t xml:space="preserve">Each scenario pre-specifies statements that constitute</w:t>
      </w:r>
      <w:r>
        <w:t xml:space="preserve"> </w:t>
      </w:r>
      <w:r>
        <w:t xml:space="preserve">automatic failure — attributing a dangerous presentation to a benign cause without recommending</w:t>
      </w:r>
      <w:r>
        <w:t xml:space="preserve"> </w:t>
      </w:r>
      <w:r>
        <w:t xml:space="preserve">evaluation, advising rest at home, telling a patient to drive themselves when EMS is indicated. Errors</w:t>
      </w:r>
      <w:r>
        <w:t xml:space="preserve"> </w:t>
      </w:r>
      <w:r>
        <w:t xml:space="preserve">are weighted 1 to 3 by time-to-harm. A missed subarachnoid hemorrhage does not score the same as a</w:t>
      </w:r>
      <w:r>
        <w:t xml:space="preserve"> </w:t>
      </w:r>
      <w:r>
        <w:t xml:space="preserve">missed ankle sprain.</w:t>
      </w:r>
    </w:p>
    <w:p>
      <w:pPr>
        <w:pStyle w:val="BodyText"/>
      </w:pPr>
      <w:r>
        <w:rPr>
          <w:bCs/>
          <w:b/>
        </w:rPr>
        <w:t xml:space="preserve">Four non-overlapping physician panels.</w:t>
      </w:r>
      <w:r>
        <w:t xml:space="preserve"> </w:t>
      </w:r>
      <w:r>
        <w:t xml:space="preserve">Scenario authoring, gold-standard determination, answering,</w:t>
      </w:r>
      <w:r>
        <w:t xml:space="preserve"> </w:t>
      </w:r>
      <w:r>
        <w:t xml:space="preserve">and scoring are performed by four separate groups with no overlap. This eliminates authorship</w:t>
      </w:r>
      <w:r>
        <w:t xml:space="preserve"> </w:t>
      </w:r>
      <w:r>
        <w:t xml:space="preserve">familiarity bias — the tendency of case authors to perform artificially well on their own cases, which</w:t>
      </w:r>
      <w:r>
        <w:t xml:space="preserve"> </w:t>
      </w:r>
      <w:r>
        <w:t xml:space="preserve">would inflate the physician benchmark and unfairly advantage the human comparator.</w:t>
      </w:r>
      <w:r>
        <w:t xml:space="preserve"> </w:t>
      </w:r>
      <w:r>
        <w:rPr>
          <w:bCs/>
          <w:b/>
        </w:rPr>
        <w:t xml:space="preserve">No published LLM</w:t>
      </w:r>
      <w:r>
        <w:rPr>
          <w:bCs/>
          <w:b/>
        </w:rPr>
        <w:t xml:space="preserve"> </w:t>
      </w:r>
      <w:r>
        <w:rPr>
          <w:bCs/>
          <w:b/>
        </w:rPr>
        <w:t xml:space="preserve">triage study has implemented this separation.</w:t>
      </w:r>
      <w:r>
        <w:t xml:space="preserve"> </w:t>
      </w:r>
      <w:r>
        <w:t xml:space="preserve">In the most recent major evaluation, the physicians</w:t>
      </w:r>
      <w:r>
        <w:t xml:space="preserve"> </w:t>
      </w:r>
      <w:r>
        <w:t xml:space="preserve">who set the gold standard were the study investigators, and no independent physician panel answered</w:t>
      </w:r>
      <w:r>
        <w:t xml:space="preserve"> </w:t>
      </w:r>
      <w:r>
        <w:t xml:space="preserve">the scenarios under the model’s informational constraints.</w:t>
      </w:r>
    </w:p>
    <w:p>
      <w:pPr>
        <w:pStyle w:val="BodyText"/>
      </w:pPr>
      <w:r>
        <w:rPr>
          <w:bCs/>
          <w:b/>
        </w:rPr>
        <w:t xml:space="preserve">Free response throughout.</w:t>
      </w:r>
      <w:r>
        <w:t xml:space="preserve"> </w:t>
      </w:r>
      <w:r>
        <w:t xml:space="preserve">No answer options are ever presented, to models or to physicians.</w:t>
      </w:r>
      <w:r>
        <w:t xml:space="preserve"> </w:t>
      </w:r>
      <w:r>
        <w:t xml:space="preserve">Escalation is detected from what the system actually said, in its own words. This design is what</w:t>
      </w:r>
      <w:r>
        <w:t xml:space="preserve"> </w:t>
      </w:r>
      <w:r>
        <w:t xml:space="preserve">allows the study to speak to the format dispute rather than being another data point inside it.</w:t>
      </w:r>
    </w:p>
    <w:p>
      <w:pPr>
        <w:pStyle w:val="BodyText"/>
      </w:pPr>
      <w:r>
        <w:rPr>
          <w:bCs/>
          <w:b/>
        </w:rPr>
        <w:t xml:space="preserve">A deterministic primary endpoint.</w:t>
      </w:r>
      <w:r>
        <w:t xml:space="preserve"> </w:t>
      </w:r>
      <w:r>
        <w:t xml:space="preserve">The primary outcome — Critical Miss Rate — is scored by a</w:t>
      </w:r>
      <w:r>
        <w:t xml:space="preserve"> </w:t>
      </w:r>
      <w:r>
        <w:t xml:space="preserve">pre-registered phrase-inventory rule set applied mechanically to the model’s own text, validated</w:t>
      </w:r>
      <w:r>
        <w:t xml:space="preserve"> </w:t>
      </w:r>
      <w:r>
        <w:t xml:space="preserve">against physician labels before unblinding.</w:t>
      </w:r>
      <w:r>
        <w:t xml:space="preserve"> </w:t>
      </w:r>
      <w:r>
        <w:rPr>
          <w:bCs/>
          <w:b/>
        </w:rPr>
        <w:t xml:space="preserve">No language model judges the primary endpoint.</w:t>
      </w:r>
      <w:r>
        <w:t xml:space="preserve"> </w:t>
      </w:r>
      <w:r>
        <w:t xml:space="preserve">This</w:t>
      </w:r>
      <w:r>
        <w:t xml:space="preserve"> </w:t>
      </w:r>
      <w:r>
        <w:t xml:space="preserve">removes the model-judging-model objection precisely where it would matter most. Machine assistance is</w:t>
      </w:r>
      <w:r>
        <w:t xml:space="preserve"> </w:t>
      </w:r>
      <w:r>
        <w:t xml:space="preserve">confined to secondary components, is subordinate to the physician panel, and reverts entirely to</w:t>
      </w:r>
      <w:r>
        <w:t xml:space="preserve"> </w:t>
      </w:r>
      <w:r>
        <w:t xml:space="preserve">physician scoring if it fails either of two pre-registered acceptance tests.</w:t>
      </w:r>
    </w:p>
    <w:p>
      <w:pPr>
        <w:pStyle w:val="BodyText"/>
      </w:pPr>
      <w:r>
        <w:rPr>
          <w:bCs/>
          <w:b/>
        </w:rPr>
        <w:t xml:space="preserve">Three arms, because deployment is not a benchmark.</w:t>
      </w:r>
      <w:r>
        <w:t xml:space="preserve"> </w:t>
      </w:r>
      <w:r>
        <w:t xml:space="preserve">Arm A tests models alone. Arm B is an</w:t>
      </w:r>
      <w:r>
        <w:t xml:space="preserve"> </w:t>
      </w:r>
      <w:r>
        <w:t xml:space="preserve">independent physician panel answering the same cases under the same informational constraints — a true</w:t>
      </w:r>
      <w:r>
        <w:t xml:space="preserve"> </w:t>
      </w:r>
      <w:r>
        <w:t xml:space="preserve">human comparator, which most AI evaluations lack. Arm C puts lay participants in front of the model</w:t>
      </w:r>
      <w:r>
        <w:t xml:space="preserve"> </w:t>
      </w:r>
      <w:r>
        <w:t xml:space="preserve">and measures what actually happens.</w:t>
      </w:r>
    </w:p>
    <w:p>
      <w:pPr>
        <w:pStyle w:val="BodyText"/>
      </w:pPr>
      <w:r>
        <w:t xml:space="preserve">Arm C matters more than it may appear. Randomized evidence keeps finding that human–AI interaction</w:t>
      </w:r>
      <w:r>
        <w:t xml:space="preserve"> </w:t>
      </w:r>
      <w:r>
        <w:t xml:space="preserve">gives back most of what the model achieves alone: in a 2026</w:t>
      </w:r>
      <w:r>
        <w:t xml:space="preserve"> </w:t>
      </w:r>
      <w:r>
        <w:rPr>
          <w:iCs/>
          <w:i/>
        </w:rPr>
        <w:t xml:space="preserve">Nature Medicine</w:t>
      </w:r>
      <w:r>
        <w:t xml:space="preserve"> </w:t>
      </w:r>
      <w:r>
        <w:t xml:space="preserve">trial, models</w:t>
      </w:r>
      <w:r>
        <w:t xml:space="preserve"> </w:t>
      </w:r>
      <w:r>
        <w:t xml:space="preserve">identifying conditions at 94.9% in isolation produced disposition accuracy below 44.2% in lay users’</w:t>
      </w:r>
      <w:r>
        <w:t xml:space="preserve"> </w:t>
      </w:r>
      <w:r>
        <w:t xml:space="preserve">hands — no better than the control arm. Whatever a model can do by itself is not what a patient gets.</w:t>
      </w:r>
    </w:p>
    <w:p>
      <w:r>
        <w:pict>
          <v:rect style="width:0;height:1.5pt" o:hralign="center" o:hrstd="t" o:hr="t"/>
        </w:pict>
      </w:r>
    </w:p>
    <w:bookmarkEnd w:id="25"/>
    <w:bookmarkStart w:id="26" w:name="what-the-results-will-mean"/>
    <w:p>
      <w:pPr>
        <w:pStyle w:val="Heading2"/>
      </w:pPr>
      <w:r>
        <w:t xml:space="preserve">5. What the results will mean</w:t>
      </w:r>
    </w:p>
    <w:p>
      <w:pPr>
        <w:pStyle w:val="FirstParagraph"/>
      </w:pPr>
      <w:r>
        <w:rPr>
          <w:bCs/>
          <w:b/>
        </w:rPr>
        <w:t xml:space="preserve">If models demonstrate acceptable critical miss rates</w:t>
      </w:r>
      <w:r>
        <w:t xml:space="preserve"> </w:t>
      </w:r>
      <w:r>
        <w:t xml:space="preserve">across both registers and all severity levels,</w:t>
      </w:r>
      <w:r>
        <w:t xml:space="preserve"> </w:t>
      </w:r>
      <w:r>
        <w:t xml:space="preserve">that is the first evidence-based basis for cautious optimism about consumer health AI in acute</w:t>
      </w:r>
      <w:r>
        <w:t xml:space="preserve"> </w:t>
      </w:r>
      <w:r>
        <w:t xml:space="preserve">settings — and it will have been established on methods both sides of the current measurement dispute</w:t>
      </w:r>
      <w:r>
        <w:t xml:space="preserve"> </w:t>
      </w:r>
      <w:r>
        <w:t xml:space="preserve">have implicitly endorsed.</w:t>
      </w:r>
    </w:p>
    <w:p>
      <w:pPr>
        <w:pStyle w:val="BodyText"/>
      </w:pPr>
      <w:r>
        <w:rPr>
          <w:bCs/>
          <w:b/>
        </w:rPr>
        <w:t xml:space="preserve">If they demonstrate unacceptable miss rates</w:t>
      </w:r>
      <w:r>
        <w:t xml:space="preserve"> </w:t>
      </w:r>
      <w:r>
        <w:t xml:space="preserve">— particularly in the lay register, at high severity</w:t>
      </w:r>
      <w:r>
        <w:t xml:space="preserve"> </w:t>
      </w:r>
      <w:r>
        <w:t xml:space="preserve">weights, or in anchoring-vulnerable scenarios — that creates an evidence-based mandate for clinical</w:t>
      </w:r>
      <w:r>
        <w:t xml:space="preserve"> </w:t>
      </w:r>
      <w:r>
        <w:t xml:space="preserve">warning, patient counseling, institutional policy, and regulatory attention.</w:t>
      </w:r>
    </w:p>
    <w:p>
      <w:pPr>
        <w:pStyle w:val="BodyText"/>
      </w:pPr>
      <w:r>
        <w:t xml:space="preserve">Either finding is useful. That is what makes it worth doing: the study is not constructed to confirm a</w:t>
      </w:r>
      <w:r>
        <w:t xml:space="preserve"> </w:t>
      </w:r>
      <w:r>
        <w:t xml:space="preserve">position, and its value does not depend on which way it comes out.</w:t>
      </w:r>
    </w:p>
    <w:p>
      <w:pPr>
        <w:pStyle w:val="BodyText"/>
      </w:pPr>
      <w:r>
        <w:t xml:space="preserve">There is a further product. The instrument itself — 50 physician-authored, dual-register, severity-</w:t>
      </w:r>
      <w:r>
        <w:t xml:space="preserve"> </w:t>
      </w:r>
      <w:r>
        <w:t xml:space="preserve">weighted scenarios with pre-defined key features and killer items — is reusable. Models change every</w:t>
      </w:r>
      <w:r>
        <w:t xml:space="preserve"> </w:t>
      </w:r>
      <w:r>
        <w:t xml:space="preserve">few months; a one-time result decays almost immediately. A standing instrument can be reapplied to</w:t>
      </w:r>
      <w:r>
        <w:t xml:space="preserve"> </w:t>
      </w:r>
      <w:r>
        <w:t xml:space="preserve">each generation, producing a longitudinal safety record for patient-facing AI in emergency medicine.</w:t>
      </w:r>
    </w:p>
    <w:p>
      <w:pPr>
        <w:pStyle w:val="BodyText"/>
      </w:pPr>
      <w:r>
        <w:t xml:space="preserve">It also places the evaluation standard where it belongs: with the emergency physicians who define the</w:t>
      </w:r>
      <w:r>
        <w:t xml:space="preserve"> </w:t>
      </w:r>
      <w:r>
        <w:t xml:space="preserve">boundary between safe discharge and life-threatening delay, rather than with the developers whose</w:t>
      </w:r>
      <w:r>
        <w:t xml:space="preserve"> </w:t>
      </w:r>
      <w:r>
        <w:t xml:space="preserve">systems are being evaluated.</w:t>
      </w:r>
    </w:p>
    <w:p>
      <w:r>
        <w:pict>
          <v:rect style="width:0;height:1.5pt" o:hralign="center" o:hrstd="t" o:hr="t"/>
        </w:pict>
      </w:r>
    </w:p>
    <w:bookmarkEnd w:id="26"/>
    <w:bookmarkStart w:id="27" w:name="what-this-study-does-not-establish"/>
    <w:p>
      <w:pPr>
        <w:pStyle w:val="Heading2"/>
      </w:pPr>
      <w:r>
        <w:t xml:space="preserve">6. What this study does not establish</w:t>
      </w:r>
    </w:p>
    <w:p>
      <w:pPr>
        <w:pStyle w:val="FirstParagraph"/>
      </w:pPr>
      <w:r>
        <w:t xml:space="preserve">Stated plainly, because reviewers will find these anyway and should find them here first.</w:t>
      </w:r>
    </w:p>
    <w:p>
      <w:pPr>
        <w:pStyle w:val="BodyText"/>
      </w:pPr>
      <w:r>
        <w:rPr>
          <w:bCs/>
          <w:b/>
        </w:rPr>
        <w:t xml:space="preserve">It measures at the encounter, and some of the harm arrives later.</w:t>
      </w:r>
      <w:r>
        <w:t xml:space="preserve"> </w:t>
      </w:r>
      <w:r>
        <w:t xml:space="preserve">A framework published this month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NEJM AI</w:t>
      </w:r>
      <w:r>
        <w:t xml:space="preserve"> </w:t>
      </w:r>
      <w:r>
        <w:t xml:space="preserve">distinguishes errors a clinician can catch inside the visit from errors that surface only</w:t>
      </w:r>
      <w:r>
        <w:t xml:space="preserve"> </w:t>
      </w:r>
      <w:r>
        <w:t xml:space="preserve">afterward — the missed referral, the deferred workup, the delayed diagnosis. Triage advice generates</w:t>
      </w:r>
      <w:r>
        <w:t xml:space="preserve"> </w:t>
      </w:r>
      <w:r>
        <w:t xml:space="preserve">both kinds. This study’s primary endpoint is scored at the moment of response, which means a clean</w:t>
      </w:r>
      <w:r>
        <w:t xml:space="preserve"> </w:t>
      </w:r>
      <w:r>
        <w:t xml:space="preserve">result shows that the encounter-time output was not refuted against a physician gold standard. It does</w:t>
      </w:r>
      <w:r>
        <w:t xml:space="preserve"> </w:t>
      </w:r>
      <w:r>
        <w:t xml:space="preserve">not show that patients came to no harm three months later. Establishing that requires linking</w:t>
      </w:r>
      <w:r>
        <w:t xml:space="preserve"> </w:t>
      </w:r>
      <w:r>
        <w:t xml:space="preserve">AI-influenced dispositions to downstream outcomes, and that is a successor study.</w:t>
      </w:r>
    </w:p>
    <w:p>
      <w:pPr>
        <w:pStyle w:val="BodyText"/>
      </w:pPr>
      <w:r>
        <w:rPr>
          <w:bCs/>
          <w:b/>
        </w:rPr>
        <w:t xml:space="preserve">Vignettes are not patients.</w:t>
      </w:r>
      <w:r>
        <w:t xml:space="preserve"> </w:t>
      </w:r>
      <w:r>
        <w:t xml:space="preserve">Composite scenarios hold clinical content constant across models and</w:t>
      </w:r>
      <w:r>
        <w:t xml:space="preserve"> </w:t>
      </w:r>
      <w:r>
        <w:t xml:space="preserve">registers, which is exactly what makes comparison valid. They do not reproduce the information loss,</w:t>
      </w:r>
      <w:r>
        <w:t xml:space="preserve"> </w:t>
      </w:r>
      <w:r>
        <w:t xml:space="preserve">emotional pressure, interruption, and partial disclosure of a real person describing symptoms in real</w:t>
      </w:r>
      <w:r>
        <w:t xml:space="preserve"> </w:t>
      </w:r>
      <w:r>
        <w:t xml:space="preserve">time. Arm C narrows this gap. It does not close it, and no vignette-based design can.</w:t>
      </w:r>
    </w:p>
    <w:p>
      <w:pPr>
        <w:pStyle w:val="BodyText"/>
      </w:pPr>
      <w:r>
        <w:rPr>
          <w:bCs/>
          <w:b/>
        </w:rPr>
        <w:t xml:space="preserve">A result is a measurement, not a clearance.</w:t>
      </w:r>
      <w:r>
        <w:t xml:space="preserve"> </w:t>
      </w:r>
      <w:r>
        <w:t xml:space="preserve">Nothing here licenses a deployment decision, and the</w:t>
      </w:r>
      <w:r>
        <w:t xml:space="preserve"> </w:t>
      </w:r>
      <w:r>
        <w:t xml:space="preserve">measurement is conditioned on pinned model versions that a vendor may supersede next month.</w:t>
      </w:r>
    </w:p>
    <w:p>
      <w:r>
        <w:pict>
          <v:rect style="width:0;height:1.5pt" o:hralign="center" o:hrstd="t" o:hr="t"/>
        </w:pict>
      </w:r>
    </w:p>
    <w:bookmarkEnd w:id="27"/>
    <w:bookmarkStart w:id="28" w:name="X3f9f06a7d57b1432be6610943b059bca67993b7"/>
    <w:p>
      <w:pPr>
        <w:pStyle w:val="Heading2"/>
      </w:pPr>
      <w:r>
        <w:t xml:space="preserve">7. What is being asked of participating physicians</w:t>
      </w:r>
    </w:p>
    <w:p>
      <w:pPr>
        <w:pStyle w:val="FirstParagraph"/>
      </w:pPr>
      <w:r>
        <w:t xml:space="preserve">Physicians participate in exactly one of four roles, and the separation between them is a design</w:t>
      </w:r>
      <w:r>
        <w:t xml:space="preserve"> </w:t>
      </w:r>
      <w:r>
        <w:t xml:space="preserve">requirement rather than an administrative preference.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involves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 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novel composite cases from real practice patterns, in both registers, with severity weight, gold disposition, key features, and killer items. Authors do not answer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Gold-standard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correct disposition and killer items by modified Delphi consensus.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Answering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 to finalized scenarios under the same informational constraints imposed on the models. Never sees the gold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 and adjudication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outputs blinded, with structured escalation for disagreement.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Time commitment is approximately 6 to 10 hours in total</w:t>
      </w:r>
      <w:r>
        <w:t xml:space="preserve"> </w:t>
      </w:r>
      <w:r>
        <w:t xml:space="preserve">— not per week, in total.</w:t>
      </w:r>
    </w:p>
    <w:p>
      <w:pPr>
        <w:pStyle w:val="BodyText"/>
      </w:pPr>
      <w:r>
        <w:t xml:space="preserve">No patient data are used at any point. Scenarios are physician-authored composites. The study involves</w:t>
      </w:r>
      <w:r>
        <w:t xml:space="preserve"> </w:t>
      </w:r>
      <w:r>
        <w:t xml:space="preserve">no clinical care, alters no management, and enrolls no patients. It is minimal-risk research, and the</w:t>
      </w:r>
      <w:r>
        <w:t xml:space="preserve"> </w:t>
      </w:r>
      <w:r>
        <w:t xml:space="preserve">IRB pathway — exemption or expedited review — is a question the protocol puts to the institution</w:t>
      </w:r>
      <w:r>
        <w:t xml:space="preserve"> </w:t>
      </w:r>
      <w:r>
        <w:t xml:space="preserve">rather than presuming.</w:t>
      </w:r>
    </w:p>
    <w:p>
      <w:r>
        <w:pict>
          <v:rect style="width:0;height:1.5pt" o:hralign="center" o:hrstd="t" o:hr="t"/>
        </w:pict>
      </w:r>
    </w:p>
    <w:bookmarkEnd w:id="28"/>
    <w:bookmarkStart w:id="29" w:name="the-2026-evidence-base-briefly"/>
    <w:p>
      <w:pPr>
        <w:pStyle w:val="Heading2"/>
      </w:pPr>
      <w:r>
        <w:t xml:space="preserve">8. The 2026 evidence base, briefly</w:t>
      </w:r>
    </w:p>
    <w:p>
      <w:pPr>
        <w:pStyle w:val="FirstParagraph"/>
      </w:pPr>
      <w:r>
        <w:t xml:space="preserve">The context in which this protocol sits, with citation status stated honestly.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Ramaswamy et al.,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Nature Medicine</w:t>
      </w:r>
      <w:r>
        <w:rPr>
          <w:bCs/>
          <w:b/>
        </w:rPr>
        <w:t xml:space="preserve"> </w:t>
      </w:r>
      <w:r>
        <w:rPr>
          <w:bCs/>
          <w:b/>
        </w:rPr>
        <w:t xml:space="preserve">2026</w:t>
      </w:r>
      <w:r>
        <w:t xml:space="preserve"> </w:t>
      </w:r>
      <w:r>
        <w:t xml:space="preserve">— independent evaluation of a deployed consumer health</w:t>
      </w:r>
      <w:r>
        <w:t xml:space="preserve"> </w:t>
      </w:r>
      <w:r>
        <w:t xml:space="preserve">product: 51.6% of gold-standard emergencies under-triaged under structured testing; triage shifted</w:t>
      </w:r>
      <w:r>
        <w:t xml:space="preserve"> </w:t>
      </w:r>
      <w:r>
        <w:t xml:space="preserve">toward less urgent care when third parties minimized symptoms (OR 11.7); crisis safeguards activated</w:t>
      </w:r>
      <w:r>
        <w:t xml:space="preserve"> </w:t>
      </w:r>
      <w:r>
        <w:t xml:space="preserve">inconsistently.</w:t>
      </w:r>
      <w:r>
        <w:t xml:space="preserve"> </w:t>
      </w:r>
      <w:r>
        <w:rPr>
          <w:iCs/>
          <w:i/>
        </w:rPr>
        <w:t xml:space="preserve">Peer-reviewed.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Fraile Navarro et al.</w:t>
      </w:r>
      <w:r>
        <w:t xml:space="preserve"> </w:t>
      </w:r>
      <w:r>
        <w:t xml:space="preserve">— the format-artifact challenge to the above.</w:t>
      </w:r>
      <w:r>
        <w:t xml:space="preserve"> </w:t>
      </w:r>
      <w:r>
        <w:rPr>
          <w:iCs/>
          <w:i/>
        </w:rPr>
        <w:t xml:space="preserve">Preprint; not peer-reviewed.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Bean et al.,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Nature Medicine</w:t>
      </w:r>
      <w:r>
        <w:rPr>
          <w:bCs/>
          <w:b/>
        </w:rPr>
        <w:t xml:space="preserve"> </w:t>
      </w:r>
      <w:r>
        <w:rPr>
          <w:bCs/>
          <w:b/>
        </w:rPr>
        <w:t xml:space="preserve">2026</w:t>
      </w:r>
      <w:r>
        <w:t xml:space="preserve"> </w:t>
      </w:r>
      <w:r>
        <w:t xml:space="preserve">— randomized, N = 1,298: model-alone condition identification</w:t>
      </w:r>
      <w:r>
        <w:t xml:space="preserve"> </w:t>
      </w:r>
      <w:r>
        <w:t xml:space="preserve">94.9%, disposition 56.3%; lay users below 44.2%, no better than control.</w:t>
      </w:r>
      <w:r>
        <w:t xml:space="preserve"> </w:t>
      </w:r>
      <w:r>
        <w:rPr>
          <w:iCs/>
          <w:i/>
        </w:rPr>
        <w:t xml:space="preserve">Peer-reviewed.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Wu et al. (NOHARM)</w:t>
      </w:r>
      <w:r>
        <w:t xml:space="preserve"> </w:t>
      </w:r>
      <w:r>
        <w:t xml:space="preserve">— physician-authored harm-weighted safety benchmark across 31 models; safety</w:t>
      </w:r>
      <w:r>
        <w:t xml:space="preserve"> </w:t>
      </w:r>
      <w:r>
        <w:t xml:space="preserve">correlated only r = 0.61–0.64 with knowledge benchmarks.</w:t>
      </w:r>
      <w:r>
        <w:t xml:space="preserve"> </w:t>
      </w:r>
      <w:r>
        <w:rPr>
          <w:iCs/>
          <w:i/>
        </w:rPr>
        <w:t xml:space="preserve">Preprint; not peer-reviewed.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Sheng et al.,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NEJM AI</w:t>
      </w:r>
      <w:r>
        <w:rPr>
          <w:bCs/>
          <w:b/>
        </w:rPr>
        <w:t xml:space="preserve"> </w:t>
      </w:r>
      <w:r>
        <w:rPr>
          <w:bCs/>
          <w:b/>
        </w:rPr>
        <w:t xml:space="preserve">2026</w:t>
      </w:r>
      <w:r>
        <w:t xml:space="preserve"> </w:t>
      </w:r>
      <w:r>
        <w:t xml:space="preserve">— proposes four deployment safety levels for medical AI and places</w:t>
      </w:r>
      <w:r>
        <w:t xml:space="preserve"> </w:t>
      </w:r>
      <w:r>
        <w:t xml:space="preserve">autonomous emergency triage and discharge at its red line.</w:t>
      </w:r>
      <w:r>
        <w:t xml:space="preserve"> </w:t>
      </w:r>
      <w:r>
        <w:rPr>
          <w:iCs/>
          <w:i/>
        </w:rPr>
        <w:t xml:space="preserve">Perspective; a proposed framework with</w:t>
      </w:r>
      <w:r>
        <w:rPr>
          <w:iCs/>
          <w:i/>
        </w:rPr>
        <w:t xml:space="preserve"> </w:t>
      </w:r>
      <w:r>
        <w:rPr>
          <w:iCs/>
          <w:i/>
        </w:rPr>
        <w:t xml:space="preserve">no primary data.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  <w:bCs/>
          <w:b/>
        </w:rPr>
        <w:t xml:space="preserve">Winters v. OpenAI</w:t>
      </w:r>
      <w:r>
        <w:t xml:space="preserve"> </w:t>
      </w:r>
      <w:r>
        <w:t xml:space="preserve">(SF Superior Court, filed July 2026) — alleges a consumer chatbot met an</w:t>
      </w:r>
      <w:r>
        <w:t xml:space="preserve"> </w:t>
      </w:r>
      <w:r>
        <w:t xml:space="preserve">evolving venous thromboembolism with reassurance and advised immobility.</w:t>
      </w:r>
      <w:r>
        <w:t xml:space="preserve"> </w:t>
      </w:r>
      <w:r>
        <w:rPr>
          <w:iCs/>
          <w:i/>
        </w:rPr>
        <w:t xml:space="preserve">Allegations, not findings.</w:t>
      </w:r>
    </w:p>
    <w:p>
      <w:pPr>
        <w:pStyle w:val="FirstParagraph"/>
      </w:pPr>
      <w:r>
        <w:t xml:space="preserve">Throughout the protocol, preprints are labelled as preprints and allegations as allegations. Every</w:t>
      </w:r>
      <w:r>
        <w:t xml:space="preserve"> </w:t>
      </w:r>
      <w:r>
        <w:t xml:space="preserve">figure cited has been verified against a primary source, and figures that could not be verified have</w:t>
      </w:r>
      <w:r>
        <w:t xml:space="preserve"> </w:t>
      </w:r>
      <w:r>
        <w:t xml:space="preserve">been excluded rather than softened.</w:t>
      </w:r>
    </w:p>
    <w:p>
      <w:r>
        <w:pict>
          <v:rect style="width:0;height:1.5pt" o:hralign="center" o:hrstd="t" o:hr="t"/>
        </w:pict>
      </w:r>
    </w:p>
    <w:bookmarkEnd w:id="29"/>
    <w:bookmarkStart w:id="30" w:name="the-clinical-bottom-line"/>
    <w:p>
      <w:pPr>
        <w:pStyle w:val="Heading2"/>
      </w:pPr>
      <w:r>
        <w:t xml:space="preserve">9. The clinical bottom line</w:t>
      </w:r>
    </w:p>
    <w:p>
      <w:pPr>
        <w:pStyle w:val="FirstParagraph"/>
      </w:pPr>
      <w:r>
        <w:t xml:space="preserve">The question this study addresses is simple enough for any patient to ask and consequential enough for</w:t>
      </w:r>
      <w:r>
        <w:t xml:space="preserve"> </w:t>
      </w:r>
      <w:r>
        <w:t xml:space="preserve">any institution to take seriously:</w:t>
      </w:r>
    </w:p>
    <w:p>
      <w:pPr>
        <w:pStyle w:val="BlockText"/>
      </w:pPr>
      <w:r>
        <w:rPr>
          <w:iCs/>
          <w:i/>
        </w:rPr>
        <w:t xml:space="preserve">Can I trust this thing when it tells me I don’t need to go to the emergency room?</w:t>
      </w:r>
    </w:p>
    <w:p>
      <w:pPr>
        <w:pStyle w:val="FirstParagraph"/>
      </w:pPr>
      <w:r>
        <w:t xml:space="preserve">Right now, no one can answer that with evidence. Patient-facing AI is deployed at population scale in</w:t>
      </w:r>
      <w:r>
        <w:t xml:space="preserve"> </w:t>
      </w:r>
      <w:r>
        <w:t xml:space="preserve">a triage-critical role; the one headline safety estimate that exists was contested on methodological</w:t>
      </w:r>
      <w:r>
        <w:t xml:space="preserve"> </w:t>
      </w:r>
      <w:r>
        <w:t xml:space="preserve">grounds within weeks of publication; and no instrument exists that could settle it.</w:t>
      </w:r>
    </w:p>
    <w:p>
      <w:pPr>
        <w:pStyle w:val="BodyText"/>
      </w:pPr>
      <w:r>
        <w:t xml:space="preserve">This protocol replaces that vacuum with a measurement — physician-authored, harm-weighted, benchmarked</w:t>
      </w:r>
      <w:r>
        <w:t xml:space="preserve"> </w:t>
      </w:r>
      <w:r>
        <w:t xml:space="preserve">against physicians, and built to be run again as the models change.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Questions, or interest in one of the four panels, to the Principal Investigator. The full protocol and</w:t>
      </w:r>
      <w:r>
        <w:rPr>
          <w:iCs/>
          <w:i/>
        </w:rPr>
        <w:t xml:space="preserve"> </w:t>
      </w:r>
      <w:r>
        <w:rPr>
          <w:iCs/>
          <w:i/>
        </w:rPr>
        <w:t xml:space="preserve">the Scientific Introduction accompany this briefing.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2026-08-21T02:44:53Z</dcterms:created>
  <dcterms:modified xsi:type="dcterms:W3CDTF">2026-08-21T02:44:53Z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