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9b916a8132c0f5de2707574f247df26ddd909a"/>
    <w:p>
      <w:pPr>
        <w:pStyle w:val="Heading1"/>
      </w:pPr>
      <w:r>
        <w:t xml:space="preserve">PI Brief — Friday, August 7 Teams Call with Dr. Farkouh and Dr. Spiegel</w:t>
      </w:r>
    </w:p>
    <w:p>
      <w:pPr>
        <w:pStyle w:val="FirstParagraph"/>
      </w:pPr>
      <w:r>
        <w:rPr>
          <w:iCs/>
          <w:i/>
        </w:rPr>
        <w:t xml:space="preserve">Prepared August 6, 2026. One page. Companion materials: IRB letter v2 (send ahead with enclosures), Scientific Introduction v3, deck + 7-slide addendum (merge map on the addendum cover).</w:t>
      </w:r>
    </w:p>
    <w:p>
      <w:pPr>
        <w:pStyle w:val="BodyText"/>
      </w:pPr>
      <w:r>
        <w:rPr>
          <w:bCs/>
          <w:b/>
        </w:rPr>
        <w:t xml:space="preserve">Read of the room.</w:t>
      </w:r>
      <w:r>
        <w:t xml:space="preserve"> </w:t>
      </w:r>
      <w:r>
        <w:t xml:space="preserve">This is leadership alignment and panel formation, not yet physician onboarding — calibrate the Part V ask accordingly. Dr. Farkouh will likely know the Ramaswamy paper (Mount Sinai). Expect the</w:t>
      </w:r>
      <w:r>
        <w:t xml:space="preserve"> </w:t>
      </w:r>
      <w:r>
        <w:t xml:space="preserve">“</w:t>
      </w:r>
      <w:r>
        <w:t xml:space="preserve">scooped?</w:t>
      </w:r>
      <w:r>
        <w:t xml:space="preserve">”</w:t>
      </w:r>
      <w:r>
        <w:t xml:space="preserve"> </w:t>
      </w:r>
      <w:r>
        <w:t xml:space="preserve">question early; answer it before it is asked (addendum slides A–B).</w:t>
      </w:r>
    </w:p>
    <w:p>
      <w:r>
        <w:pict>
          <v:rect style="width:0;height:1.5pt" o:hralign="center" o:hrstd="t" o:hr="t"/>
        </w:pict>
      </w:r>
    </w:p>
    <w:bookmarkStart w:id="20" w:name="X53a6ede47f227cef4a764c981c5f7cb0ef642c6"/>
    <w:p>
      <w:pPr>
        <w:pStyle w:val="Heading2"/>
      </w:pPr>
      <w:r>
        <w:t xml:space="preserve">The 90-second field update (open with this)</w:t>
      </w:r>
    </w:p>
    <w:p>
      <w:pPr>
        <w:pStyle w:val="FirstParagraph"/>
      </w:pPr>
      <w:r>
        <w:t xml:space="preserve">Since April the question stopped being hypothetical. Three lines converge: (1)</w:t>
      </w:r>
      <w:r>
        <w:t xml:space="preserve"> </w:t>
      </w:r>
      <w:r>
        <w:rPr>
          <w:iCs/>
          <w:i/>
        </w:rPr>
        <w:t xml:space="preserve">Winters v. OpenAI</w:t>
      </w:r>
      <w:r>
        <w:t xml:space="preserve"> </w:t>
      </w:r>
      <w:r>
        <w:t xml:space="preserve">— a disposition-failure suit, allegations only; (2) the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 </w:t>
      </w:r>
      <w:r>
        <w:t xml:space="preserve">ChatGPT Health stress test — 51.6% of gold-standard emergencies undertriaged, anchoring OR 11.7 — now publicly contested as partly an artifact of its forced-choice format, with the original group’s own follow-ups showing multi-turn chat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fix alignment and the same benchmark run on OpenEvidence failing four-fold less; (3) randomized evidence (Bean; NOHARM’s 101-physician RCT) that the human–AI interface gives back much of what models do alone, and NOHARM’s finding that safety correlates only r = 0.61–0.64 with knowledge benchmarks. The field is now arguing about</w:t>
      </w:r>
      <w:r>
        <w:t xml:space="preserve"> </w:t>
      </w:r>
      <w:r>
        <w:rPr>
          <w:bCs/>
          <w:b/>
        </w:rPr>
        <w:t xml:space="preserve">how to measure</w:t>
      </w:r>
      <w:r>
        <w:t xml:space="preserve"> </w:t>
      </w:r>
      <w:r>
        <w:t xml:space="preserve">consumer triage safety. Our design — free-response, dual-register, physician-benchmarked, severity-weighted, interaction-inclusive — is the instrument both sides’ arguments call for, and the consumer-disposition standard slot is still open.</w:t>
      </w:r>
    </w:p>
    <w:bookmarkEnd w:id="20"/>
    <w:bookmarkStart w:id="21" w:name="X5efe46cfbf9819e0bc9f6a7db51ae9f960c8ad1"/>
    <w:p>
      <w:pPr>
        <w:pStyle w:val="Heading2"/>
      </w:pPr>
      <w:r>
        <w:t xml:space="preserve">Three decisions to land (recommendations attached)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Adopt Change 12</w:t>
      </w:r>
      <w:r>
        <w:t xml:space="preserve"> </w:t>
      </w:r>
      <w:r>
        <w:t xml:space="preserve">(matched-pair bias-cue factor). The conversational cue locus is now published evidence (OR 11.7, edge cases only); the note-embedded locus is unexamined anywhere; matched pairs are robust to the format dispute. Power stays gated on pilot discordance data — no figures stated. Authors are told before drafting, per the slide-27 promise.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 the judging architecture.</w:t>
      </w:r>
      <w:r>
        <w:t xml:space="preserve"> </w:t>
      </w:r>
      <w:r>
        <w:t xml:space="preserve">Physicians sovereign over harm (RAND/UCLA + WHO anchors; severity unanimity); primary endpoint scored deterministically from the model’s own words; the ~30% LLM-judge share becomes a cross-vendor ensemble accepted only if it agrees with the physician panel at least as well as physicians agree with each other (NOHARM’s bar)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AC1 ≥ 0.75 — else it reverts to physicians. Also confirm triplicate runs with majority call (Ramaswamy’s single-run design is the cautionary precedent).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Arm C1 (longitudinal, exploratory) in scope.</w:t>
      </w:r>
      <w:r>
        <w:t xml:space="preserve"> </w:t>
      </w:r>
      <w:r>
        <w:t xml:space="preserve">Multi-turn reality is the critics’ main argument and the Mount Sinai follow-up shows it does not self-correct; SycEval persistence (78.5%) already argued the same.</w:t>
      </w:r>
    </w:p>
    <w:bookmarkEnd w:id="21"/>
    <w:bookmarkStart w:id="22" w:name="three-asks"/>
    <w:p>
      <w:pPr>
        <w:pStyle w:val="Heading2"/>
      </w:pPr>
      <w:r>
        <w:t xml:space="preserve">Three asks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IRB routing:</w:t>
      </w:r>
      <w:r>
        <w:t xml:space="preserve"> </w:t>
      </w:r>
      <w:r>
        <w:t xml:space="preserve">which Cedars pathway (exemption / expedited as minimal-risk, no patient data), and to whom the formal submission goes — his office’s guidance.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Physician panels via Dr. Spiegel:</w:t>
      </w:r>
      <w:r>
        <w:t xml:space="preserve"> </w:t>
      </w:r>
      <w:r>
        <w:t xml:space="preserve">scenario authors + independent answering panel; ~6–10 hours total per participant; begin identifying names now.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Pawaskar invitation</w:t>
      </w:r>
      <w:r>
        <w:t xml:space="preserve"> </w:t>
      </w:r>
      <w:r>
        <w:t xml:space="preserve">— Rojas has the request; confirm.</w:t>
      </w:r>
    </w:p>
    <w:bookmarkEnd w:id="22"/>
    <w:bookmarkStart w:id="23" w:name="X45a9bc94d3ef43dc7ac615e442cf9bbc8651e6b"/>
    <w:p>
      <w:pPr>
        <w:pStyle w:val="Heading2"/>
      </w:pPr>
      <w:r>
        <w:t xml:space="preserve">Anticipated questions — answers in one breath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Weren’t you scooped by the Nature Medicine paper?</w:t>
      </w:r>
      <w:r>
        <w:rPr>
          <w:iCs/>
          <w:i/>
        </w:rPr>
        <w:t xml:space="preserve">”</w:t>
      </w:r>
      <w:r>
        <w:t xml:space="preserve"> </w:t>
      </w:r>
      <w:r>
        <w:t xml:space="preserve">— It proved our premise and left the standard unbuilt: one product, one timepoint, one run per cell, forced-choice elicitation, no physician comparator, no register manipulation, no interaction arm. Its authors say deployment</w:t>
      </w:r>
      <w:r>
        <w:t xml:space="preserve"> </w:t>
      </w:r>
      <w:r>
        <w:t xml:space="preserve">“</w:t>
      </w:r>
      <w:r>
        <w:t xml:space="preserve">should not rest on trust alone</w:t>
      </w:r>
      <w:r>
        <w:t xml:space="preserve">”</w:t>
      </w:r>
      <w:r>
        <w:t xml:space="preserve">; its critics say valid evaluation</w:t>
      </w:r>
      <w:r>
        <w:t xml:space="preserve"> </w:t>
      </w:r>
      <w:r>
        <w:t xml:space="preserve">“</w:t>
      </w:r>
      <w:r>
        <w:t xml:space="preserve">requires conditions that reflect actual use.</w:t>
      </w:r>
      <w:r>
        <w:t xml:space="preserve">”</w:t>
      </w:r>
      <w:r>
        <w:t xml:space="preserve"> </w:t>
      </w:r>
      <w:r>
        <w:t xml:space="preserve">Both describe this protocol.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Isn’t the failure just the evaluation format?</w:t>
      </w:r>
      <w:r>
        <w:rPr>
          <w:iCs/>
          <w:i/>
        </w:rPr>
        <w:t xml:space="preserve">”</w:t>
      </w:r>
      <w:r>
        <w:t xml:space="preserve"> </w:t>
      </w:r>
      <w:r>
        <w:t xml:space="preserve">— Partly, and that is the point: same format on OpenEvidence failed four-fold less, and free-text multi-turn didn’t rescue ChatGPT Health. Only a free-response, physician-benchmarked design can adjudicate — ours scores escalation deterministically from the model’s own words.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How is this different from NOHARM?</w:t>
      </w:r>
      <w:r>
        <w:rPr>
          <w:iCs/>
          <w:i/>
        </w:rPr>
        <w:t xml:space="preserve">”</w:t>
      </w:r>
      <w:r>
        <w:t xml:space="preserve"> </w:t>
      </w:r>
      <w:r>
        <w:t xml:space="preserve">— Different construct: clinician-facing consultation comprehensiveness vs consumer disposition safety. We adopt its best methods (harm anchors, autograder acceptance bar, floor/ceiling comparators) and test what it explicitly could not: patient-facing registers and real interaction.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Why Cedars, why now?</w:t>
      </w:r>
      <w:r>
        <w:rPr>
          <w:iCs/>
          <w:i/>
        </w:rPr>
        <w:t xml:space="preserve">”</w:t>
      </w:r>
      <w:r>
        <w:t xml:space="preserve"> </w:t>
      </w:r>
      <w:r>
        <w:t xml:space="preserve">— 43 citations on Ramaswamy in five months, a live methods dispute, three benchmark groups already staked (Mount Sinai, Macquarie, Stanford). The consumer-disposition standard is unclaimed; the ED physicians who own the triage boundary should define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What’s the burden?</w:t>
      </w:r>
      <w:r>
        <w:rPr>
          <w:iCs/>
          <w:i/>
        </w:rPr>
        <w:t xml:space="preserve">”</w:t>
      </w:r>
      <w:r>
        <w:t xml:space="preserve"> </w:t>
      </w:r>
      <w:r>
        <w:t xml:space="preserve">— No patient data; de-identified composites; minimal-risk physician participation, ~6–10 hours per person; 22-week timeline.</w:t>
      </w:r>
    </w:p>
    <w:bookmarkEnd w:id="23"/>
    <w:bookmarkStart w:id="24" w:name="loose-ends-mention-only-if-raised"/>
    <w:p>
      <w:pPr>
        <w:pStyle w:val="Heading2"/>
      </w:pPr>
      <w:r>
        <w:t xml:space="preserve">Loose ends (mention only if raised)</w:t>
      </w:r>
    </w:p>
    <w:p>
      <w:pPr>
        <w:pStyle w:val="FirstParagraph"/>
      </w:pPr>
      <w:r>
        <w:rPr>
          <w:iCs/>
          <w:i/>
        </w:rPr>
        <w:t xml:space="preserve">Winters</w:t>
      </w:r>
      <w:r>
        <w:t xml:space="preserve"> </w:t>
      </w:r>
      <w:r>
        <w:t xml:space="preserve">docket number: complaint PDF located (Courthouse News); number needs a manual download. Farkouh title: letter says Vice Dean (per Rojas’s signature) — confirm against current letterhead. Addendum A and this cycle’s items are not yet in the IRB submission; nothing is filed yet.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2026-08-06T00:50:42Z</dcterms:created>
  <dcterms:modified xsi:type="dcterms:W3CDTF">2026-08-06T00:50:42Z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