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revised 21 August 2026. This revision incorporates the 2026 evidence base (Ramaswamy et al., Nature Medicine; the evaluation-format dispute; the NOHARM benchmark and randomized study) and the methods hardening of Amendment 1 and Addendum A. The 21 August revision adds the deployment safety classification of Sheng et al. (NEJM AI, 2026) — a proposed framework — together with the study limitations it makes explicit, and places the work within the current regulatory architecture.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A framework published this month in</w:t>
      </w:r>
      <w:r>
        <w:t xml:space="preserve"> </w:t>
      </w:r>
      <w:r>
        <w:rPr>
          <w:iCs/>
          <w:i/>
        </w:rPr>
        <w:t xml:space="preserve">NEJM AI</w:t>
      </w:r>
      <w:r>
        <w:t xml:space="preserve"> </w:t>
      </w:r>
      <w:r>
        <w:t xml:space="preserve">makes the mismatch explicit. Sheng et al. propose four deployment-specific safety levels for medical AI and place</w:t>
      </w:r>
      <w:r>
        <w:t xml:space="preserve"> </w:t>
      </w:r>
      <w:r>
        <w:t xml:space="preserve">“</w:t>
      </w:r>
      <w:r>
        <w:t xml:space="preserve">autonomous emergency department triage/discharge</w:t>
      </w:r>
      <w:r>
        <w:t xml:space="preserve">”</w:t>
      </w:r>
      <w:r>
        <w:t xml:space="preserve"> </w:t>
      </w:r>
      <w:r>
        <w:t xml:space="preserve">and</w:t>
      </w:r>
      <w:r>
        <w:t xml:space="preserve"> </w:t>
      </w:r>
      <w:r>
        <w:t xml:space="preserve">“</w:t>
      </w:r>
      <w:r>
        <w:t xml:space="preserve">autonomous denial or delay of specialist referral</w:t>
      </w:r>
      <w:r>
        <w:t xml:space="preserve">”</w:t>
      </w:r>
      <w:r>
        <w:t xml:space="preserve"> </w:t>
      </w:r>
      <w:r>
        <w:t xml:space="preserve">at S4 — the red line, where the required clinician action is</w:t>
      </w:r>
      <w:r>
        <w:t xml:space="preserve"> </w:t>
      </w:r>
      <w:r>
        <w:t xml:space="preserve">“</w:t>
      </w:r>
      <w:r>
        <w:t xml:space="preserve">do not permit autonomous action</w:t>
      </w:r>
      <w:r>
        <w:t xml:space="preserve">”</w:t>
      </w:r>
      <w:r>
        <w:t xml:space="preserve"> </w:t>
      </w:r>
      <w:r>
        <w:t xml:space="preserve">and the deployment is to be treated as boxed warning–level risk. Clinician-reviewed triage and care-navigation support sits two tiers lower, at S2, precisely because a clinician stands between the model’s output and the patient. Consumer patient-facing triage AI has no clinician in that loop. On the framework’s own terms, the configuration now running at population scale is an S4 configuration operating without S4 safeguards — and it has never been classified at anything, because no one has classified it at all. The framework is a proposal and carries no data of its own; what it supplies is the vocabulary for why the measurement is owed. This protocol is the instrument for making that classification empirically, before rather than after the harm.</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Two further preprints sharpen the dispute. When the identical benchmark was applied to OpenEvidence, a physician-facing product, emergency undertriage fell four-fold to 12.5% with no anchoring effect — under the same forced-choice format, so elicitation alone does not determine the failure profile; product and configuration matter (Jia et al., preprint). And when ChatGPT Health itself was granted multi-turn conversation, disposition alignment did not materially improve, with roughly 70% of discordant recommendations still under-triaged (Tyagi et al., preprint — from the original Mount Sinai group).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record-embedded locus now has its first demonstrations outside this setting: in rheumatology e-consult triage, a dismissive clinician anchor in the referral note significantly reduced acuity concordance, chiefly by downgrading urgency (Omar et al.,</w:t>
      </w:r>
      <w:r>
        <w:t xml:space="preserve"> </w:t>
      </w:r>
      <w:r>
        <w:rPr>
          <w:iCs/>
          <w:i/>
        </w:rPr>
        <w:t xml:space="preserve">Rheumatology</w:t>
      </w:r>
      <w:r>
        <w:t xml:space="preserve">, 2026), and in an emergency vignette preprint a misleading GP-referral statement drove GPT-5.1 to undertriage eight of eight highest-priority cases (MTS-Bench, preprint). Neither tests the locus in patient-facing emergency triage — the deployment this study measures — and both strengthen the case for the cue factor rather than diminishing it.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 The urgency of this stewardship is now observable in real time: within six months of publication, the Ramaswamy 60-vignette set had already been reused by at least two further evaluations (a UMLS-augmentation mitigation study and the MTS-Bench adaptation, both preprints) — published scenario sets propagate across the literature, and from there into training corpora, faster than any single study’s shelf life.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 The architecture follows from a principle now stated explicitly in the medical AI safety literature: a system’s safety class is</w:t>
      </w:r>
      <w:r>
        <w:t xml:space="preserve"> </w:t>
      </w:r>
      <w:r>
        <w:t xml:space="preserve">“</w:t>
      </w:r>
      <w:r>
        <w:t xml:space="preserve">not a property of the AI model alone… It depends on how the model is deployed, including the clinical use, clinical workflow, patient population, availability of follow-up, and the clinician’s ability to override the recommendation</w:t>
      </w:r>
      <w:r>
        <w:t xml:space="preserve">”</w:t>
      </w:r>
      <w:r>
        <w:t xml:space="preserve"> </w:t>
      </w:r>
      <w:r>
        <w:t xml:space="preserve">(Sheng et al.,</w:t>
      </w:r>
      <w:r>
        <w:t xml:space="preserve"> </w:t>
      </w:r>
      <w:r>
        <w:rPr>
          <w:iCs/>
          <w:i/>
        </w:rPr>
        <w:t xml:space="preserve">NEJM AI</w:t>
      </w:r>
      <w:r>
        <w:t xml:space="preserve">, 2026 — a proposed framework). A model-alone benchmark number is therefore an incomplete safety claim by construction — not because the measurement is imprecise, but because safety is a property of the deployed configuration rather than of the weights. Arms A and C measure two configurations of the same models under the same scenarios, and the distance between them is itself a primary finding rather than a robustness check.</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 consultation order is a deliberate design choice and is stated as such: participants consult the model</w:t>
      </w:r>
      <w:r>
        <w:t xml:space="preserve"> </w:t>
      </w:r>
      <w:r>
        <w:rPr>
          <w:iCs/>
          <w:i/>
        </w:rPr>
        <w:t xml:space="preserve">before</w:t>
      </w:r>
      <w:r>
        <w:t xml:space="preserve"> </w:t>
      </w:r>
      <w:r>
        <w:t xml:space="preserve">forming their own disposition, because that is the order in which real patients use these systems. Order is not neutral — in human–AI drafting studies, whichever party responds second tends to defer to the first, so anchoring runs in both directions depending on sequence. Two consequences are pre-specified. First, agreement between a participant and a correct model recommendation is not by itself evidence of independent judgment, and the interaction metrics are interpreted accordingly. Second, an exploratory counterbalanced condition — in which a subset of participants records an initial disposition before consulting — is included to estimate the magnitude of the order effect directly rather than leaving it as an uncontrolled feature of the design.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Approximately 40% of the total scoring weight — the explicit-escalation determination, ESI level match, key feature checklist items, killer item detection, and format compliance — is scored mechanically. In particular, explicit escalation (the primary endpoint’s core element) is detected by a pre-registered, deterministic phrase-inventory rule set applied to the model’s own free-text words, validated against a physician-labeled sample before unblinding; no language model judges the primary endpoint. Approximately 30% — differential diagnosis completeness and reasoning coherence against reference rationales — is evaluated by an ensemble of at least three independent frontier LLM judges from different vendors, version-pinned, with the majority verdict used. The ensemble is subordinate and provisional: it is accepted for each component only if its agreement with the blinded physician panel on a pre-registered validation sample is at least as high as inter-physician agreement on the same items — the acceptance logic established by NOHARM, whose extract-and-match autograder reached κ = 0.804 against physicians versus inter-physician κ = 0.784 — and only if chance-corrected agreement meets the pre-registered threshold (Gwet AC1 ≥ 0.75). Per-judge self-preference diagnostics (whether a vendor’s judge scores that vendor’s outputs more favorably) are reported. Any component failing these gates reverts entirely to physician scoring. The remaining 30% — harm potential assessment, reasoning quality in ambiguous cases, communication appropriateness — is reviewed by the physician scoring panel and is never delegated to models. This tiered approach is both a practical necessity (with 50 scenarios, 6 or more models, 3 to 5 runs each, and multiple crossed conditions, the study generates thousands of individual responses) and a methodological answer to the model-judging-model objection.</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what-this-study-does-not-establish"/>
    <w:p>
      <w:pPr>
        <w:pStyle w:val="Heading2"/>
      </w:pPr>
      <w:r>
        <w:t xml:space="preserve">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 classification recently proposed for medical AI separates errors a clinician can catch inside the ordinary workflow (S2) from errors that</w:t>
      </w:r>
      <w:r>
        <w:t xml:space="preserve"> </w:t>
      </w:r>
      <w:r>
        <w:t xml:space="preserve">“</w:t>
      </w:r>
      <w:r>
        <w:t xml:space="preserve">may not be visible during the encounter</w:t>
      </w:r>
      <w:r>
        <w:t xml:space="preserve">”</w:t>
      </w:r>
      <w:r>
        <w:t xml:space="preserve"> </w:t>
      </w:r>
      <w:r>
        <w:t xml:space="preserve">and whose harm</w:t>
      </w:r>
      <w:r>
        <w:t xml:space="preserve"> </w:t>
      </w:r>
      <w:r>
        <w:t xml:space="preserve">“</w:t>
      </w:r>
      <w:r>
        <w:t xml:space="preserve">depends on missed follow-up, delayed diagnosis, or long-term management</w:t>
      </w:r>
      <w:r>
        <w:t xml:space="preserve">”</w:t>
      </w:r>
      <w:r>
        <w:t xml:space="preserve"> </w:t>
      </w:r>
      <w:r>
        <w:t xml:space="preserve">(S3) — listing among its S3 examples AI tools that affect referral urgency and diagnostic timing (Sheng et al.,</w:t>
      </w:r>
      <w:r>
        <w:t xml:space="preserve"> </w:t>
      </w:r>
      <w:r>
        <w:rPr>
          <w:iCs/>
          <w:i/>
        </w:rPr>
        <w:t xml:space="preserve">NEJM AI</w:t>
      </w:r>
      <w:r>
        <w:t xml:space="preserve">, 2026). Triage advice is such a tool. The Critical Miss Rate is scored at the encounter: deterministically, from the model’s own words, at the moment of response. It is therefore an S2-grade instrument applied to a hazard with an S3 tail. A model posting a low critical miss rate here has not been shown to leave patients unharmed months later; it has been shown that its encounter-time output was not refuted against a physician-defined gold standard. The framework’s own epistemic formulation is the one to adopt: absence of observed harm means only that safety has not been refuted. Establishing S3-level safety would require linking AI-influenced dispositions to downstream outcomes — the multiwindow surveillance design (30-, 90-, and 365-day checkpoints, with registry or claims linkage beyond twelve months) that the same authors propose. That is a successor study. This protocol is deliberately the predeployment layer beneath it, and claims nothing above that layer.</w:t>
      </w:r>
    </w:p>
    <w:p>
      <w:pPr>
        <w:pStyle w:val="BodyText"/>
      </w:pPr>
      <w:r>
        <w:rPr>
          <w:bCs/>
          <w:b/>
        </w:rPr>
        <w:t xml:space="preserve">Vignettes are not patients.</w:t>
      </w:r>
      <w:r>
        <w:t xml:space="preserve"> </w:t>
      </w:r>
      <w:r>
        <w:t xml:space="preserve">Composite scenarios authored by emergency physicians hold clinical content constant across models, registers, and runs, which is precisely what makes model-to-model and register-to-register comparison valid. They do not reproduce the information loss, emotional pressure, interruption, and partial disclosure of a frightened person describing symptoms in real time. Arm C narrows this gap by placing lay participants in the interaction loop; it does not close it, and no vignette-based design can.</w:t>
      </w:r>
    </w:p>
    <w:p>
      <w:pPr>
        <w:pStyle w:val="BodyText"/>
      </w:pPr>
      <w:r>
        <w:rPr>
          <w:bCs/>
          <w:b/>
        </w:rPr>
        <w:t xml:space="preserve">A benchmark result is a measurement, not a clearance.</w:t>
      </w:r>
      <w:r>
        <w:t xml:space="preserve"> </w:t>
      </w:r>
      <w:r>
        <w:t xml:space="preserve">Nothing in this design licenses a deployment decision on its own. The study produces a comparative safety measurement under specified conditions against pinned model versions, and that measurement begins decaying the moment a vendor ships a new generation — which is why the deliverable is a reusable instrument rather than a verdict on any particular system.</w:t>
      </w:r>
    </w:p>
    <w:bookmarkEnd w:id="29"/>
    <w:bookmarkStart w:id="30"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The prediction is genuinely open rather than foregone: a matched patient-language versus clinician-language obstetric triage study found no significant register effect on specialist-rated confidence, with lay phrasing if anything slightly safer (Ada et al.,</w:t>
      </w:r>
      <w:r>
        <w:t xml:space="preserve"> </w:t>
      </w:r>
      <w:r>
        <w:rPr>
          <w:iCs/>
          <w:i/>
        </w:rPr>
        <w:t xml:space="preserve">Eur J Obstet Gynecol Reprod Biol</w:t>
      </w:r>
      <w:r>
        <w:t xml:space="preserve">, 2026) — a specialty, specialist-rated design whose contrast with the emergency disposition domain is precisely what this study’s register factor resolves.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has now been demonstrated to move triage in rheumatology e-consults (Omar et al., 2026) and in an emergency vignette preprint (MTS-Bench); it remains untested in patient-facing emergency triage and is tested here. Anchoring also now has a direct human comparator: in a forced-choice vignette study, LLMs ranked a patient-suggested benign anchor first at 55.6% versus 21.2% of residents and 10.0% of attendings — roughly four-fold higher odds (Sheppert et al.,</w:t>
      </w:r>
      <w:r>
        <w:t xml:space="preserve"> </w:t>
      </w:r>
      <w:r>
        <w:rPr>
          <w:iCs/>
          <w:i/>
        </w:rPr>
        <w:t xml:space="preserve">Int J Med Inform</w:t>
      </w:r>
      <w:r>
        <w:t xml:space="preserve">, 2026).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30"/>
    <w:bookmarkStart w:id="31"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These findings will land inside an active regulatory architecture rather than a vacuum. The European Union’s Artificial Intelligence Act imposes post-market monitoring obligations under Article 72; the U.S. Food and Drug Administration’s final guidance on predetermined change control plans (August 2025) governs how AI-enabled device software may be updated after authorization; the International Medical Device Regulators Forum has issued software-specific risk characterization (N81) and good machine learning practice (N88) guidance; and the National Institute of Standards and Technology’s AI Risk Management Framework and World Health Organization guidance on large multi-modal models supply complementary governance vocabulary. What none of these instruments supplies is the measurement. Consumer triage AI largely escapes device regulation by positioning itself as wellness information rather than as software as a medical device, and the frameworks that would otherwise govern it are calibrated to evidence that does not yet exist for this use case. A physician-benchmarked critical miss rate — severity-weighted, contamination-audited, and measured in the register patients actually use — is the evidentiary object those frameworks require and currently lack.</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1"/>
    <w:bookmarkStart w:id="32" w:name="key-references"/>
    <w:p>
      <w:pPr>
        <w:pStyle w:val="Heading2"/>
      </w:pPr>
      <w:r>
        <w:t xml:space="preserve">Key References</w:t>
      </w:r>
    </w:p>
    <w:p>
      <w:pPr>
        <w:pStyle w:val="FirstParagraph"/>
      </w:pPr>
      <w:r>
        <w:rPr>
          <w:iCs/>
          <w:i/>
        </w:rPr>
        <w:t xml:space="preserve">Verified against PubMed/Scite as of August 5, 2026; references 18–21 added August 21, 2026 (18 verified against the publisher record; 19–21 against the project reference library’s PubMed/Scite verification).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County Superior Court (complaint filed July 2026; plaintiff Scott Winters; defendants include OpenAI entities and Samuel Altman).</w:t>
      </w:r>
      <w:r>
        <w:t xml:space="preserve"> </w:t>
      </w:r>
      <w:r>
        <w:rPr>
          <w:iCs/>
          <w:i/>
        </w:rPr>
        <w:t xml:space="preserve">Allegations; docket number to be inserted upon retrieval of the filed complaint.</w:t>
      </w:r>
    </w:p>
    <w:p>
      <w:pPr>
        <w:numPr>
          <w:ilvl w:val="0"/>
          <w:numId w:val="1001"/>
        </w:numPr>
        <w:pStyle w:val="Compact"/>
      </w:pPr>
      <w:r>
        <w:t xml:space="preserve">Jia E, Omar M, Barash Y, et al. OpenEvidence errs on the safe side in a structured test of triage recommendations.</w:t>
      </w:r>
      <w:r>
        <w:t xml:space="preserve"> </w:t>
      </w:r>
      <w:r>
        <w:rPr>
          <w:iCs/>
          <w:i/>
        </w:rPr>
        <w:t xml:space="preserve">openRxiv</w:t>
      </w:r>
      <w:r>
        <w:t xml:space="preserve"> </w:t>
      </w:r>
      <w:r>
        <w:t xml:space="preserve">preprint. doi:10.64898/2026.04.23.26351526.</w:t>
      </w:r>
      <w:r>
        <w:t xml:space="preserve"> </w:t>
      </w:r>
      <w:r>
        <w:rPr>
          <w:iCs/>
          <w:i/>
        </w:rPr>
        <w:t xml:space="preserve">Not peer-reviewed.</w:t>
      </w:r>
    </w:p>
    <w:p>
      <w:pPr>
        <w:numPr>
          <w:ilvl w:val="0"/>
          <w:numId w:val="1001"/>
        </w:numPr>
        <w:pStyle w:val="Compact"/>
      </w:pPr>
      <w:r>
        <w:t xml:space="preserve">Tyagi A, Taylor B, Jayaraman P, et al. Conversational multi-turn interaction does not ensure triage-disposition alignment in ChatGPT Health in real and synthetic patient encounters.</w:t>
      </w:r>
      <w:r>
        <w:t xml:space="preserve"> </w:t>
      </w:r>
      <w:r>
        <w:rPr>
          <w:iCs/>
          <w:i/>
        </w:rPr>
        <w:t xml:space="preserve">openRxiv</w:t>
      </w:r>
      <w:r>
        <w:t xml:space="preserve"> </w:t>
      </w:r>
      <w:r>
        <w:t xml:space="preserve">preprint. doi:10.64898/2026.07.21.26358588.</w:t>
      </w:r>
      <w:r>
        <w:t xml:space="preserve"> </w:t>
      </w:r>
      <w:r>
        <w:rPr>
          <w:iCs/>
          <w:i/>
        </w:rPr>
        <w:t xml:space="preserve">Not peer-reviewed.</w:t>
      </w:r>
    </w:p>
    <w:p>
      <w:pPr>
        <w:numPr>
          <w:ilvl w:val="0"/>
          <w:numId w:val="1001"/>
        </w:numPr>
        <w:pStyle w:val="Compact"/>
      </w:pPr>
      <w:r>
        <w:t xml:space="preserve">Sheng B, Song J, Shah NH, Wu J, Car J, Wong TY. A classification of safety risks in medical AI.</w:t>
      </w:r>
      <w:r>
        <w:t xml:space="preserve"> </w:t>
      </w:r>
      <w:r>
        <w:rPr>
          <w:iCs/>
          <w:i/>
        </w:rPr>
        <w:t xml:space="preserve">NEJM AI</w:t>
      </w:r>
      <w:r>
        <w:t xml:space="preserve">. Published online August 17, 2026. doi:10.1056/AIp2600358.</w:t>
      </w:r>
      <w:r>
        <w:t xml:space="preserve"> </w:t>
      </w:r>
      <w:r>
        <w:rPr>
          <w:iCs/>
          <w:i/>
        </w:rPr>
        <w:t xml:space="preserve">Perspective — a proposed framework with no primary data; not PubMed-indexed as of August 21, 2026.</w:t>
      </w:r>
    </w:p>
    <w:p>
      <w:pPr>
        <w:numPr>
          <w:ilvl w:val="0"/>
          <w:numId w:val="1001"/>
        </w:numPr>
        <w:pStyle w:val="Compact"/>
      </w:pPr>
      <w:r>
        <w:t xml:space="preserve">Omar M, Naffaa ME, Agbareia R, et al. AI-assisted rheumatology triage changes with referral framing.</w:t>
      </w:r>
      <w:r>
        <w:t xml:space="preserve"> </w:t>
      </w:r>
      <w:r>
        <w:rPr>
          <w:iCs/>
          <w:i/>
        </w:rPr>
        <w:t xml:space="preserve">Rheumatology (Oxford)</w:t>
      </w:r>
      <w:r>
        <w:t xml:space="preserve">. 2026. doi:10.1093/rheumatology/keag414. PMID 42587430.</w:t>
      </w:r>
    </w:p>
    <w:p>
      <w:pPr>
        <w:numPr>
          <w:ilvl w:val="0"/>
          <w:numId w:val="1001"/>
        </w:numPr>
        <w:pStyle w:val="Compact"/>
      </w:pPr>
      <w:r>
        <w:t xml:space="preserve">Ada O, Dagli U, Bilen E, et al. Clinical safety of large language model responses to matched patient-language and clinician-language Turkish obstetric and gynecologic triage prompts.</w:t>
      </w:r>
      <w:r>
        <w:t xml:space="preserve"> </w:t>
      </w:r>
      <w:r>
        <w:rPr>
          <w:iCs/>
          <w:i/>
        </w:rPr>
        <w:t xml:space="preserve">Eur J Obstet Gynecol Reprod Biol</w:t>
      </w:r>
      <w:r>
        <w:t xml:space="preserve">. 2026. doi:10.1016/j.ejogrb.2026.115351. PMID 42561577.</w:t>
      </w:r>
    </w:p>
    <w:p>
      <w:pPr>
        <w:numPr>
          <w:ilvl w:val="0"/>
          <w:numId w:val="1001"/>
        </w:numPr>
        <w:pStyle w:val="Compact"/>
      </w:pPr>
      <w:r>
        <w:t xml:space="preserve">Ravichandran et al. MTS-Bench: a Manchester Triage System benchmark for language model triage safety.</w:t>
      </w:r>
      <w:r>
        <w:t xml:space="preserve"> </w:t>
      </w:r>
      <w:r>
        <w:rPr>
          <w:iCs/>
          <w:i/>
        </w:rPr>
        <w:t xml:space="preserve">openRxiv</w:t>
      </w:r>
      <w:r>
        <w:t xml:space="preserve"> </w:t>
      </w:r>
      <w:r>
        <w:t xml:space="preserve">preprint. doi:10.64898/2026.08.04.26359651.</w:t>
      </w:r>
      <w:r>
        <w:t xml:space="preserve"> </w:t>
      </w:r>
      <w:r>
        <w:rPr>
          <w:iCs/>
          <w:i/>
        </w:rPr>
        <w:t xml:space="preserve">Not peer-reviewed.</w:t>
      </w:r>
      <w:r>
        <w:t xml:space="preserve"> </w:t>
      </w:r>
      <w:r>
        <w:t xml:space="preserve">/ Sheppert A, Shen C, Geissal E, et al. Large language models exhibit greater diagnostic anchoring than physicians in a forced-choice vignette study.</w:t>
      </w:r>
      <w:r>
        <w:t xml:space="preserve"> </w:t>
      </w:r>
      <w:r>
        <w:rPr>
          <w:iCs/>
          <w:i/>
        </w:rPr>
        <w:t xml:space="preserve">Int J Med Inform</w:t>
      </w:r>
      <w:r>
        <w:t xml:space="preserve">. 2026. doi:10.1016/j.ijmedinf.2026.106550. PMID 42335861.</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2026-08-21T03:01:47Z</dcterms:created>
  <dcterms:modified xsi:type="dcterms:W3CDTF">2026-08-21T03:01:47Z</dcterms:modified>
</cp:coreProperties>
</file>

<file path=docProps/custom.xml><?xml version="1.0" encoding="utf-8"?>
<Properties xmlns="http://schemas.openxmlformats.org/officeDocument/2006/custom-properties" xmlns:vt="http://schemas.openxmlformats.org/officeDocument/2006/docPropsVTypes"/>
</file>