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This revision incorporates the 2026 evidence base (Ramaswamy et al., Nature Medicine; the evaluation-format dispute; the NOHARM benchmark and randomized study) and the methods hardening of Amendment 1 and Addendum A.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note-embedded locus remains unexamined in any published study.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Approximately 40% of the total scoring weight — the explicit-escalation determination, ESI level match, key feature checklist items, killer item detection, and format compliance — is scored mechanically. In particular, explicit escalation (the primary endpoint’s core element) is detected by a pre-registered, deterministic phrase-inventory rule set applied to the model’s own free-text words, validated against a physician-labeled sample before unblinding; no language model judges the primary endpoint. Approximately 30% — differential diagnosis completeness and reasoning coherence against reference rationales — is evaluated by an ensemble of at least three independent frontier LLM judges from different vendors, version-pinned, with the majority verdict used. The ensemble is subordinate and provisional: it is accepted for each component only if its agreement with the blinded physician panel on a pre-registered validation sample is at least as high as inter-physician agreement on the same items — the acceptance logic established by NOHARM, whose extract-and-match autograder reached κ = 0.804 against physicians versus inter-physician κ = 0.784 — and only if chance-corrected agreement meets the pre-registered threshold (Gwet AC1 ≥ 0.75). Per-judge self-preference diagnostics (whether a vendor’s judge scores that vendor’s outputs more favorably) are reported. Any component failing these gates reverts entirely to physician scoring. The remaining 30% — harm potential assessment, reasoning quality in ambiguous cases, communication appropriateness — is reviewed by the physician scoring panel and is never delegated to models. This tiered approach is both a practical necessity (with 50 scenarios, 6 or more models, 3 to 5 runs each, and multiple crossed conditions, the study generates thousands of individual responses) and a methodological answer to the model-judging-model objection.</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remains unexamined in any published study and is tested here.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29"/>
    <w:bookmarkStart w:id="30"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0"/>
    <w:bookmarkStart w:id="31" w:name="key-references"/>
    <w:p>
      <w:pPr>
        <w:pStyle w:val="Heading2"/>
      </w:pPr>
      <w:r>
        <w:t xml:space="preserve">Key References</w:t>
      </w:r>
    </w:p>
    <w:p>
      <w:pPr>
        <w:pStyle w:val="FirstParagraph"/>
      </w:pPr>
      <w:r>
        <w:rPr>
          <w:iCs/>
          <w:i/>
        </w:rPr>
        <w:t xml:space="preserve">Verified against PubMed/Scite as of August 5, 2026.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 a medical safety benchmark and randomized study of physician and AI teaming on clinical consultations.</w:t>
      </w:r>
      <w:r>
        <w:t xml:space="preserve"> </w:t>
      </w:r>
      <w:r>
        <w:rPr>
          <w:iCs/>
          <w:i/>
        </w:rPr>
        <w:t xml:space="preserve">arXiv</w:t>
      </w:r>
      <w:r>
        <w:t xml:space="preserve"> </w:t>
      </w:r>
      <w:r>
        <w:t xml:space="preserve">preprint. doi:10.48550/arxiv.2512.01241.</w:t>
      </w:r>
      <w:r>
        <w:t xml:space="preserve"> </w:t>
      </w:r>
      <w:r>
        <w:rPr>
          <w:iCs/>
          <w:i/>
        </w:rPr>
        <w:t xml:space="preserve">Not peer-reviewed.</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Superior Court (complaint filed July 22, 2026).</w:t>
      </w:r>
      <w:r>
        <w:t xml:space="preserve"> </w:t>
      </w:r>
      <w:r>
        <w:rPr>
          <w:iCs/>
          <w:i/>
        </w:rPr>
        <w:t xml:space="preserve">Allegations; docketed citation to be inserted upon retrieval.</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2026-08-05T15:00:10Z</dcterms:created>
  <dcterms:modified xsi:type="dcterms:W3CDTF">2026-08-05T15:00:10Z</dcterms:modified>
</cp:coreProperties>
</file>

<file path=docProps/custom.xml><?xml version="1.0" encoding="utf-8"?>
<Properties xmlns="http://schemas.openxmlformats.org/officeDocument/2006/custom-properties" xmlns:vt="http://schemas.openxmlformats.org/officeDocument/2006/docPropsVTypes"/>
</file>