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This revision incorporates the 2026 evidence base (Ramaswamy et al., Nature Medicine; the evaluation-format dispute; the NOHARM benchmark and randomized study) and the methods hardening of Amendment 1 and Addendum A.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 That gap has now been measured directly: in the NOHARM benchmark, models’ clinical-safety performance correlated only moderately (r = 0.61–0.64) with their scores on existing AI and medical knowledge benchmarks — a model can excel on accuracy evaluations and still produce severely harmful recommendations at nontrivial rates (Wu et al., preprint).</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note-embedded locus remains unexamined in any published study.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Approximately 40% of the total scoring weight — the explicit-escalation determination, ESI level match, key feature checklist items, killer item detection, and format compliance — is scored mechanically. In particular, explicit escalation (the primary endpoint’s core element) is detected by a pre-registered, deterministic phrase-inventory rule set applied to the model’s own free-text words, validated against a physician-labeled sample before unblinding; no language model judges the primary endpoint. Approximately 30% — differential diagnosis completeness and reasoning coherence against reference rationales — is evaluated by an ensemble of at least three independent frontier LLM judges from different vendors, version-pinned, with the majority verdict used. The ensemble is subordinate and provisional: it is accepted for each component only if its agreement with the blinded physician panel on a pre-registered validation sample is at least as high as inter-physician agreement on the same items — the acceptance logic established by NOHARM, whose extract-and-match autograder reached κ = 0.804 against physicians versus inter-physician κ = 0.784 — and only if chance-corrected agreement meets the pre-registered threshold (Gwet AC1 ≥ 0.75). Per-judge self-preference diagnostics (whether a vendor’s judge scores that vendor’s outputs more favorably) are reported. Any component failing these gates reverts entirely to physician scoring. The remaining 30% — harm potential assessment, reasoning quality in ambiguous cases, communication appropriateness — is reviewed by the physician scoring panel and is never delegated to models. This tiered approach is both a practical necessity (with 50 scenarios, 6 or more models, 3 to 5 runs each, and multiple crossed conditions, the study generates thousands of individual responses) and a methodological answer to the model-judging-model objection.</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remains unexamined in any published study and is tested here.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29"/>
    <w:bookmarkStart w:id="30"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0"/>
    <w:bookmarkStart w:id="31" w:name="key-references"/>
    <w:p>
      <w:pPr>
        <w:pStyle w:val="Heading2"/>
      </w:pPr>
      <w:r>
        <w:t xml:space="preserve">Key References</w:t>
      </w:r>
    </w:p>
    <w:p>
      <w:pPr>
        <w:pStyle w:val="FirstParagraph"/>
      </w:pPr>
      <w:r>
        <w:rPr>
          <w:iCs/>
          <w:i/>
        </w:rPr>
        <w:t xml:space="preserve">Verified against PubMed/Scite as of August 5, 2026.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w:t>
      </w:r>
      <w:r>
        <w:t xml:space="preserve"> </w:t>
      </w:r>
      <w:r>
        <w:rPr>
          <w:iCs/>
          <w:i/>
        </w:rPr>
        <w:t xml:space="preserve">arXiv</w:t>
      </w:r>
      <w:r>
        <w:t xml:space="preserve"> </w:t>
      </w:r>
      <w:r>
        <w:t xml:space="preserve">preprint 2512.01241. doi:10.48550/arxiv.2512.01241.</w:t>
      </w:r>
      <w:r>
        <w:t xml:space="preserve"> </w:t>
      </w:r>
      <w:r>
        <w:rPr>
          <w:iCs/>
          <w:i/>
        </w:rPr>
        <w:t xml:space="preserve">Not peer-reviewed; two versions under one identifier.</w:t>
      </w:r>
      <w:r>
        <w:t xml:space="preserve"> </w:t>
      </w:r>
      <w:r>
        <w:t xml:space="preserve">v1,</w:t>
      </w:r>
      <w:r>
        <w:t xml:space="preserve"> </w:t>
      </w:r>
      <w:r>
        <w:t xml:space="preserve">“</w:t>
      </w:r>
      <w:r>
        <w:t xml:space="preserve">towards clinically safe large language models</w:t>
      </w:r>
      <w:r>
        <w:t xml:space="preserve">”</w:t>
      </w:r>
      <w:r>
        <w:t xml:space="preserve"> </w:t>
      </w:r>
      <w:r>
        <w:t xml:space="preserve">(posted Dec 17, 2025; PubMed-indexed preprint record, PMID 41532042, PMC12794822): 31 LLMs; severe-harm potential ≤22.2%; harm of omission 76.6% of errors; safety-vs-knowledge-benchmark correlation r = 0.61–0.64; best models +9.7% vs generalist physicians on safety. Expanded 2026 version,</w:t>
      </w:r>
      <w:r>
        <w:t xml:space="preserve"> </w:t>
      </w:r>
      <w:r>
        <w:t xml:space="preserve">“</w:t>
      </w:r>
      <w:r>
        <w:t xml:space="preserve">a medical safety benchmark and randomized study of physician and AI teaming on clinical consultations</w:t>
      </w:r>
      <w:r>
        <w:t xml:space="preserve">”</w:t>
      </w:r>
      <w:r>
        <w:t xml:space="preserve">: adds the 101-physician randomized teaming study and clinical RAG-tool comparisons. Unless otherwise noted, figures cited in this document are from the expanded version; the r = 0.61–0.64 correlation is a v1 figure.</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Superior Court (complaint filed July 22, 2026).</w:t>
      </w:r>
      <w:r>
        <w:t xml:space="preserve"> </w:t>
      </w:r>
      <w:r>
        <w:rPr>
          <w:iCs/>
          <w:i/>
        </w:rPr>
        <w:t xml:space="preserve">Allegations; docketed citation to be inserted upon retrieval.</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2026-08-05T15:12:54Z</dcterms:created>
  <dcterms:modified xsi:type="dcterms:W3CDTF">2026-08-05T15:12:54Z</dcterms:modified>
</cp:coreProperties>
</file>

<file path=docProps/custom.xml><?xml version="1.0" encoding="utf-8"?>
<Properties xmlns="http://schemas.openxmlformats.org/officeDocument/2006/custom-properties" xmlns:vt="http://schemas.openxmlformats.org/officeDocument/2006/docPropsVTypes"/>
</file>