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085BA746" w:rsidR="00920EE9" w:rsidRPr="009731F4" w:rsidRDefault="00920EE9" w:rsidP="00A05F87">
      <w:pPr>
        <w:tabs>
          <w:tab w:val="left" w:pos="4188"/>
        </w:tabs>
      </w:pPr>
      <w:r w:rsidRPr="009731F4">
        <w:rPr>
          <w:b/>
          <w:bCs/>
        </w:rPr>
        <w:t>Subject</w:t>
      </w:r>
      <w:r w:rsidRPr="009731F4">
        <w:t>:</w:t>
      </w:r>
      <w:r w:rsidRPr="009731F4">
        <w:rPr>
          <w:b/>
        </w:rPr>
        <w:t xml:space="preserve"> </w:t>
      </w:r>
      <w:r w:rsidR="0078689E" w:rsidRPr="00A05F87">
        <w:t xml:space="preserve">Offer for </w:t>
      </w:r>
      <w:r w:rsidR="00A05F87" w:rsidRPr="00A05F87">
        <w:t>MES for Unit 2 &amp; Unit 4</w:t>
      </w:r>
    </w:p>
    <w:p w14:paraId="77E7565F" w14:textId="77777777" w:rsidR="00EE4A38" w:rsidRDefault="00EE4A38" w:rsidP="007A64C0"/>
    <w:p w14:paraId="402C5F9F" w14:textId="5DF614D0" w:rsidR="005C0038" w:rsidRPr="009731F4" w:rsidRDefault="00B41919" w:rsidP="007A64C0">
      <w:r w:rsidRPr="009731F4">
        <w:br/>
      </w:r>
      <w:r w:rsidR="00B74FEE" w:rsidRPr="009B03C6">
        <w:t xml:space="preserve">As per the discussion </w:t>
      </w:r>
      <w:r w:rsidR="00FE4665" w:rsidRPr="009B03C6">
        <w:t xml:space="preserve">and details received over email </w:t>
      </w:r>
      <w:r w:rsidR="00B74FEE" w:rsidRPr="009B03C6">
        <w:t xml:space="preserve">with the technical team on the </w:t>
      </w:r>
      <w:r w:rsidR="007C7F49" w:rsidRPr="009B03C6">
        <w:t>MES requirement u</w:t>
      </w:r>
      <w:r w:rsidR="00D3153B" w:rsidRPr="009B03C6">
        <w:t>nderstanding. The</w:t>
      </w:r>
      <w:r w:rsidR="00B74FEE" w:rsidRPr="009B03C6">
        <w:t xml:space="preserve"> </w:t>
      </w:r>
      <w:r w:rsidR="00D3153B" w:rsidRPr="009B03C6">
        <w:t>enclosed offer is having all the technical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w:t>
      </w:r>
      <w:proofErr w:type="gramStart"/>
      <w:r w:rsidR="00920EE9" w:rsidRPr="009731F4">
        <w:t>assuring you of our best attention at all times</w:t>
      </w:r>
      <w:proofErr w:type="gramEnd"/>
      <w:r w:rsidR="00920EE9" w:rsidRPr="009731F4">
        <w:t xml:space="preserve">.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250F9DC7" w:rsidR="005C430C" w:rsidRPr="009B03C6" w:rsidRDefault="009B03C6" w:rsidP="007A64C0">
      <w:r w:rsidRPr="009B03C6">
        <w:t>Sanjay Goyal</w:t>
      </w:r>
    </w:p>
    <w:p w14:paraId="47EA31B0" w14:textId="223837D6" w:rsidR="00FD1694" w:rsidRPr="009731F4" w:rsidRDefault="005C430C" w:rsidP="007A64C0">
      <w:pPr>
        <w:rPr>
          <w:b/>
        </w:rPr>
      </w:pPr>
      <w:r w:rsidRPr="009B03C6">
        <w:t xml:space="preserve">Head of </w:t>
      </w:r>
      <w:r w:rsidR="009B03C6" w:rsidRPr="009B03C6">
        <w:t>MES</w:t>
      </w:r>
      <w:r w:rsidRPr="009B03C6">
        <w:t xml:space="preserve">, </w:t>
      </w:r>
      <w:r w:rsidR="0023067E" w:rsidRPr="009B03C6">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1"/>
          <w:headerReference w:type="default" r:id="rId12"/>
          <w:footerReference w:type="default" r:id="rId13"/>
          <w:headerReference w:type="first" r:id="rId14"/>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0478AA">
      <w:pPr>
        <w:jc w:val="center"/>
      </w:pPr>
    </w:p>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dirty="true"/>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401BD5B4" w:rsidR="00FF63A9"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2E01F78D" w:rsidR="005637AC"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 - LTP</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SmartMES</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Smart Controls Manufacturing Execution System platform</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48F888B3" w14:textId="2F249502" w:rsidR="00C62454" w:rsidRPr="00C62454" w:rsidRDefault="00BE3B40" w:rsidP="00DF16AD">
      <w:pPr>
        <w:tabs>
          <w:tab w:val="left" w:pos="1908"/>
        </w:tabs>
      </w:pPr>
      <w:r>
        <w:t xml:space="preserve">First </w:t>
      </w:r>
      <w:r w:rsidR="00597D01">
        <w:t>Draft,</w:t>
      </w:r>
      <w:r>
        <w:t xml:space="preserve"> R0, </w:t>
      </w:r>
      <w:r w:rsidR="00597D01">
        <w:t>27-07-2026</w:t>
      </w:r>
    </w:p>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pPr/>
      <w:r>
        <w:rPr>
          <w:b w:val="0"/>
          <w:i w:val="0"/>
        </w:rPr>
        <w:t>Smart Controls India Limited (SCIL) proposes to implement a Manufacturing Execution System (MES) covering the tyre manufacturing operations of JK Tyre – Laksar Tyre Plant (LTP) for Unit‑2 and Unit‑4. The offer covers shopfloor data acquisition from the existing and planned machines of both units, the manufacturing operations management layer, and the interfaces to the customer’s existing enterprise applications. The solution is delivered on SmartMES, the Smart Controls manufacturing execution platform; no third party MES platform license is included in this offer.</w:t>
      </w:r>
    </w:p>
    <w:p>
      <w:pPr/>
      <w:r>
        <w:rPr>
          <w:b w:val="0"/>
          <w:i w:val="0"/>
        </w:rPr>
        <w:t>The solution is structured in the following layers:</w:t>
      </w:r>
    </w:p>
    <w:p>
      <w:pPr>
        <w:pStyle w:val="ListParagraph"/>
        <w:numPr>
          <w:ilvl w:val="0"/>
          <w:numId w:val="42"/>
        </w:numPr>
      </w:pPr>
      <w:r>
        <w:rPr>
          <w:b w:val="0"/>
          <w:i w:val="0"/>
        </w:rPr>
        <w:t>Layer 2 – SCADA: TBM SCADA, Curing SCADA and Plantwide SCADA for machine connectivity, shopfloor data acquisition, visualisation and operator interface.</w:t>
      </w:r>
    </w:p>
    <w:p>
      <w:pPr>
        <w:pStyle w:val="ListParagraph"/>
        <w:numPr>
          <w:ilvl w:val="0"/>
          <w:numId w:val="42"/>
        </w:numPr>
      </w:pPr>
      <w:r>
        <w:rPr>
          <w:b w:val="0"/>
          <w:i w:val="0"/>
        </w:rPr>
        <w:t>Layer 3 – Manufacturing Operations Management: MES for production execution, material and product traceability and in‑process quality management.</w:t>
      </w:r>
    </w:p>
    <w:p>
      <w:pPr>
        <w:pStyle w:val="ListParagraph"/>
        <w:numPr>
          <w:ilvl w:val="0"/>
          <w:numId w:val="42"/>
        </w:numPr>
      </w:pPr>
      <w:r>
        <w:rPr>
          <w:b w:val="0"/>
          <w:i w:val="0"/>
        </w:rPr>
        <w:t>Interfaces: Integration with the customer’s existing third party systems (ERP, WMS, ASRS and OEM systems) through mutually agreed interface definitions.</w:t>
      </w:r>
    </w:p>
    <w:p>
      <w:pPr/>
      <w:r>
        <w:rPr>
          <w:b w:val="0"/>
          <w:i w:val="0"/>
        </w:rPr>
        <w:t>The detailed functional scope of each module shall be frozen during the Requirement Freeze &amp; Workshop phase and documented in the Business Requirement Document (BRD) as described in the Project Management section of this document.</w:t>
      </w:r>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531E0EF8" w:rsidR="00C62454" w:rsidRPr="00C62454" w:rsidRDefault="00DD5FF9" w:rsidP="00E3366D">
      <w:pPr>
        <w:tabs>
          <w:tab w:val="left" w:pos="1296"/>
        </w:tabs>
      </w:pPr>
      <w:r>
        <w:t>JK – LTP, Laksar Uttarakhand</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pPr/>
      <w:r>
        <w:rPr>
          <w:b w:val="0"/>
          <w:i w:val="0"/>
        </w:rPr>
        <w:t>The machine population considered for this offer is based on the machine data shared by the customer in “Machine Details Data Unit‑2 Unit‑4_V6.xlsx”. A total of 145 machines are covered – 42 in Unit‑2 and 103 in Unit‑4 – as summarised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748"/>
        <w:gridCol w:w="1700"/>
        <w:gridCol w:w="1700"/>
        <w:gridCol w:w="1700"/>
        <w:gridCol w:w="1600"/>
      </w:tblGrid>
      <w:tr>
        <w:trPr>
          <w:tblHeader/>
        </w:trPr>
        <w:tc>
          <w:tcPr>
            <w:tcW w:type="dxa" w:w="900"/>
          </w:tcPr>
          <w:p>
            <w:r>
              <w:t>Unit</w:t>
            </w:r>
          </w:p>
        </w:tc>
        <w:tc>
          <w:tcPr>
            <w:tcW w:type="dxa" w:w="2748"/>
          </w:tcPr>
          <w:p>
            <w:r>
              <w:t>Process Area</w:t>
            </w:r>
          </w:p>
        </w:tc>
        <w:tc>
          <w:tcPr>
            <w:tcW w:type="dxa" w:w="1700"/>
          </w:tcPr>
          <w:p>
            <w:r>
              <w:t>No. of Machines</w:t>
            </w:r>
          </w:p>
        </w:tc>
        <w:tc>
          <w:tcPr>
            <w:tcW w:type="dxa" w:w="1700"/>
          </w:tcPr>
          <w:p>
            <w:r>
              <w:t>PLC Available</w:t>
            </w:r>
          </w:p>
        </w:tc>
        <w:tc>
          <w:tcPr>
            <w:tcW w:type="dxa" w:w="1700"/>
          </w:tcPr>
          <w:p>
            <w:r>
              <w:t>PLC Not Available</w:t>
            </w:r>
          </w:p>
        </w:tc>
        <w:tc>
          <w:tcPr>
            <w:tcW w:type="dxa" w:w="1600"/>
          </w:tcPr>
          <w:p>
            <w:r>
              <w:t>To Be Confirmed</w:t>
            </w:r>
          </w:p>
        </w:tc>
      </w:tr>
      <w:tr>
        <w:tc>
          <w:tcPr>
            <w:tcW w:type="dxa" w:w="900"/>
          </w:tcPr>
          <w:p>
            <w:r>
              <w:t>Unit‑2</w:t>
            </w:r>
          </w:p>
        </w:tc>
        <w:tc>
          <w:tcPr>
            <w:tcW w:type="dxa" w:w="2748"/>
          </w:tcPr>
          <w:p>
            <w:r>
              <w:t>TBB Tyre Building</w:t>
            </w:r>
          </w:p>
        </w:tc>
        <w:tc>
          <w:tcPr>
            <w:tcW w:type="dxa" w:w="1700"/>
          </w:tcPr>
          <w:p>
            <w:r>
              <w:t>29</w:t>
            </w:r>
          </w:p>
        </w:tc>
        <w:tc>
          <w:tcPr>
            <w:tcW w:type="dxa" w:w="1700"/>
          </w:tcPr>
          <w:p>
            <w:r>
              <w:t>29</w:t>
            </w:r>
          </w:p>
        </w:tc>
        <w:tc>
          <w:tcPr>
            <w:tcW w:type="dxa" w:w="1700"/>
          </w:tcPr>
          <w:p>
            <w:r>
              <w:t>–</w:t>
            </w:r>
          </w:p>
        </w:tc>
        <w:tc>
          <w:tcPr>
            <w:tcW w:type="dxa" w:w="1600"/>
          </w:tcPr>
          <w:p>
            <w:r>
              <w:t>–</w:t>
            </w:r>
          </w:p>
        </w:tc>
      </w:tr>
      <w:tr>
        <w:tc>
          <w:tcPr>
            <w:tcW w:type="dxa" w:w="900"/>
          </w:tcPr>
          <w:p>
            <w:r>
              <w:t>Unit‑2</w:t>
            </w:r>
          </w:p>
        </w:tc>
        <w:tc>
          <w:tcPr>
            <w:tcW w:type="dxa" w:w="2748"/>
          </w:tcPr>
          <w:p>
            <w:r>
              <w:t>LCV Tyre Building</w:t>
            </w:r>
          </w:p>
        </w:tc>
        <w:tc>
          <w:tcPr>
            <w:tcW w:type="dxa" w:w="1700"/>
          </w:tcPr>
          <w:p>
            <w:r>
              <w:t>13</w:t>
            </w:r>
          </w:p>
        </w:tc>
        <w:tc>
          <w:tcPr>
            <w:tcW w:type="dxa" w:w="1700"/>
          </w:tcPr>
          <w:p>
            <w:r>
              <w:t>13</w:t>
            </w:r>
          </w:p>
        </w:tc>
        <w:tc>
          <w:tcPr>
            <w:tcW w:type="dxa" w:w="1700"/>
          </w:tcPr>
          <w:p>
            <w:r>
              <w:t>–</w:t>
            </w:r>
          </w:p>
        </w:tc>
        <w:tc>
          <w:tcPr>
            <w:tcW w:type="dxa" w:w="1600"/>
          </w:tcPr>
          <w:p>
            <w:r>
              <w:t>–</w:t>
            </w:r>
          </w:p>
        </w:tc>
      </w:tr>
      <w:tr>
        <w:tc>
          <w:tcPr>
            <w:tcW w:type="dxa" w:w="900"/>
          </w:tcPr>
          <w:p>
            <w:r>
              <w:rPr>
                <w:b/>
              </w:rPr>
              <w:t>Unit‑2</w:t>
            </w:r>
          </w:p>
        </w:tc>
        <w:tc>
          <w:tcPr>
            <w:tcW w:type="dxa" w:w="2748"/>
          </w:tcPr>
          <w:p>
            <w:r>
              <w:rPr>
                <w:b/>
              </w:rPr>
              <w:t>Sub Total</w:t>
            </w:r>
          </w:p>
        </w:tc>
        <w:tc>
          <w:tcPr>
            <w:tcW w:type="dxa" w:w="1700"/>
          </w:tcPr>
          <w:p>
            <w:r>
              <w:rPr>
                <w:b/>
              </w:rPr>
              <w:t>42</w:t>
            </w:r>
          </w:p>
        </w:tc>
        <w:tc>
          <w:tcPr>
            <w:tcW w:type="dxa" w:w="1700"/>
          </w:tcPr>
          <w:p>
            <w:r>
              <w:rPr>
                <w:b/>
              </w:rPr>
              <w:t>42</w:t>
            </w:r>
          </w:p>
        </w:tc>
        <w:tc>
          <w:tcPr>
            <w:tcW w:type="dxa" w:w="1700"/>
          </w:tcPr>
          <w:p>
            <w:r>
              <w:rPr>
                <w:b/>
              </w:rPr>
              <w:t>–</w:t>
            </w:r>
          </w:p>
        </w:tc>
        <w:tc>
          <w:tcPr>
            <w:tcW w:type="dxa" w:w="1600"/>
          </w:tcPr>
          <w:p>
            <w:r>
              <w:rPr>
                <w:b/>
              </w:rPr>
              <w:t>–</w:t>
            </w:r>
          </w:p>
        </w:tc>
      </w:tr>
      <w:tr>
        <w:tc>
          <w:tcPr>
            <w:tcW w:type="dxa" w:w="900"/>
          </w:tcPr>
          <w:p>
            <w:r>
              <w:t>Unit‑4</w:t>
            </w:r>
          </w:p>
        </w:tc>
        <w:tc>
          <w:tcPr>
            <w:tcW w:type="dxa" w:w="2748"/>
          </w:tcPr>
          <w:p>
            <w:r>
              <w:t>CFE 1</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CFE 2</w:t>
            </w:r>
          </w:p>
        </w:tc>
        <w:tc>
          <w:tcPr>
            <w:tcW w:type="dxa" w:w="1700"/>
          </w:tcPr>
          <w:p>
            <w:r>
              <w:t>4</w:t>
            </w:r>
          </w:p>
        </w:tc>
        <w:tc>
          <w:tcPr>
            <w:tcW w:type="dxa" w:w="1700"/>
          </w:tcPr>
          <w:p>
            <w:r>
              <w:t>4</w:t>
            </w:r>
          </w:p>
        </w:tc>
        <w:tc>
          <w:tcPr>
            <w:tcW w:type="dxa" w:w="1700"/>
          </w:tcPr>
          <w:p>
            <w:r>
              <w:t>–</w:t>
            </w:r>
          </w:p>
        </w:tc>
        <w:tc>
          <w:tcPr>
            <w:tcW w:type="dxa" w:w="1600"/>
          </w:tcPr>
          <w:p>
            <w:r>
              <w:t>–</w:t>
            </w:r>
          </w:p>
        </w:tc>
      </w:tr>
      <w:tr>
        <w:tc>
          <w:tcPr>
            <w:tcW w:type="dxa" w:w="900"/>
          </w:tcPr>
          <w:p>
            <w:r>
              <w:t>Unit‑4</w:t>
            </w:r>
          </w:p>
        </w:tc>
        <w:tc>
          <w:tcPr>
            <w:tcW w:type="dxa" w:w="2748"/>
          </w:tcPr>
          <w:p>
            <w:r>
              <w:t>2 Roll Calender ‑1</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2 Roll Calender ‑2</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2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3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Bias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Bead Winding</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Fabric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Building</w:t>
            </w:r>
          </w:p>
        </w:tc>
        <w:tc>
          <w:tcPr>
            <w:tcW w:type="dxa" w:w="1700"/>
          </w:tcPr>
          <w:p>
            <w:r>
              <w:t>45</w:t>
            </w:r>
          </w:p>
        </w:tc>
        <w:tc>
          <w:tcPr>
            <w:tcW w:type="dxa" w:w="1700"/>
          </w:tcPr>
          <w:p>
            <w:r>
              <w:t>39</w:t>
            </w:r>
          </w:p>
        </w:tc>
        <w:tc>
          <w:tcPr>
            <w:tcW w:type="dxa" w:w="1700"/>
          </w:tcPr>
          <w:p>
            <w:r>
              <w:t>6</w:t>
            </w:r>
          </w:p>
        </w:tc>
        <w:tc>
          <w:tcPr>
            <w:tcW w:type="dxa" w:w="1600"/>
          </w:tcPr>
          <w:p>
            <w:r>
              <w:t>–</w:t>
            </w:r>
          </w:p>
        </w:tc>
      </w:tr>
      <w:tr>
        <w:tc>
          <w:tcPr>
            <w:tcW w:type="dxa" w:w="900"/>
          </w:tcPr>
          <w:p>
            <w:r>
              <w:t>Unit‑4</w:t>
            </w:r>
          </w:p>
        </w:tc>
        <w:tc>
          <w:tcPr>
            <w:tcW w:type="dxa" w:w="2748"/>
          </w:tcPr>
          <w:p>
            <w:r>
              <w:t>Curing</w:t>
            </w:r>
          </w:p>
        </w:tc>
        <w:tc>
          <w:tcPr>
            <w:tcW w:type="dxa" w:w="1700"/>
          </w:tcPr>
          <w:p>
            <w:r>
              <w:t>8</w:t>
            </w:r>
          </w:p>
        </w:tc>
        <w:tc>
          <w:tcPr>
            <w:tcW w:type="dxa" w:w="1700"/>
          </w:tcPr>
          <w:p>
            <w:r>
              <w:t>8</w:t>
            </w:r>
          </w:p>
        </w:tc>
        <w:tc>
          <w:tcPr>
            <w:tcW w:type="dxa" w:w="1700"/>
          </w:tcPr>
          <w:p>
            <w:r>
              <w:t>–</w:t>
            </w:r>
          </w:p>
        </w:tc>
        <w:tc>
          <w:tcPr>
            <w:tcW w:type="dxa" w:w="1600"/>
          </w:tcPr>
          <w:p>
            <w:r>
              <w:t>–</w:t>
            </w:r>
          </w:p>
        </w:tc>
      </w:tr>
      <w:tr>
        <w:tc>
          <w:tcPr>
            <w:tcW w:type="dxa" w:w="900"/>
          </w:tcPr>
          <w:p>
            <w:r>
              <w:t>Unit‑4</w:t>
            </w:r>
          </w:p>
        </w:tc>
        <w:tc>
          <w:tcPr>
            <w:tcW w:type="dxa" w:w="2748"/>
          </w:tcPr>
          <w:p>
            <w:r>
              <w:t>Balancing</w:t>
            </w:r>
          </w:p>
        </w:tc>
        <w:tc>
          <w:tcPr>
            <w:tcW w:type="dxa" w:w="1700"/>
          </w:tcPr>
          <w:p>
            <w:r>
              <w:t>10</w:t>
            </w:r>
          </w:p>
        </w:tc>
        <w:tc>
          <w:tcPr>
            <w:tcW w:type="dxa" w:w="1700"/>
          </w:tcPr>
          <w:p>
            <w:r>
              <w:t>10</w:t>
            </w:r>
          </w:p>
        </w:tc>
        <w:tc>
          <w:tcPr>
            <w:tcW w:type="dxa" w:w="1700"/>
          </w:tcPr>
          <w:p>
            <w:r>
              <w:t>–</w:t>
            </w:r>
          </w:p>
        </w:tc>
        <w:tc>
          <w:tcPr>
            <w:tcW w:type="dxa" w:w="1600"/>
          </w:tcPr>
          <w:p>
            <w:r>
              <w:t>–</w:t>
            </w:r>
          </w:p>
        </w:tc>
      </w:tr>
      <w:tr>
        <w:tc>
          <w:tcPr>
            <w:tcW w:type="dxa" w:w="900"/>
          </w:tcPr>
          <w:p>
            <w:r>
              <w:t>Unit‑4</w:t>
            </w:r>
          </w:p>
        </w:tc>
        <w:tc>
          <w:tcPr>
            <w:tcW w:type="dxa" w:w="2748"/>
          </w:tcPr>
          <w:p>
            <w:r>
              <w:t>Runout</w:t>
            </w:r>
          </w:p>
        </w:tc>
        <w:tc>
          <w:tcPr>
            <w:tcW w:type="dxa" w:w="1700"/>
          </w:tcPr>
          <w:p>
            <w:r>
              <w:t>11</w:t>
            </w:r>
          </w:p>
        </w:tc>
        <w:tc>
          <w:tcPr>
            <w:tcW w:type="dxa" w:w="1700"/>
          </w:tcPr>
          <w:p>
            <w:r>
              <w:t>11</w:t>
            </w:r>
          </w:p>
        </w:tc>
        <w:tc>
          <w:tcPr>
            <w:tcW w:type="dxa" w:w="1700"/>
          </w:tcPr>
          <w:p>
            <w:r>
              <w:t>–</w:t>
            </w:r>
          </w:p>
        </w:tc>
        <w:tc>
          <w:tcPr>
            <w:tcW w:type="dxa" w:w="1600"/>
          </w:tcPr>
          <w:p>
            <w:r>
              <w:t>–</w:t>
            </w:r>
          </w:p>
        </w:tc>
      </w:tr>
      <w:tr>
        <w:tc>
          <w:tcPr>
            <w:tcW w:type="dxa" w:w="900"/>
          </w:tcPr>
          <w:p>
            <w:r>
              <w:t>Unit‑4</w:t>
            </w:r>
          </w:p>
        </w:tc>
        <w:tc>
          <w:tcPr>
            <w:tcW w:type="dxa" w:w="2748"/>
          </w:tcPr>
          <w:p>
            <w:r>
              <w:t>2nd Line Inspection</w:t>
            </w:r>
          </w:p>
        </w:tc>
        <w:tc>
          <w:tcPr>
            <w:tcW w:type="dxa" w:w="1700"/>
          </w:tcPr>
          <w:p>
            <w:r>
              <w:t>9</w:t>
            </w:r>
          </w:p>
        </w:tc>
        <w:tc>
          <w:tcPr>
            <w:tcW w:type="dxa" w:w="1700"/>
          </w:tcPr>
          <w:p>
            <w:r>
              <w:t>–</w:t>
            </w:r>
          </w:p>
        </w:tc>
        <w:tc>
          <w:tcPr>
            <w:tcW w:type="dxa" w:w="1700"/>
          </w:tcPr>
          <w:p>
            <w:r>
              <w:t>–</w:t>
            </w:r>
          </w:p>
        </w:tc>
        <w:tc>
          <w:tcPr>
            <w:tcW w:type="dxa" w:w="1600"/>
          </w:tcPr>
          <w:p>
            <w:r>
              <w:t>9</w:t>
            </w:r>
          </w:p>
        </w:tc>
      </w:tr>
      <w:tr>
        <w:tc>
          <w:tcPr>
            <w:tcW w:type="dxa" w:w="900"/>
          </w:tcPr>
          <w:p>
            <w:r>
              <w:rPr>
                <w:b/>
              </w:rPr>
              <w:t>Unit‑4</w:t>
            </w:r>
          </w:p>
        </w:tc>
        <w:tc>
          <w:tcPr>
            <w:tcW w:type="dxa" w:w="2748"/>
          </w:tcPr>
          <w:p>
            <w:r>
              <w:rPr>
                <w:b/>
              </w:rPr>
              <w:t>Sub Total</w:t>
            </w:r>
          </w:p>
        </w:tc>
        <w:tc>
          <w:tcPr>
            <w:tcW w:type="dxa" w:w="1700"/>
          </w:tcPr>
          <w:p>
            <w:r>
              <w:rPr>
                <w:b/>
              </w:rPr>
              <w:t>103</w:t>
            </w:r>
          </w:p>
        </w:tc>
        <w:tc>
          <w:tcPr>
            <w:tcW w:type="dxa" w:w="1700"/>
          </w:tcPr>
          <w:p>
            <w:r>
              <w:rPr>
                <w:b/>
              </w:rPr>
              <w:t>88</w:t>
            </w:r>
          </w:p>
        </w:tc>
        <w:tc>
          <w:tcPr>
            <w:tcW w:type="dxa" w:w="1700"/>
          </w:tcPr>
          <w:p>
            <w:r>
              <w:rPr>
                <w:b/>
              </w:rPr>
              <w:t>6</w:t>
            </w:r>
          </w:p>
        </w:tc>
        <w:tc>
          <w:tcPr>
            <w:tcW w:type="dxa" w:w="1600"/>
          </w:tcPr>
          <w:p>
            <w:r>
              <w:rPr>
                <w:b/>
              </w:rPr>
              <w:t>9</w:t>
            </w:r>
          </w:p>
        </w:tc>
      </w:tr>
      <w:tr>
        <w:tc>
          <w:tcPr>
            <w:tcW w:type="dxa" w:w="900"/>
          </w:tcPr>
          <w:p>
            <w:r>
              <w:rPr>
                <w:b/>
              </w:rPr>
              <w:t>Total</w:t>
            </w:r>
          </w:p>
        </w:tc>
        <w:tc>
          <w:tcPr>
            <w:tcW w:type="dxa" w:w="2748"/>
          </w:tcPr>
          <w:p>
            <w:r>
              <w:rPr>
                <w:b/>
              </w:rPr>
              <w:t>Unit‑2 and Unit‑4</w:t>
            </w:r>
          </w:p>
        </w:tc>
        <w:tc>
          <w:tcPr>
            <w:tcW w:type="dxa" w:w="1700"/>
          </w:tcPr>
          <w:p>
            <w:r>
              <w:rPr>
                <w:b/>
              </w:rPr>
              <w:t>145</w:t>
            </w:r>
          </w:p>
        </w:tc>
        <w:tc>
          <w:tcPr>
            <w:tcW w:type="dxa" w:w="1700"/>
          </w:tcPr>
          <w:p>
            <w:r>
              <w:rPr>
                <w:b/>
              </w:rPr>
              <w:t>130</w:t>
            </w:r>
          </w:p>
        </w:tc>
        <w:tc>
          <w:tcPr>
            <w:tcW w:type="dxa" w:w="1700"/>
          </w:tcPr>
          <w:p>
            <w:r>
              <w:rPr>
                <w:b/>
              </w:rPr>
              <w:t>6</w:t>
            </w:r>
          </w:p>
        </w:tc>
        <w:tc>
          <w:tcPr>
            <w:tcW w:type="dxa" w:w="1600"/>
          </w:tcPr>
          <w:p>
            <w:r>
              <w:rPr>
                <w:b/>
              </w:rPr>
              <w:t>9</w:t>
            </w:r>
          </w:p>
        </w:tc>
      </w:tr>
    </w:tbl>
    <w:p>
      <w:pPr>
        <w:pStyle w:val="Caption"/>
      </w:pPr>
      <w:r>
        <w:t>Table: Summary of machines considered in scope – Unit‑2 and Unit‑4</w:t>
      </w:r>
    </w:p>
    <w:p>
      <w:pPr>
        <w:pStyle w:val="Heading3"/>
      </w:pPr>
      <w:r>
        <w:rPr>
          <w:b w:val="0"/>
          <w:i w:val="0"/>
        </w:rPr>
        <w:t>Unit‑2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1000"/>
        <w:gridCol w:w="1200"/>
        <w:gridCol w:w="450"/>
        <w:gridCol w:w="1250"/>
        <w:gridCol w:w="1050"/>
        <w:gridCol w:w="1500"/>
        <w:gridCol w:w="1450"/>
        <w:gridCol w:w="1928"/>
      </w:tblGrid>
      <w:tr>
        <w:trPr>
          <w:tblHeader/>
        </w:trPr>
        <w:tc>
          <w:tcPr>
            <w:tcW w:type="dxa" w:w="520"/>
          </w:tcPr>
          <w:p>
            <w:pPr>
              <w:spacing w:before="0" w:after="0" w:line="240" w:lineRule="auto"/>
            </w:pPr>
            <w:r>
              <w:rPr>
                <w:sz w:val="16"/>
              </w:rPr>
              <w:t>S.No</w:t>
            </w:r>
          </w:p>
        </w:tc>
        <w:tc>
          <w:tcPr>
            <w:tcW w:type="dxa" w:w="1000"/>
          </w:tcPr>
          <w:p>
            <w:pPr>
              <w:spacing w:before="0" w:after="0" w:line="240" w:lineRule="auto"/>
            </w:pPr>
            <w:r>
              <w:rPr>
                <w:sz w:val="16"/>
              </w:rPr>
              <w:t>Process Area</w:t>
            </w:r>
          </w:p>
        </w:tc>
        <w:tc>
          <w:tcPr>
            <w:tcW w:type="dxa" w:w="1200"/>
          </w:tcPr>
          <w:p>
            <w:pPr>
              <w:spacing w:before="0" w:after="0" w:line="240" w:lineRule="auto"/>
            </w:pPr>
            <w:r>
              <w:rPr>
                <w:sz w:val="16"/>
              </w:rPr>
              <w:t>Machine Group</w:t>
            </w:r>
          </w:p>
        </w:tc>
        <w:tc>
          <w:tcPr>
            <w:tcW w:type="dxa" w:w="450"/>
          </w:tcPr>
          <w:p>
            <w:pPr>
              <w:spacing w:before="0" w:after="0" w:line="240" w:lineRule="auto"/>
            </w:pPr>
            <w:r>
              <w:rPr>
                <w:sz w:val="16"/>
              </w:rPr>
              <w:t>Qty</w:t>
            </w:r>
          </w:p>
        </w:tc>
        <w:tc>
          <w:tcPr>
            <w:tcW w:type="dxa" w:w="1250"/>
          </w:tcPr>
          <w:p>
            <w:pPr>
              <w:spacing w:before="0" w:after="0" w:line="240" w:lineRule="auto"/>
            </w:pPr>
            <w:r>
              <w:rPr>
                <w:sz w:val="16"/>
              </w:rPr>
              <w:t>PLC Make</w:t>
            </w:r>
          </w:p>
        </w:tc>
        <w:tc>
          <w:tcPr>
            <w:tcW w:type="dxa" w:w="1050"/>
          </w:tcPr>
          <w:p>
            <w:pPr>
              <w:spacing w:before="0" w:after="0" w:line="240" w:lineRule="auto"/>
            </w:pPr>
            <w:r>
              <w:rPr>
                <w:sz w:val="16"/>
              </w:rPr>
              <w:t>PLC Model</w:t>
            </w:r>
          </w:p>
        </w:tc>
        <w:tc>
          <w:tcPr>
            <w:tcW w:type="dxa" w:w="1500"/>
          </w:tcPr>
          <w:p>
            <w:pPr>
              <w:spacing w:before="0" w:after="0" w:line="240" w:lineRule="auto"/>
            </w:pPr>
            <w:r>
              <w:rPr>
                <w:sz w:val="16"/>
              </w:rPr>
              <w:t>Existing Communication</w:t>
            </w:r>
          </w:p>
        </w:tc>
        <w:tc>
          <w:tcPr>
            <w:tcW w:type="dxa" w:w="1450"/>
          </w:tcPr>
          <w:p>
            <w:pPr>
              <w:spacing w:before="0" w:after="0" w:line="240" w:lineRule="auto"/>
            </w:pPr>
            <w:r>
              <w:rPr>
                <w:sz w:val="16"/>
              </w:rPr>
              <w:t>Recommended Interfacing Hardware</w:t>
            </w:r>
          </w:p>
        </w:tc>
        <w:tc>
          <w:tcPr>
            <w:tcW w:type="dxa" w:w="1928"/>
          </w:tcPr>
          <w:p>
            <w:pPr>
              <w:spacing w:before="0" w:after="0" w:line="240" w:lineRule="auto"/>
            </w:pPr>
            <w:r>
              <w:rPr>
                <w:sz w:val="16"/>
              </w:rPr>
              <w:t>SmartMES Communication</w:t>
            </w:r>
          </w:p>
        </w:tc>
      </w:tr>
      <w:tr>
        <w:tc>
          <w:tcPr>
            <w:tcW w:type="dxa" w:w="520"/>
          </w:tcPr>
          <w:p>
            <w:pPr>
              <w:spacing w:before="0" w:after="0" w:line="240" w:lineRule="auto"/>
            </w:pPr>
            <w:r>
              <w:rPr>
                <w:sz w:val="16"/>
              </w:rPr>
              <w:t>1</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J‑1 to J‑25, J‑54 to J‑56</w:t>
            </w:r>
          </w:p>
        </w:tc>
        <w:tc>
          <w:tcPr>
            <w:tcW w:type="dxa" w:w="450"/>
          </w:tcPr>
          <w:p>
            <w:pPr>
              <w:spacing w:before="0" w:after="0" w:line="240" w:lineRule="auto"/>
            </w:pPr>
            <w:r>
              <w:rPr>
                <w:sz w:val="16"/>
              </w:rPr>
              <w:t>28</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2</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OTR‑1</w:t>
            </w:r>
          </w:p>
        </w:tc>
        <w:tc>
          <w:tcPr>
            <w:tcW w:type="dxa" w:w="450"/>
          </w:tcPr>
          <w:p>
            <w:pPr>
              <w:spacing w:before="0" w:after="0" w:line="240" w:lineRule="auto"/>
            </w:pPr>
            <w:r>
              <w:rPr>
                <w:sz w:val="16"/>
              </w:rPr>
              <w:t>1</w:t>
            </w:r>
          </w:p>
        </w:tc>
        <w:tc>
          <w:tcPr>
            <w:tcW w:type="dxa" w:w="1250"/>
          </w:tcPr>
          <w:p>
            <w:pPr>
              <w:spacing w:before="0" w:after="0" w:line="240" w:lineRule="auto"/>
            </w:pPr>
            <w:r>
              <w:rPr>
                <w:sz w:val="16"/>
              </w:rPr>
              <w:t>Allen‑Bradley</w:t>
            </w:r>
          </w:p>
        </w:tc>
        <w:tc>
          <w:tcPr>
            <w:tcW w:type="dxa" w:w="1050"/>
          </w:tcPr>
          <w:p>
            <w:pPr>
              <w:spacing w:before="0" w:after="0" w:line="240" w:lineRule="auto"/>
            </w:pPr>
            <w:r>
              <w:rPr>
                <w:sz w:val="16"/>
              </w:rPr>
              <w:t>SLC500</w:t>
            </w:r>
          </w:p>
        </w:tc>
        <w:tc>
          <w:tcPr>
            <w:tcW w:type="dxa" w:w="1500"/>
          </w:tcPr>
          <w:p>
            <w:pPr>
              <w:spacing w:before="0" w:after="0" w:line="240" w:lineRule="auto"/>
            </w:pPr>
            <w:r>
              <w:rPr>
                <w:sz w:val="16"/>
              </w:rPr>
              <w:t>RS232</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(Allen‑Bradley Ethernet Driver)</w:t>
            </w:r>
          </w:p>
        </w:tc>
      </w:tr>
      <w:tr>
        <w:tc>
          <w:tcPr>
            <w:tcW w:type="dxa" w:w="520"/>
          </w:tcPr>
          <w:p>
            <w:pPr>
              <w:spacing w:before="0" w:after="0" w:line="240" w:lineRule="auto"/>
            </w:pPr>
            <w:r>
              <w:rPr>
                <w:sz w:val="16"/>
              </w:rPr>
              <w:t>3</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AMCL‑1 to AMCL‑6</w:t>
            </w:r>
          </w:p>
        </w:tc>
        <w:tc>
          <w:tcPr>
            <w:tcW w:type="dxa" w:w="450"/>
          </w:tcPr>
          <w:p>
            <w:pPr>
              <w:spacing w:before="0" w:after="0" w:line="240" w:lineRule="auto"/>
            </w:pPr>
            <w:r>
              <w:rPr>
                <w:sz w:val="16"/>
              </w:rPr>
              <w:t>6</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4</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LNT‑1 to LNT‑5</w:t>
            </w:r>
          </w:p>
        </w:tc>
        <w:tc>
          <w:tcPr>
            <w:tcW w:type="dxa" w:w="450"/>
          </w:tcPr>
          <w:p>
            <w:pPr>
              <w:spacing w:before="0" w:after="0" w:line="240" w:lineRule="auto"/>
            </w:pPr>
            <w:r>
              <w:rPr>
                <w:sz w:val="16"/>
              </w:rPr>
              <w:t>5</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5</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AMCL‑7 &amp; AMCL‑8</w:t>
            </w:r>
          </w:p>
        </w:tc>
        <w:tc>
          <w:tcPr>
            <w:tcW w:type="dxa" w:w="450"/>
          </w:tcPr>
          <w:p>
            <w:pPr>
              <w:spacing w:before="0" w:after="0" w:line="240" w:lineRule="auto"/>
            </w:pPr>
            <w:r>
              <w:rPr>
                <w:sz w:val="16"/>
              </w:rPr>
              <w:t>2</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FX5U</w:t>
            </w:r>
          </w:p>
        </w:tc>
        <w:tc>
          <w:tcPr>
            <w:tcW w:type="dxa" w:w="1500"/>
          </w:tcPr>
          <w:p>
            <w:pPr>
              <w:spacing w:before="0" w:after="0" w:line="240" w:lineRule="auto"/>
            </w:pPr>
            <w:r>
              <w:rPr>
                <w:sz w:val="16"/>
              </w:rPr>
              <w:t>Built‑in Ethernet</w:t>
            </w:r>
          </w:p>
        </w:tc>
        <w:tc>
          <w:tcPr>
            <w:tcW w:type="dxa" w:w="1450"/>
          </w:tcPr>
          <w:p>
            <w:pPr>
              <w:spacing w:before="0" w:after="0" w:line="240" w:lineRule="auto"/>
            </w:pPr>
            <w:r>
              <w:rPr>
                <w:sz w:val="16"/>
              </w:rPr>
              <w:t>Use built‑in Ethernet port</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b/>
                <w:sz w:val="16"/>
              </w:rPr>
            </w:r>
          </w:p>
        </w:tc>
        <w:tc>
          <w:tcPr>
            <w:tcW w:type="dxa" w:w="1000"/>
          </w:tcPr>
          <w:p>
            <w:pPr>
              <w:spacing w:before="0" w:after="0" w:line="240" w:lineRule="auto"/>
            </w:pPr>
            <w:r>
              <w:rPr>
                <w:b/>
                <w:sz w:val="16"/>
              </w:rPr>
              <w:t>Total</w:t>
            </w:r>
          </w:p>
        </w:tc>
        <w:tc>
          <w:tcPr>
            <w:tcW w:type="dxa" w:w="1200"/>
          </w:tcPr>
          <w:p>
            <w:pPr>
              <w:spacing w:before="0" w:after="0" w:line="240" w:lineRule="auto"/>
            </w:pPr>
            <w:r>
              <w:rPr>
                <w:b/>
                <w:sz w:val="16"/>
              </w:rPr>
            </w:r>
          </w:p>
        </w:tc>
        <w:tc>
          <w:tcPr>
            <w:tcW w:type="dxa" w:w="450"/>
          </w:tcPr>
          <w:p>
            <w:pPr>
              <w:spacing w:before="0" w:after="0" w:line="240" w:lineRule="auto"/>
            </w:pPr>
            <w:r>
              <w:rPr>
                <w:b/>
                <w:sz w:val="16"/>
              </w:rPr>
              <w:t>42</w:t>
            </w:r>
          </w:p>
        </w:tc>
        <w:tc>
          <w:tcPr>
            <w:tcW w:type="dxa" w:w="1250"/>
          </w:tcPr>
          <w:p>
            <w:pPr>
              <w:spacing w:before="0" w:after="0" w:line="240" w:lineRule="auto"/>
            </w:pPr>
            <w:r>
              <w:rPr>
                <w:b/>
                <w:sz w:val="16"/>
              </w:rPr>
            </w:r>
          </w:p>
        </w:tc>
        <w:tc>
          <w:tcPr>
            <w:tcW w:type="dxa" w:w="1050"/>
          </w:tcPr>
          <w:p>
            <w:pPr>
              <w:spacing w:before="0" w:after="0" w:line="240" w:lineRule="auto"/>
            </w:pPr>
            <w:r>
              <w:rPr>
                <w:b/>
                <w:sz w:val="16"/>
              </w:rPr>
            </w:r>
          </w:p>
        </w:tc>
        <w:tc>
          <w:tcPr>
            <w:tcW w:type="dxa" w:w="1500"/>
          </w:tcPr>
          <w:p>
            <w:pPr>
              <w:spacing w:before="0" w:after="0" w:line="240" w:lineRule="auto"/>
            </w:pPr>
            <w:r>
              <w:rPr>
                <w:b/>
                <w:sz w:val="16"/>
              </w:rPr>
            </w:r>
          </w:p>
        </w:tc>
        <w:tc>
          <w:tcPr>
            <w:tcW w:type="dxa" w:w="1450"/>
          </w:tcPr>
          <w:p>
            <w:pPr>
              <w:spacing w:before="0" w:after="0" w:line="240" w:lineRule="auto"/>
            </w:pPr>
            <w:r>
              <w:rPr>
                <w:b/>
                <w:sz w:val="16"/>
              </w:rPr>
            </w:r>
          </w:p>
        </w:tc>
        <w:tc>
          <w:tcPr>
            <w:tcW w:type="dxa" w:w="1928"/>
          </w:tcPr>
          <w:p>
            <w:pPr>
              <w:spacing w:before="0" w:after="0" w:line="240" w:lineRule="auto"/>
            </w:pPr>
            <w:r>
              <w:rPr>
                <w:b/>
                <w:sz w:val="16"/>
              </w:rPr>
            </w:r>
          </w:p>
        </w:tc>
      </w:tr>
    </w:tbl>
    <w:p>
      <w:pPr>
        <w:pStyle w:val="Caption"/>
      </w:pPr>
      <w:r>
        <w:t>Table: Unit‑2 machine and control system details</w:t>
      </w:r>
    </w:p>
    <w:p>
      <w:pPr/>
      <w:r>
        <w:rPr>
          <w:b w:val="0"/>
        </w:rPr>
        <w:t>On the FX2N and SLC500 machines the RS232 port is occupied by the HMI, so no external communication port is free; the recommended OEM Ethernet communication module addresses this. Programming software required for these machines is GX Developer (Mitsubishi) and RSLogix (Allen‑Bradley).</w:t>
      </w:r>
    </w:p>
    <w:p>
      <w:pPr/>
      <w:r>
        <w:t>The interfacing hardware recommended for each controller type in Unit‑2 is given below. Final selection is to be confirmed against the installed hardware configuration of each machine during the Functional Design phase.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250"/>
        <w:gridCol w:w="1000"/>
        <w:gridCol w:w="3200"/>
        <w:gridCol w:w="1500"/>
        <w:gridCol w:w="2498"/>
      </w:tblGrid>
      <w:tr>
        <w:trPr>
          <w:tblHeader/>
        </w:trPr>
        <w:tc>
          <w:tcPr>
            <w:tcW w:type="dxa" w:w="900"/>
          </w:tcPr>
          <w:p>
            <w:r>
              <w:rPr>
                <w:sz w:val="16"/>
              </w:rPr>
              <w:t>Process Area</w:t>
            </w:r>
          </w:p>
        </w:tc>
        <w:tc>
          <w:tcPr>
            <w:tcW w:type="dxa" w:w="1250"/>
          </w:tcPr>
          <w:p>
            <w:r>
              <w:rPr>
                <w:sz w:val="16"/>
              </w:rPr>
              <w:t>PLC Make</w:t>
            </w:r>
          </w:p>
        </w:tc>
        <w:tc>
          <w:tcPr>
            <w:tcW w:type="dxa" w:w="1000"/>
          </w:tcPr>
          <w:p>
            <w:r>
              <w:rPr>
                <w:sz w:val="16"/>
              </w:rPr>
              <w:t>PLC Model</w:t>
            </w:r>
          </w:p>
        </w:tc>
        <w:tc>
          <w:tcPr>
            <w:tcW w:type="dxa" w:w="3200"/>
          </w:tcPr>
          <w:p>
            <w:r>
              <w:rPr>
                <w:sz w:val="16"/>
              </w:rPr>
              <w:t>Recommended Hardware</w:t>
            </w:r>
          </w:p>
        </w:tc>
        <w:tc>
          <w:tcPr>
            <w:tcW w:type="dxa" w:w="1500"/>
          </w:tcPr>
          <w:p>
            <w:r>
              <w:rPr>
                <w:sz w:val="16"/>
              </w:rPr>
              <w:t>Kepware Connectivity</w:t>
            </w:r>
          </w:p>
        </w:tc>
        <w:tc>
          <w:tcPr>
            <w:tcW w:type="dxa" w:w="2498"/>
          </w:tcPr>
          <w:p>
            <w:r>
              <w:rPr>
                <w:sz w:val="16"/>
              </w:rPr>
              <w:t>Remarks</w:t>
            </w:r>
          </w:p>
        </w:tc>
      </w:tr>
      <w:tr>
        <w:tc>
          <w:tcPr>
            <w:tcW w:type="dxa" w:w="900"/>
          </w:tcPr>
          <w:p>
            <w:r>
              <w:rPr>
                <w:sz w:val="16"/>
              </w:rPr>
              <w:t>TBB / LCV</w:t>
            </w:r>
          </w:p>
        </w:tc>
        <w:tc>
          <w:tcPr>
            <w:tcW w:type="dxa" w:w="1250"/>
          </w:tcPr>
          <w:p>
            <w:r>
              <w:rPr>
                <w:sz w:val="16"/>
              </w:rPr>
              <w:t>Mitsubishi</w:t>
            </w:r>
          </w:p>
        </w:tc>
        <w:tc>
          <w:tcPr>
            <w:tcW w:type="dxa" w:w="1000"/>
          </w:tcPr>
          <w:p>
            <w:r>
              <w:rPr>
                <w:sz w:val="16"/>
              </w:rPr>
              <w:t>FX2N‑64MR</w:t>
            </w:r>
          </w:p>
        </w:tc>
        <w:tc>
          <w:tcPr>
            <w:tcW w:type="dxa" w:w="3200"/>
          </w:tcPr>
          <w:p>
            <w:r>
              <w:rPr>
                <w:b/>
                <w:sz w:val="16"/>
              </w:rPr>
              <w:t>Mitsubishi FX2NC‑ENET‑ADP</w:t>
            </w:r>
            <w:r>
              <w:rPr>
                <w:sz w:val="16"/>
              </w:rPr>
              <w:t xml:space="preserve"> (Ethernet Adapter) or an OEM‑compatible Ethernet communication solution for the installed FX2N configuration</w:t>
            </w:r>
          </w:p>
        </w:tc>
        <w:tc>
          <w:tcPr>
            <w:tcW w:type="dxa" w:w="1500"/>
          </w:tcPr>
          <w:p>
            <w:r>
              <w:rPr>
                <w:sz w:val="16"/>
              </w:rPr>
              <w:t>Mitsubishi Ethernet Driver</w:t>
            </w:r>
          </w:p>
        </w:tc>
        <w:tc>
          <w:tcPr>
            <w:tcW w:type="dxa" w:w="2498"/>
          </w:tcPr>
          <w:p>
            <w:r>
              <w:rPr>
                <w:sz w:val="16"/>
              </w:rPr>
              <w:t>Mitsubishi documentation shows Ethernet adapters for FX2N‑family controllers, but implementation depends on the installed hardware configuration.</w:t>
            </w:r>
          </w:p>
        </w:tc>
      </w:tr>
      <w:tr>
        <w:tc>
          <w:tcPr>
            <w:tcW w:type="dxa" w:w="900"/>
          </w:tcPr>
          <w:p>
            <w:r>
              <w:rPr>
                <w:sz w:val="16"/>
              </w:rPr>
              <w:t>TBB</w:t>
            </w:r>
          </w:p>
        </w:tc>
        <w:tc>
          <w:tcPr>
            <w:tcW w:type="dxa" w:w="1250"/>
          </w:tcPr>
          <w:p>
            <w:r>
              <w:rPr>
                <w:sz w:val="16"/>
              </w:rPr>
              <w:t>Allen‑Bradley</w:t>
            </w:r>
          </w:p>
        </w:tc>
        <w:tc>
          <w:tcPr>
            <w:tcW w:type="dxa" w:w="1000"/>
          </w:tcPr>
          <w:p>
            <w:r>
              <w:rPr>
                <w:sz w:val="16"/>
              </w:rPr>
              <w:t>SLC500</w:t>
            </w:r>
          </w:p>
        </w:tc>
        <w:tc>
          <w:tcPr>
            <w:tcW w:type="dxa" w:w="3200"/>
          </w:tcPr>
          <w:p>
            <w:r>
              <w:rPr>
                <w:b/>
                <w:sz w:val="16"/>
              </w:rPr>
              <w:t>1747‑AENTR EtherNet/IP Adapter</w:t>
            </w:r>
          </w:p>
        </w:tc>
        <w:tc>
          <w:tcPr>
            <w:tcW w:type="dxa" w:w="1500"/>
          </w:tcPr>
          <w:p>
            <w:r>
              <w:rPr>
                <w:sz w:val="16"/>
              </w:rPr>
              <w:t>Allen‑Bradley Ethernet Driver</w:t>
            </w:r>
          </w:p>
        </w:tc>
        <w:tc>
          <w:tcPr>
            <w:tcW w:type="dxa" w:w="2498"/>
          </w:tcPr>
          <w:p>
            <w:r>
              <w:rPr>
                <w:sz w:val="16"/>
              </w:rPr>
              <w:t>Provides EtherNet/IP connectivity for SLC500 systems.</w:t>
            </w:r>
          </w:p>
        </w:tc>
      </w:tr>
      <w:tr>
        <w:tc>
          <w:tcPr>
            <w:tcW w:type="dxa" w:w="900"/>
          </w:tcPr>
          <w:p>
            <w:r>
              <w:rPr>
                <w:sz w:val="16"/>
              </w:rPr>
              <w:t>LCV</w:t>
            </w:r>
          </w:p>
        </w:tc>
        <w:tc>
          <w:tcPr>
            <w:tcW w:type="dxa" w:w="1250"/>
          </w:tcPr>
          <w:p>
            <w:r>
              <w:rPr>
                <w:sz w:val="16"/>
              </w:rPr>
              <w:t>Mitsubishi</w:t>
            </w:r>
          </w:p>
        </w:tc>
        <w:tc>
          <w:tcPr>
            <w:tcW w:type="dxa" w:w="1000"/>
          </w:tcPr>
          <w:p>
            <w:r>
              <w:rPr>
                <w:sz w:val="16"/>
              </w:rPr>
              <w:t>FX5U</w:t>
            </w:r>
          </w:p>
        </w:tc>
        <w:tc>
          <w:tcPr>
            <w:tcW w:type="dxa" w:w="3200"/>
          </w:tcPr>
          <w:p>
            <w:r>
              <w:rPr>
                <w:b/>
                <w:sz w:val="16"/>
              </w:rPr>
              <w:t>No communication module required.</w:t>
            </w:r>
            <w:r>
              <w:rPr>
                <w:sz w:val="16"/>
              </w:rPr>
              <w:t xml:space="preserve"> Use the built‑in Ethernet and isolate it using an Industrial NAT device.</w:t>
            </w:r>
          </w:p>
        </w:tc>
        <w:tc>
          <w:tcPr>
            <w:tcW w:type="dxa" w:w="1500"/>
          </w:tcPr>
          <w:p>
            <w:r>
              <w:rPr>
                <w:sz w:val="16"/>
              </w:rPr>
              <w:t>Mitsubishi Ethernet Driver</w:t>
            </w:r>
          </w:p>
        </w:tc>
        <w:tc>
          <w:tcPr>
            <w:tcW w:type="dxa" w:w="2498"/>
          </w:tcPr>
          <w:p>
            <w:r>
              <w:rPr>
                <w:sz w:val="16"/>
              </w:rPr>
              <w:t>This is the preferred architecture unless the customer specifically requires an additional Ethernet network module.</w:t>
            </w:r>
          </w:p>
        </w:tc>
      </w:tr>
    </w:tbl>
    <w:p>
      <w:pPr>
        <w:pStyle w:val="Caption"/>
      </w:pPr>
      <w:r>
        <w:t>Table: Unit‑2 recommended interfacing hardware</w:t>
      </w:r>
    </w:p>
    <w:p>
      <w:pPr>
        <w:pStyle w:val="Heading3"/>
      </w:pPr>
      <w:r>
        <w:rPr>
          <w:b w:val="0"/>
          <w:i w:val="0"/>
        </w:rPr>
        <w:t>Unit‑4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
        <w:gridCol w:w="1400"/>
        <w:gridCol w:w="2300"/>
        <w:gridCol w:w="1100"/>
        <w:gridCol w:w="1250"/>
        <w:gridCol w:w="2100"/>
        <w:gridCol w:w="1648"/>
      </w:tblGrid>
      <w:tr>
        <w:trPr>
          <w:tblHeader/>
        </w:trPr>
        <w:tc>
          <w:tcPr>
            <w:tcW w:type="dxa" w:w="550"/>
          </w:tcPr>
          <w:p>
            <w:pPr>
              <w:spacing w:before="0" w:after="0" w:line="240" w:lineRule="auto"/>
            </w:pPr>
            <w:r>
              <w:rPr>
                <w:sz w:val="16"/>
              </w:rPr>
              <w:t>S.No</w:t>
            </w:r>
          </w:p>
        </w:tc>
        <w:tc>
          <w:tcPr>
            <w:tcW w:type="dxa" w:w="1400"/>
          </w:tcPr>
          <w:p>
            <w:pPr>
              <w:spacing w:before="0" w:after="0" w:line="240" w:lineRule="auto"/>
            </w:pPr>
            <w:r>
              <w:rPr>
                <w:sz w:val="16"/>
              </w:rPr>
              <w:t>Process Area</w:t>
            </w:r>
          </w:p>
        </w:tc>
        <w:tc>
          <w:tcPr>
            <w:tcW w:type="dxa" w:w="2300"/>
          </w:tcPr>
          <w:p>
            <w:pPr>
              <w:spacing w:before="0" w:after="0" w:line="240" w:lineRule="auto"/>
            </w:pPr>
            <w:r>
              <w:rPr>
                <w:sz w:val="16"/>
              </w:rPr>
              <w:t>Machine No.</w:t>
            </w:r>
          </w:p>
        </w:tc>
        <w:tc>
          <w:tcPr>
            <w:tcW w:type="dxa" w:w="1100"/>
          </w:tcPr>
          <w:p>
            <w:pPr>
              <w:spacing w:before="0" w:after="0" w:line="240" w:lineRule="auto"/>
            </w:pPr>
            <w:r>
              <w:rPr>
                <w:sz w:val="16"/>
              </w:rPr>
              <w:t>PLC Available</w:t>
            </w:r>
          </w:p>
        </w:tc>
        <w:tc>
          <w:tcPr>
            <w:tcW w:type="dxa" w:w="1250"/>
          </w:tcPr>
          <w:p>
            <w:pPr>
              <w:spacing w:before="0" w:after="0" w:line="240" w:lineRule="auto"/>
            </w:pPr>
            <w:r>
              <w:rPr>
                <w:sz w:val="16"/>
              </w:rPr>
              <w:t>PLC Make</w:t>
            </w:r>
          </w:p>
        </w:tc>
        <w:tc>
          <w:tcPr>
            <w:tcW w:type="dxa" w:w="2100"/>
          </w:tcPr>
          <w:p>
            <w:pPr>
              <w:spacing w:before="0" w:after="0" w:line="240" w:lineRule="auto"/>
            </w:pPr>
            <w:r>
              <w:rPr>
                <w:sz w:val="16"/>
              </w:rPr>
              <w:t>PLC Model</w:t>
            </w:r>
          </w:p>
        </w:tc>
        <w:tc>
          <w:tcPr>
            <w:tcW w:type="dxa" w:w="1648"/>
          </w:tcPr>
          <w:p>
            <w:pPr>
              <w:spacing w:before="0" w:after="0" w:line="240" w:lineRule="auto"/>
            </w:pPr>
            <w:r>
              <w:rPr>
                <w:sz w:val="16"/>
              </w:rPr>
              <w:t>Remark</w:t>
            </w:r>
          </w:p>
        </w:tc>
      </w:tr>
      <w:tr>
        <w:tc>
          <w:tcPr>
            <w:tcW w:type="dxa" w:w="550"/>
          </w:tcPr>
          <w:p>
            <w:pPr>
              <w:spacing w:before="0" w:after="0" w:line="240" w:lineRule="auto"/>
            </w:pPr>
            <w:r>
              <w:rPr>
                <w:sz w:val="16"/>
              </w:rPr>
              <w:t>1</w:t>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2</w:t>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313C‑2DP/1214PN</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(CUSHION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t>Machine upgradation work is ongoing</w:t>
            </w:r>
          </w:p>
        </w:tc>
      </w:tr>
      <w:tr>
        <w:tc>
          <w:tcPr>
            <w:tcW w:type="dxa" w:w="550"/>
          </w:tcPr>
          <w:p>
            <w:pPr>
              <w:spacing w:before="0" w:after="0" w:line="240" w:lineRule="auto"/>
            </w:pPr>
            <w:r>
              <w:rPr>
                <w:sz w:val="16"/>
              </w:rPr>
              <w:t>3</w:t>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4</w:t>
            </w:r>
          </w:p>
        </w:tc>
        <w:tc>
          <w:tcPr>
            <w:tcW w:type="dxa" w:w="1400"/>
          </w:tcPr>
          <w:p>
            <w:pPr>
              <w:spacing w:before="0" w:after="0" w:line="240" w:lineRule="auto"/>
            </w:pPr>
            <w:r>
              <w:rPr>
                <w:sz w:val="16"/>
              </w:rPr>
              <w:t>2 Roll Calender -2</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1515‑2PN</w:t>
            </w:r>
          </w:p>
        </w:tc>
        <w:tc>
          <w:tcPr>
            <w:tcW w:type="dxa" w:w="1648"/>
          </w:tcPr>
          <w:p>
            <w:pPr>
              <w:spacing w:before="0" w:after="0" w:line="240" w:lineRule="auto"/>
            </w:pPr>
            <w:r>
              <w:rPr>
                <w:sz w:val="16"/>
              </w:rPr>
            </w:r>
          </w:p>
        </w:tc>
      </w:tr>
      <w:tr>
        <w:tc>
          <w:tcPr>
            <w:tcW w:type="dxa" w:w="550"/>
          </w:tcPr>
          <w:p>
            <w:pPr>
              <w:spacing w:before="0" w:after="0" w:line="240" w:lineRule="auto"/>
            </w:pPr>
            <w:r>
              <w:rPr>
                <w:sz w:val="16"/>
              </w:rPr>
              <w:t>5</w:t>
            </w:r>
          </w:p>
        </w:tc>
        <w:tc>
          <w:tcPr>
            <w:tcW w:type="dxa" w:w="1400"/>
          </w:tcPr>
          <w:p>
            <w:pPr>
              <w:spacing w:before="0" w:after="0" w:line="240" w:lineRule="auto"/>
            </w:pPr>
            <w:r>
              <w:rPr>
                <w:sz w:val="16"/>
              </w:rPr>
              <w:t>2 Roll Calender -3</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3 Roll Calender -3</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6</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7</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8</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9</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11</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S7‑200 (224‑DC/DC/DC)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12</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Long Cutter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FX3G‑24M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13</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14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FX5U‑84MT</w:t>
            </w:r>
          </w:p>
        </w:tc>
        <w:tc>
          <w:tcPr>
            <w:tcW w:type="dxa" w:w="1648"/>
          </w:tcPr>
          <w:p>
            <w:pPr>
              <w:spacing w:before="0" w:after="0" w:line="240" w:lineRule="auto"/>
            </w:pPr>
            <w:r>
              <w:rPr>
                <w:sz w:val="16"/>
              </w:rPr>
            </w:r>
          </w:p>
        </w:tc>
      </w:tr>
      <w:tr>
        <w:tc>
          <w:tcPr>
            <w:tcW w:type="dxa" w:w="550"/>
          </w:tcPr>
          <w:p>
            <w:pPr>
              <w:spacing w:before="0" w:after="0" w:line="240" w:lineRule="auto"/>
            </w:pPr>
            <w:r>
              <w:rPr>
                <w:sz w:val="16"/>
              </w:rPr>
              <w:t>16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BTU‑16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FX2N‑48MR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RB1‑1</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49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RB1‑2</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RB1‑3</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RB1‑4</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RB1‑5</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RB1‑6</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STU‑35</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STU‑36</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59</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60</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61</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62</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63</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64</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65</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66</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85</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86</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87</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88</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89</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90</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91</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92</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93</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94</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96</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97</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FX3G‑60M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98</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99</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100</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101</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102</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103</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104</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106</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Inspection‑1</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107</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Inspection‑2</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108</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Inspection‑3</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109</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Inspection‑4</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110</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Inspection‑5</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111</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Inspection‑6</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112</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Inspection‑7</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113</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Inspection‑8</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114</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Inspection‑9</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b/>
                <w:sz w:val="16"/>
              </w:rPr>
            </w:r>
          </w:p>
        </w:tc>
        <w:tc>
          <w:tcPr>
            <w:tcW w:type="dxa" w:w="1400"/>
          </w:tcPr>
          <w:p>
            <w:pPr>
              <w:spacing w:before="0" w:after="0" w:line="240" w:lineRule="auto"/>
            </w:pPr>
            <w:r>
              <w:rPr>
                <w:b/>
                <w:sz w:val="16"/>
              </w:rPr>
              <w:t>Total</w:t>
            </w:r>
          </w:p>
        </w:tc>
        <w:tc>
          <w:tcPr>
            <w:tcW w:type="dxa" w:w="2300"/>
          </w:tcPr>
          <w:p>
            <w:pPr>
              <w:spacing w:before="0" w:after="0" w:line="240" w:lineRule="auto"/>
            </w:pPr>
            <w:r>
              <w:rPr>
                <w:b/>
                <w:sz w:val="16"/>
              </w:rPr>
            </w:r>
          </w:p>
        </w:tc>
        <w:tc>
          <w:tcPr>
            <w:tcW w:type="dxa" w:w="1100"/>
          </w:tcPr>
          <w:p>
            <w:pPr>
              <w:spacing w:before="0" w:after="0" w:line="240" w:lineRule="auto"/>
            </w:pPr>
            <w:r>
              <w:rPr>
                <w:b/>
                <w:sz w:val="16"/>
              </w:rPr>
              <w:t>103</w:t>
            </w:r>
          </w:p>
        </w:tc>
        <w:tc>
          <w:tcPr>
            <w:tcW w:type="dxa" w:w="1250"/>
          </w:tcPr>
          <w:p>
            <w:pPr>
              <w:spacing w:before="0" w:after="0" w:line="240" w:lineRule="auto"/>
            </w:pPr>
            <w:r>
              <w:rPr>
                <w:b/>
                <w:sz w:val="16"/>
              </w:rPr>
            </w:r>
          </w:p>
        </w:tc>
        <w:tc>
          <w:tcPr>
            <w:tcW w:type="dxa" w:w="2100"/>
          </w:tcPr>
          <w:p>
            <w:pPr>
              <w:spacing w:before="0" w:after="0" w:line="240" w:lineRule="auto"/>
            </w:pPr>
            <w:r>
              <w:rPr>
                <w:b/>
                <w:sz w:val="16"/>
              </w:rPr>
            </w:r>
          </w:p>
        </w:tc>
        <w:tc>
          <w:tcPr>
            <w:tcW w:type="dxa" w:w="1648"/>
          </w:tcPr>
          <w:p>
            <w:pPr>
              <w:spacing w:before="0" w:after="0" w:line="240" w:lineRule="auto"/>
            </w:pPr>
            <w:r>
              <w:rPr>
                <w:b/>
                <w:sz w:val="16"/>
              </w:rPr>
            </w:r>
          </w:p>
        </w:tc>
      </w:tr>
    </w:tbl>
    <w:p>
      <w:pPr>
        <w:pStyle w:val="Caption"/>
      </w:pPr>
      <w:r>
        <w:t>Table: Unit‑4 machine and control system details</w:t>
      </w:r>
    </w:p>
    <w:p>
      <w:pPr/>
      <w:r>
        <w:rPr>
          <w:b w:val="0"/>
        </w:rPr>
        <w:t>The interfacing approach recommended for each controller family in Unit‑4 is given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900"/>
        <w:gridCol w:w="450"/>
        <w:gridCol w:w="1400"/>
        <w:gridCol w:w="1800"/>
        <w:gridCol w:w="1600"/>
        <w:gridCol w:w="1498"/>
      </w:tblGrid>
      <w:tr>
        <w:trPr>
          <w:tblHeader/>
        </w:trPr>
        <w:tc>
          <w:tcPr>
            <w:tcW w:type="dxa" w:w="1700"/>
          </w:tcPr>
          <w:p>
            <w:pPr>
              <w:spacing w:before="0" w:after="0" w:line="240" w:lineRule="auto"/>
            </w:pPr>
            <w:r>
              <w:rPr>
                <w:b w:val="0"/>
                <w:i w:val="0"/>
                <w:sz w:val="16"/>
              </w:rPr>
              <w:t>PLC Family</w:t>
            </w:r>
          </w:p>
        </w:tc>
        <w:tc>
          <w:tcPr>
            <w:tcW w:type="dxa" w:w="1900"/>
          </w:tcPr>
          <w:p>
            <w:pPr>
              <w:spacing w:before="0" w:after="0" w:line="240" w:lineRule="auto"/>
            </w:pPr>
            <w:r>
              <w:rPr>
                <w:b w:val="0"/>
                <w:i w:val="0"/>
                <w:sz w:val="16"/>
              </w:rPr>
              <w:t>Machines</w:t>
            </w:r>
          </w:p>
        </w:tc>
        <w:tc>
          <w:tcPr>
            <w:tcW w:type="dxa" w:w="450"/>
          </w:tcPr>
          <w:p>
            <w:pPr>
              <w:spacing w:before="0" w:after="0" w:line="240" w:lineRule="auto"/>
            </w:pPr>
            <w:r>
              <w:rPr>
                <w:b w:val="0"/>
                <w:i w:val="0"/>
                <w:sz w:val="16"/>
              </w:rPr>
              <w:t>Qty</w:t>
            </w:r>
          </w:p>
        </w:tc>
        <w:tc>
          <w:tcPr>
            <w:tcW w:type="dxa" w:w="1400"/>
          </w:tcPr>
          <w:p>
            <w:pPr>
              <w:spacing w:before="0" w:after="0" w:line="240" w:lineRule="auto"/>
            </w:pPr>
            <w:r>
              <w:rPr>
                <w:b w:val="0"/>
                <w:i w:val="0"/>
                <w:sz w:val="16"/>
              </w:rPr>
              <w:t>Existing Communication</w:t>
            </w:r>
          </w:p>
        </w:tc>
        <w:tc>
          <w:tcPr>
            <w:tcW w:type="dxa" w:w="1800"/>
          </w:tcPr>
          <w:p>
            <w:pPr>
              <w:spacing w:before="0" w:after="0" w:line="240" w:lineRule="auto"/>
            </w:pPr>
            <w:r>
              <w:rPr>
                <w:b w:val="0"/>
                <w:i w:val="0"/>
                <w:sz w:val="16"/>
              </w:rPr>
              <w:t>Recommended Hardware</w:t>
            </w:r>
          </w:p>
        </w:tc>
        <w:tc>
          <w:tcPr>
            <w:tcW w:type="dxa" w:w="1600"/>
          </w:tcPr>
          <w:p>
            <w:pPr>
              <w:spacing w:before="0" w:after="0" w:line="240" w:lineRule="auto"/>
            </w:pPr>
            <w:r>
              <w:rPr>
                <w:b w:val="0"/>
                <w:i w:val="0"/>
                <w:sz w:val="16"/>
              </w:rPr>
              <w:t>Kepware Driver</w:t>
            </w:r>
          </w:p>
        </w:tc>
        <w:tc>
          <w:tcPr>
            <w:tcW w:type="dxa" w:w="1498"/>
          </w:tcPr>
          <w:p>
            <w:pPr>
              <w:spacing w:before="0" w:after="0" w:line="240" w:lineRule="auto"/>
            </w:pPr>
            <w:r>
              <w:rPr>
                <w:b w:val="0"/>
                <w:i w:val="0"/>
                <w:sz w:val="16"/>
              </w:rPr>
              <w:t>Remarks</w:t>
            </w:r>
          </w:p>
        </w:tc>
      </w:tr>
      <w:tr>
        <w:tc>
          <w:tcPr>
            <w:tcW w:type="dxa" w:w="1700"/>
          </w:tcPr>
          <w:p>
            <w:pPr>
              <w:spacing w:before="0" w:after="0" w:line="240" w:lineRule="auto"/>
            </w:pPr>
            <w:r>
              <w:rPr>
                <w:b w:val="0"/>
                <w:i w:val="0"/>
                <w:sz w:val="16"/>
              </w:rPr>
              <w:t>Siemens S7‑300 (CPU 313C‑2DP, 315‑2DP)</w:t>
            </w:r>
          </w:p>
        </w:tc>
        <w:tc>
          <w:tcPr>
            <w:tcW w:type="dxa" w:w="1900"/>
          </w:tcPr>
          <w:p>
            <w:pPr>
              <w:spacing w:before="0" w:after="0" w:line="240" w:lineRule="auto"/>
            </w:pPr>
            <w:r>
              <w:rPr>
                <w:b w:val="0"/>
                <w:i w:val="0"/>
                <w:sz w:val="16"/>
              </w:rPr>
              <w:t>CFE‑1, CFE‑2, 2 Roll Calender, Bias Cutter</w:t>
            </w:r>
          </w:p>
        </w:tc>
        <w:tc>
          <w:tcPr>
            <w:tcW w:type="dxa" w:w="450"/>
          </w:tcPr>
          <w:p>
            <w:pPr>
              <w:spacing w:before="0" w:after="0" w:line="240" w:lineRule="auto"/>
            </w:pPr>
            <w:r>
              <w:rPr>
                <w:b w:val="0"/>
                <w:i w:val="0"/>
                <w:sz w:val="16"/>
              </w:rPr>
              <w:t>12</w:t>
            </w:r>
          </w:p>
        </w:tc>
        <w:tc>
          <w:tcPr>
            <w:tcW w:type="dxa" w:w="1400"/>
          </w:tcPr>
          <w:p>
            <w:pPr>
              <w:spacing w:before="0" w:after="0" w:line="240" w:lineRule="auto"/>
            </w:pPr>
            <w:r>
              <w:rPr>
                <w:b w:val="0"/>
                <w:i w:val="0"/>
                <w:sz w:val="16"/>
              </w:rPr>
              <w:t>MPI / Profibus DP</w:t>
            </w:r>
          </w:p>
        </w:tc>
        <w:tc>
          <w:tcPr>
            <w:tcW w:type="dxa" w:w="1800"/>
          </w:tcPr>
          <w:p>
            <w:pPr>
              <w:spacing w:before="0" w:after="0" w:line="240" w:lineRule="auto"/>
            </w:pPr>
            <w:r>
              <w:rPr>
                <w:b/>
                <w:i w:val="0"/>
                <w:sz w:val="16"/>
              </w:rPr>
              <w:t>CP343‑1 Ethernet Communication Processor</w:t>
            </w:r>
          </w:p>
        </w:tc>
        <w:tc>
          <w:tcPr>
            <w:tcW w:type="dxa" w:w="1600"/>
          </w:tcPr>
          <w:p>
            <w:pPr>
              <w:spacing w:before="0" w:after="0" w:line="240" w:lineRule="auto"/>
            </w:pPr>
            <w:r>
              <w:rPr>
                <w:b w:val="0"/>
                <w:i w:val="0"/>
                <w:sz w:val="16"/>
              </w:rPr>
              <w:t>Siemens TCP/IP Ethernet</w:t>
            </w:r>
          </w:p>
        </w:tc>
        <w:tc>
          <w:tcPr>
            <w:tcW w:type="dxa" w:w="1498"/>
          </w:tcPr>
          <w:p>
            <w:pPr>
              <w:spacing w:before="0" w:after="0" w:line="240" w:lineRule="auto"/>
            </w:pPr>
            <w:r>
              <w:rPr>
                <w:b w:val="0"/>
                <w:i w:val="0"/>
                <w:sz w:val="16"/>
              </w:rPr>
              <w:t>Preferred OEM Ethernet interface for S7‑300.</w:t>
            </w:r>
          </w:p>
        </w:tc>
      </w:tr>
      <w:tr>
        <w:tc>
          <w:tcPr>
            <w:tcW w:type="dxa" w:w="1700"/>
          </w:tcPr>
          <w:p>
            <w:pPr>
              <w:spacing w:before="0" w:after="0" w:line="240" w:lineRule="auto"/>
            </w:pPr>
            <w:r>
              <w:rPr>
                <w:b w:val="0"/>
                <w:i w:val="0"/>
                <w:sz w:val="16"/>
              </w:rPr>
              <w:t>Siemens S7‑1200 (CPU 1214C)</w:t>
            </w:r>
          </w:p>
        </w:tc>
        <w:tc>
          <w:tcPr>
            <w:tcW w:type="dxa" w:w="1900"/>
          </w:tcPr>
          <w:p>
            <w:pPr>
              <w:spacing w:before="0" w:after="0" w:line="240" w:lineRule="auto"/>
            </w:pPr>
            <w:r>
              <w:rPr>
                <w:b w:val="0"/>
                <w:i w:val="0"/>
                <w:sz w:val="16"/>
              </w:rPr>
              <w:t>STU‑32, STU‑33, STU‑34, CFE‑2 (1214PN)</w:t>
            </w:r>
          </w:p>
        </w:tc>
        <w:tc>
          <w:tcPr>
            <w:tcW w:type="dxa" w:w="450"/>
          </w:tcPr>
          <w:p>
            <w:pPr>
              <w:spacing w:before="0" w:after="0" w:line="240" w:lineRule="auto"/>
            </w:pPr>
            <w:r>
              <w:rPr>
                <w:b w:val="0"/>
                <w:i w:val="0"/>
                <w:sz w:val="16"/>
              </w:rPr>
              <w:t>4</w:t>
            </w:r>
          </w:p>
        </w:tc>
        <w:tc>
          <w:tcPr>
            <w:tcW w:type="dxa" w:w="1400"/>
          </w:tcPr>
          <w:p>
            <w:pPr>
              <w:spacing w:before="0" w:after="0" w:line="240" w:lineRule="auto"/>
            </w:pPr>
            <w:r>
              <w:rPr>
                <w:b w:val="0"/>
                <w:i w:val="0"/>
                <w:sz w:val="16"/>
              </w:rPr>
              <w:t>Built‑in Ethernet (Profinet)</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Siemens TCP/IP Ethernet</w:t>
            </w:r>
          </w:p>
        </w:tc>
        <w:tc>
          <w:tcPr>
            <w:tcW w:type="dxa" w:w="1498"/>
          </w:tcPr>
          <w:p>
            <w:pPr>
              <w:spacing w:before="0" w:after="0" w:line="240" w:lineRule="auto"/>
            </w:pPr>
            <w:r>
              <w:rPr>
                <w:b w:val="0"/>
                <w:i w:val="0"/>
                <w:sz w:val="16"/>
              </w:rPr>
              <w:t>Use built‑in Ethernet. NAT provides network isolation and avoids IP conflicts.</w:t>
            </w:r>
          </w:p>
        </w:tc>
      </w:tr>
      <w:tr>
        <w:tc>
          <w:tcPr>
            <w:tcW w:type="dxa" w:w="1700"/>
          </w:tcPr>
          <w:p>
            <w:pPr>
              <w:spacing w:before="0" w:after="0" w:line="240" w:lineRule="auto"/>
            </w:pPr>
            <w:r>
              <w:rPr>
                <w:b w:val="0"/>
                <w:i w:val="0"/>
                <w:sz w:val="16"/>
              </w:rPr>
              <w:t>Siemens S7‑200 (CPU 224 DC/DC/DC)</w:t>
            </w:r>
          </w:p>
        </w:tc>
        <w:tc>
          <w:tcPr>
            <w:tcW w:type="dxa" w:w="1900"/>
          </w:tcPr>
          <w:p>
            <w:pPr>
              <w:spacing w:before="0" w:after="0" w:line="240" w:lineRule="auto"/>
            </w:pPr>
            <w:r>
              <w:rPr>
                <w:b w:val="0"/>
                <w:i w:val="0"/>
                <w:sz w:val="16"/>
              </w:rPr>
              <w:t>Fabric Cutter (Multislitter)</w:t>
            </w:r>
          </w:p>
        </w:tc>
        <w:tc>
          <w:tcPr>
            <w:tcW w:type="dxa" w:w="450"/>
          </w:tcPr>
          <w:p>
            <w:pPr>
              <w:spacing w:before="0" w:after="0" w:line="240" w:lineRule="auto"/>
            </w:pPr>
            <w:r>
              <w:rPr>
                <w:b w:val="0"/>
                <w:i w:val="0"/>
                <w:sz w:val="16"/>
              </w:rPr>
              <w:t>1</w:t>
            </w:r>
          </w:p>
        </w:tc>
        <w:tc>
          <w:tcPr>
            <w:tcW w:type="dxa" w:w="1400"/>
          </w:tcPr>
          <w:p>
            <w:pPr>
              <w:spacing w:before="0" w:after="0" w:line="240" w:lineRule="auto"/>
            </w:pPr>
            <w:r>
              <w:rPr>
                <w:b w:val="0"/>
                <w:i w:val="0"/>
                <w:sz w:val="16"/>
              </w:rPr>
              <w:t>PPI / RS485</w:t>
            </w:r>
          </w:p>
        </w:tc>
        <w:tc>
          <w:tcPr>
            <w:tcW w:type="dxa" w:w="1800"/>
          </w:tcPr>
          <w:p>
            <w:pPr>
              <w:spacing w:before="0" w:after="0" w:line="240" w:lineRule="auto"/>
            </w:pPr>
            <w:r>
              <w:rPr>
                <w:b/>
                <w:i w:val="0"/>
                <w:sz w:val="16"/>
              </w:rPr>
              <w:t>CP243‑1 Ethernet Module</w:t>
            </w:r>
          </w:p>
        </w:tc>
        <w:tc>
          <w:tcPr>
            <w:tcW w:type="dxa" w:w="1600"/>
          </w:tcPr>
          <w:p>
            <w:pPr>
              <w:spacing w:before="0" w:after="0" w:line="240" w:lineRule="auto"/>
            </w:pPr>
            <w:r>
              <w:rPr>
                <w:b w:val="0"/>
                <w:i w:val="0"/>
                <w:sz w:val="16"/>
              </w:rPr>
              <w:t>Siemens S7‑200 Ethernet Driver</w:t>
            </w:r>
          </w:p>
        </w:tc>
        <w:tc>
          <w:tcPr>
            <w:tcW w:type="dxa" w:w="1498"/>
          </w:tcPr>
          <w:p>
            <w:pPr>
              <w:spacing w:before="0" w:after="0" w:line="240" w:lineRule="auto"/>
            </w:pPr>
            <w:r>
              <w:rPr>
                <w:b w:val="0"/>
                <w:i w:val="0"/>
                <w:sz w:val="16"/>
              </w:rPr>
              <w:t>Preferred OEM Ethernet communication.</w:t>
            </w:r>
          </w:p>
        </w:tc>
      </w:tr>
      <w:tr>
        <w:tc>
          <w:tcPr>
            <w:tcW w:type="dxa" w:w="1700"/>
          </w:tcPr>
          <w:p>
            <w:pPr>
              <w:spacing w:before="0" w:after="0" w:line="240" w:lineRule="auto"/>
            </w:pPr>
            <w:r>
              <w:rPr>
                <w:b w:val="0"/>
                <w:i w:val="0"/>
                <w:sz w:val="16"/>
              </w:rPr>
              <w:t>Mitsubishi FX2N (48MR / 64MR / 84MR)</w:t>
            </w:r>
          </w:p>
        </w:tc>
        <w:tc>
          <w:tcPr>
            <w:tcW w:type="dxa" w:w="1900"/>
          </w:tcPr>
          <w:p>
            <w:pPr>
              <w:spacing w:before="0" w:after="0" w:line="240" w:lineRule="auto"/>
            </w:pPr>
            <w:r>
              <w:rPr>
                <w:b w:val="0"/>
                <w:i w:val="0"/>
                <w:sz w:val="16"/>
              </w:rPr>
              <w:t>Bead Winding‑2, STU‑1, STU‑3 to STU‑31, BTU‑16, BTU‑24 to BTU‑27</w:t>
            </w:r>
          </w:p>
        </w:tc>
        <w:tc>
          <w:tcPr>
            <w:tcW w:type="dxa" w:w="450"/>
          </w:tcPr>
          <w:p>
            <w:pPr>
              <w:spacing w:before="0" w:after="0" w:line="240" w:lineRule="auto"/>
            </w:pPr>
            <w:r>
              <w:rPr>
                <w:b w:val="0"/>
                <w:i w:val="0"/>
                <w:sz w:val="16"/>
              </w:rPr>
              <w:t>31</w:t>
            </w:r>
          </w:p>
        </w:tc>
        <w:tc>
          <w:tcPr>
            <w:tcW w:type="dxa" w:w="1400"/>
          </w:tcPr>
          <w:p>
            <w:pPr>
              <w:spacing w:before="0" w:after="0" w:line="240" w:lineRule="auto"/>
            </w:pPr>
            <w:r>
              <w:rPr>
                <w:b w:val="0"/>
                <w:i w:val="0"/>
                <w:sz w:val="16"/>
              </w:rPr>
              <w:t>RS232</w:t>
            </w:r>
          </w:p>
        </w:tc>
        <w:tc>
          <w:tcPr>
            <w:tcW w:type="dxa" w:w="1800"/>
          </w:tcPr>
          <w:p>
            <w:pPr>
              <w:spacing w:before="0" w:after="0" w:line="240" w:lineRule="auto"/>
            </w:pPr>
            <w:r>
              <w:rPr>
                <w:b/>
                <w:i w:val="0"/>
                <w:sz w:val="16"/>
              </w:rPr>
              <w:t>OEM Ethernet Communication Module</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Legacy PLC; Ethernet enablement required.</w:t>
            </w:r>
          </w:p>
        </w:tc>
      </w:tr>
      <w:tr>
        <w:tc>
          <w:tcPr>
            <w:tcW w:type="dxa" w:w="1700"/>
          </w:tcPr>
          <w:p>
            <w:pPr>
              <w:spacing w:before="0" w:after="0" w:line="240" w:lineRule="auto"/>
            </w:pPr>
            <w:r>
              <w:rPr>
                <w:b w:val="0"/>
                <w:i w:val="0"/>
                <w:sz w:val="16"/>
              </w:rPr>
              <w:t>Mitsubishi FX3G</w:t>
            </w:r>
          </w:p>
        </w:tc>
        <w:tc>
          <w:tcPr>
            <w:tcW w:type="dxa" w:w="1900"/>
          </w:tcPr>
          <w:p>
            <w:pPr>
              <w:spacing w:before="0" w:after="0" w:line="240" w:lineRule="auto"/>
            </w:pPr>
            <w:r>
              <w:rPr>
                <w:b w:val="0"/>
                <w:i w:val="0"/>
                <w:sz w:val="16"/>
              </w:rPr>
              <w:t>Long Cutter, Runout‑3</w:t>
            </w:r>
          </w:p>
        </w:tc>
        <w:tc>
          <w:tcPr>
            <w:tcW w:type="dxa" w:w="450"/>
          </w:tcPr>
          <w:p>
            <w:pPr>
              <w:spacing w:before="0" w:after="0" w:line="240" w:lineRule="auto"/>
            </w:pPr>
            <w:r>
              <w:rPr>
                <w:b w:val="0"/>
                <w:i w:val="0"/>
                <w:sz w:val="16"/>
              </w:rPr>
              <w:t>2</w:t>
            </w:r>
          </w:p>
        </w:tc>
        <w:tc>
          <w:tcPr>
            <w:tcW w:type="dxa" w:w="1400"/>
          </w:tcPr>
          <w:p>
            <w:pPr>
              <w:spacing w:before="0" w:after="0" w:line="240" w:lineRule="auto"/>
            </w:pPr>
            <w:r>
              <w:rPr>
                <w:b w:val="0"/>
                <w:i w:val="0"/>
                <w:sz w:val="16"/>
              </w:rPr>
              <w:t>Serial</w:t>
            </w:r>
          </w:p>
        </w:tc>
        <w:tc>
          <w:tcPr>
            <w:tcW w:type="dxa" w:w="1800"/>
          </w:tcPr>
          <w:p>
            <w:pPr>
              <w:spacing w:before="0" w:after="0" w:line="240" w:lineRule="auto"/>
            </w:pPr>
            <w:r>
              <w:rPr>
                <w:b/>
                <w:i w:val="0"/>
                <w:sz w:val="16"/>
              </w:rPr>
              <w:t>FX3G Ethernet Communication Adapter</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Preferred OEM Ethernet interface.</w:t>
            </w:r>
          </w:p>
        </w:tc>
      </w:tr>
      <w:tr>
        <w:tc>
          <w:tcPr>
            <w:tcW w:type="dxa" w:w="1700"/>
          </w:tcPr>
          <w:p>
            <w:pPr>
              <w:spacing w:before="0" w:after="0" w:line="240" w:lineRule="auto"/>
            </w:pPr>
            <w:r>
              <w:rPr>
                <w:b w:val="0"/>
                <w:i w:val="0"/>
                <w:sz w:val="16"/>
              </w:rPr>
              <w:t>Mitsubishi FX3U</w:t>
            </w:r>
          </w:p>
        </w:tc>
        <w:tc>
          <w:tcPr>
            <w:tcW w:type="dxa" w:w="1900"/>
          </w:tcPr>
          <w:p>
            <w:pPr>
              <w:spacing w:before="0" w:after="0" w:line="240" w:lineRule="auto"/>
            </w:pPr>
            <w:r>
              <w:rPr>
                <w:b w:val="0"/>
                <w:i w:val="0"/>
                <w:sz w:val="16"/>
              </w:rPr>
              <w:t>Bead Winding‑1, Runout‑4, Runout‑5</w:t>
            </w:r>
          </w:p>
        </w:tc>
        <w:tc>
          <w:tcPr>
            <w:tcW w:type="dxa" w:w="450"/>
          </w:tcPr>
          <w:p>
            <w:pPr>
              <w:spacing w:before="0" w:after="0" w:line="240" w:lineRule="auto"/>
            </w:pPr>
            <w:r>
              <w:rPr>
                <w:b w:val="0"/>
                <w:i w:val="0"/>
                <w:sz w:val="16"/>
              </w:rPr>
              <w:t>3</w:t>
            </w:r>
          </w:p>
        </w:tc>
        <w:tc>
          <w:tcPr>
            <w:tcW w:type="dxa" w:w="1400"/>
          </w:tcPr>
          <w:p>
            <w:pPr>
              <w:spacing w:before="0" w:after="0" w:line="240" w:lineRule="auto"/>
            </w:pPr>
            <w:r>
              <w:rPr>
                <w:b w:val="0"/>
                <w:i w:val="0"/>
                <w:sz w:val="16"/>
              </w:rPr>
              <w:t>Serial</w:t>
            </w:r>
          </w:p>
        </w:tc>
        <w:tc>
          <w:tcPr>
            <w:tcW w:type="dxa" w:w="1800"/>
          </w:tcPr>
          <w:p>
            <w:pPr>
              <w:spacing w:before="0" w:after="0" w:line="240" w:lineRule="auto"/>
            </w:pPr>
            <w:r>
              <w:rPr>
                <w:b/>
                <w:i w:val="0"/>
                <w:sz w:val="16"/>
              </w:rPr>
              <w:t>FX3U‑ENET Ethernet Adapter</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Preferred OEM Ethernet interface.</w:t>
            </w:r>
          </w:p>
        </w:tc>
      </w:tr>
      <w:tr>
        <w:tc>
          <w:tcPr>
            <w:tcW w:type="dxa" w:w="1700"/>
          </w:tcPr>
          <w:p>
            <w:pPr>
              <w:spacing w:before="0" w:after="0" w:line="240" w:lineRule="auto"/>
            </w:pPr>
            <w:r>
              <w:rPr>
                <w:b w:val="0"/>
                <w:i w:val="0"/>
                <w:sz w:val="16"/>
              </w:rPr>
              <w:t>Mitsubishi FX5U</w:t>
            </w:r>
          </w:p>
        </w:tc>
        <w:tc>
          <w:tcPr>
            <w:tcW w:type="dxa" w:w="1900"/>
          </w:tcPr>
          <w:p>
            <w:pPr>
              <w:spacing w:before="0" w:after="0" w:line="240" w:lineRule="auto"/>
            </w:pPr>
            <w:r>
              <w:rPr>
                <w:b w:val="0"/>
                <w:i w:val="0"/>
                <w:sz w:val="16"/>
              </w:rPr>
              <w:t>STU‑2, Runout‑1, Runout‑2</w:t>
            </w:r>
          </w:p>
        </w:tc>
        <w:tc>
          <w:tcPr>
            <w:tcW w:type="dxa" w:w="450"/>
          </w:tcPr>
          <w:p>
            <w:pPr>
              <w:spacing w:before="0" w:after="0" w:line="240" w:lineRule="auto"/>
            </w:pPr>
            <w:r>
              <w:rPr>
                <w:b w:val="0"/>
                <w:i w:val="0"/>
                <w:sz w:val="16"/>
              </w:rPr>
              <w:t>3</w:t>
            </w:r>
          </w:p>
        </w:tc>
        <w:tc>
          <w:tcPr>
            <w:tcW w:type="dxa" w:w="1400"/>
          </w:tcPr>
          <w:p>
            <w:pPr>
              <w:spacing w:before="0" w:after="0" w:line="240" w:lineRule="auto"/>
            </w:pPr>
            <w:r>
              <w:rPr>
                <w:b w:val="0"/>
                <w:i w:val="0"/>
                <w:sz w:val="16"/>
              </w:rPr>
              <w:t>Built‑in Ethernet</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Built‑in Ethernet retained; NAT for isolation.</w:t>
            </w:r>
          </w:p>
        </w:tc>
      </w:tr>
      <w:tr>
        <w:tc>
          <w:tcPr>
            <w:tcW w:type="dxa" w:w="1700"/>
          </w:tcPr>
          <w:p>
            <w:pPr>
              <w:spacing w:before="0" w:after="0" w:line="240" w:lineRule="auto"/>
            </w:pPr>
            <w:r>
              <w:rPr>
                <w:b w:val="0"/>
                <w:i w:val="0"/>
                <w:sz w:val="16"/>
              </w:rPr>
              <w:t>Allen‑Bradley CompactLogix</w:t>
            </w:r>
          </w:p>
        </w:tc>
        <w:tc>
          <w:tcPr>
            <w:tcW w:type="dxa" w:w="1900"/>
          </w:tcPr>
          <w:p>
            <w:pPr>
              <w:spacing w:before="0" w:after="0" w:line="240" w:lineRule="auto"/>
            </w:pPr>
            <w:r>
              <w:rPr>
                <w:b w:val="0"/>
                <w:i w:val="0"/>
                <w:sz w:val="16"/>
              </w:rPr>
              <w:t>Balancing‑1 to Balancing‑10</w:t>
            </w:r>
          </w:p>
        </w:tc>
        <w:tc>
          <w:tcPr>
            <w:tcW w:type="dxa" w:w="450"/>
          </w:tcPr>
          <w:p>
            <w:pPr>
              <w:spacing w:before="0" w:after="0" w:line="240" w:lineRule="auto"/>
            </w:pPr>
            <w:r>
              <w:rPr>
                <w:b w:val="0"/>
                <w:i w:val="0"/>
                <w:sz w:val="16"/>
              </w:rPr>
              <w:t>10</w:t>
            </w:r>
          </w:p>
        </w:tc>
        <w:tc>
          <w:tcPr>
            <w:tcW w:type="dxa" w:w="1400"/>
          </w:tcPr>
          <w:p>
            <w:pPr>
              <w:spacing w:before="0" w:after="0" w:line="240" w:lineRule="auto"/>
            </w:pPr>
            <w:r>
              <w:rPr>
                <w:b w:val="0"/>
                <w:i w:val="0"/>
                <w:sz w:val="16"/>
              </w:rPr>
              <w:t>Built‑in EtherNet/IP</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Allen‑Bradley ControlLogix / CompactLogix Driver</w:t>
            </w:r>
          </w:p>
        </w:tc>
        <w:tc>
          <w:tcPr>
            <w:tcW w:type="dxa" w:w="1498"/>
          </w:tcPr>
          <w:p>
            <w:pPr>
              <w:spacing w:before="0" w:after="0" w:line="240" w:lineRule="auto"/>
            </w:pPr>
            <w:r>
              <w:rPr>
                <w:b w:val="0"/>
                <w:i w:val="0"/>
                <w:sz w:val="16"/>
              </w:rPr>
              <w:t>No additional PLC module required.</w:t>
            </w:r>
          </w:p>
        </w:tc>
      </w:tr>
      <w:tr>
        <w:tc>
          <w:tcPr>
            <w:tcW w:type="dxa" w:w="1700"/>
          </w:tcPr>
          <w:p>
            <w:pPr>
              <w:spacing w:before="0" w:after="0" w:line="240" w:lineRule="auto"/>
            </w:pPr>
            <w:r>
              <w:rPr>
                <w:b w:val="0"/>
                <w:i w:val="0"/>
                <w:sz w:val="16"/>
              </w:rPr>
              <w:t>Omron NJ101</w:t>
            </w:r>
          </w:p>
        </w:tc>
        <w:tc>
          <w:tcPr>
            <w:tcW w:type="dxa" w:w="1900"/>
          </w:tcPr>
          <w:p>
            <w:pPr>
              <w:spacing w:before="0" w:after="0" w:line="240" w:lineRule="auto"/>
            </w:pPr>
            <w:r>
              <w:rPr>
                <w:b w:val="0"/>
                <w:i w:val="0"/>
                <w:sz w:val="16"/>
              </w:rPr>
              <w:t>Runout‑6 to Runout‑11</w:t>
            </w:r>
          </w:p>
        </w:tc>
        <w:tc>
          <w:tcPr>
            <w:tcW w:type="dxa" w:w="450"/>
          </w:tcPr>
          <w:p>
            <w:pPr>
              <w:spacing w:before="0" w:after="0" w:line="240" w:lineRule="auto"/>
            </w:pPr>
            <w:r>
              <w:rPr>
                <w:b w:val="0"/>
                <w:i w:val="0"/>
                <w:sz w:val="16"/>
              </w:rPr>
              <w:t>6</w:t>
            </w:r>
          </w:p>
        </w:tc>
        <w:tc>
          <w:tcPr>
            <w:tcW w:type="dxa" w:w="1400"/>
          </w:tcPr>
          <w:p>
            <w:pPr>
              <w:spacing w:before="0" w:after="0" w:line="240" w:lineRule="auto"/>
            </w:pPr>
            <w:r>
              <w:rPr>
                <w:b w:val="0"/>
                <w:i w:val="0"/>
                <w:sz w:val="16"/>
              </w:rPr>
              <w:t>Built‑in EtherNet/IP</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Omron NJ Ethernet Driver</w:t>
            </w:r>
          </w:p>
        </w:tc>
        <w:tc>
          <w:tcPr>
            <w:tcW w:type="dxa" w:w="1498"/>
          </w:tcPr>
          <w:p>
            <w:pPr>
              <w:spacing w:before="0" w:after="0" w:line="240" w:lineRule="auto"/>
            </w:pPr>
            <w:r>
              <w:rPr>
                <w:b w:val="0"/>
                <w:i w:val="0"/>
                <w:sz w:val="16"/>
              </w:rPr>
              <w:t>Use built‑in Ethernet with network isolation.</w:t>
            </w:r>
          </w:p>
        </w:tc>
      </w:tr>
      <w:tr>
        <w:tc>
          <w:tcPr>
            <w:tcW w:type="dxa" w:w="1700"/>
          </w:tcPr>
          <w:p>
            <w:pPr>
              <w:spacing w:before="0" w:after="0" w:line="240" w:lineRule="auto"/>
            </w:pPr>
            <w:r>
              <w:rPr>
                <w:b w:val="0"/>
                <w:i w:val="0"/>
                <w:sz w:val="16"/>
              </w:rPr>
              <w:t>New Machines</w:t>
            </w:r>
          </w:p>
        </w:tc>
        <w:tc>
          <w:tcPr>
            <w:tcW w:type="dxa" w:w="1900"/>
          </w:tcPr>
          <w:p>
            <w:pPr>
              <w:spacing w:before="0" w:after="0" w:line="240" w:lineRule="auto"/>
            </w:pPr>
            <w:r>
              <w:rPr>
                <w:b w:val="0"/>
                <w:i w:val="0"/>
                <w:sz w:val="16"/>
              </w:rPr>
              <w:t>STU‑35, STU‑36, RB1‑7 to RB1‑9, Curing, etc.</w:t>
            </w:r>
          </w:p>
        </w:tc>
        <w:tc>
          <w:tcPr>
            <w:tcW w:type="dxa" w:w="450"/>
          </w:tcPr>
          <w:p>
            <w:pPr>
              <w:spacing w:before="0" w:after="0" w:line="240" w:lineRule="auto"/>
            </w:pPr>
            <w:r>
              <w:rPr>
                <w:b w:val="0"/>
                <w:i w:val="0"/>
                <w:sz w:val="16"/>
              </w:rPr>
              <w:t>11</w:t>
            </w:r>
          </w:p>
        </w:tc>
        <w:tc>
          <w:tcPr>
            <w:tcW w:type="dxa" w:w="1400"/>
          </w:tcPr>
          <w:p>
            <w:pPr>
              <w:spacing w:before="0" w:after="0" w:line="240" w:lineRule="auto"/>
            </w:pPr>
            <w:r>
              <w:rPr>
                <w:b w:val="0"/>
                <w:i w:val="0"/>
                <w:sz w:val="16"/>
              </w:rPr>
              <w:t>TBD</w:t>
            </w:r>
          </w:p>
        </w:tc>
        <w:tc>
          <w:tcPr>
            <w:tcW w:type="dxa" w:w="1800"/>
          </w:tcPr>
          <w:p>
            <w:pPr>
              <w:spacing w:before="0" w:after="0" w:line="240" w:lineRule="auto"/>
            </w:pPr>
            <w:r>
              <w:rPr>
                <w:b w:val="0"/>
                <w:i w:val="0"/>
                <w:sz w:val="16"/>
              </w:rPr>
              <w:t>To be finalised after OEM details</w:t>
            </w:r>
          </w:p>
        </w:tc>
        <w:tc>
          <w:tcPr>
            <w:tcW w:type="dxa" w:w="1600"/>
          </w:tcPr>
          <w:p>
            <w:pPr>
              <w:spacing w:before="0" w:after="0" w:line="240" w:lineRule="auto"/>
            </w:pPr>
            <w:r>
              <w:rPr>
                <w:b w:val="0"/>
                <w:i w:val="0"/>
                <w:sz w:val="16"/>
              </w:rPr>
              <w:t>TBD</w:t>
            </w:r>
          </w:p>
        </w:tc>
        <w:tc>
          <w:tcPr>
            <w:tcW w:type="dxa" w:w="1498"/>
          </w:tcPr>
          <w:p>
            <w:pPr>
              <w:spacing w:before="0" w:after="0" w:line="240" w:lineRule="auto"/>
            </w:pPr>
            <w:r>
              <w:rPr>
                <w:b w:val="0"/>
                <w:i w:val="0"/>
                <w:sz w:val="16"/>
              </w:rPr>
              <w:t>Communication details to be obtained after commissioning.</w:t>
            </w:r>
          </w:p>
        </w:tc>
      </w:tr>
      <w:tr>
        <w:tc>
          <w:tcPr>
            <w:tcW w:type="dxa" w:w="1700"/>
          </w:tcPr>
          <w:p>
            <w:pPr>
              <w:spacing w:before="0" w:after="0" w:line="240" w:lineRule="auto"/>
            </w:pPr>
            <w:r>
              <w:rPr>
                <w:b w:val="0"/>
                <w:i w:val="0"/>
                <w:sz w:val="16"/>
              </w:rPr>
              <w:t>No PLC</w:t>
            </w:r>
          </w:p>
        </w:tc>
        <w:tc>
          <w:tcPr>
            <w:tcW w:type="dxa" w:w="1900"/>
          </w:tcPr>
          <w:p>
            <w:pPr>
              <w:spacing w:before="0" w:after="0" w:line="240" w:lineRule="auto"/>
            </w:pPr>
            <w:r>
              <w:rPr>
                <w:b w:val="0"/>
                <w:i w:val="0"/>
                <w:sz w:val="16"/>
              </w:rPr>
              <w:t>RB1‑1 to RB1‑6</w:t>
            </w:r>
          </w:p>
        </w:tc>
        <w:tc>
          <w:tcPr>
            <w:tcW w:type="dxa" w:w="450"/>
          </w:tcPr>
          <w:p>
            <w:pPr>
              <w:spacing w:before="0" w:after="0" w:line="240" w:lineRule="auto"/>
            </w:pPr>
            <w:r>
              <w:rPr>
                <w:b w:val="0"/>
                <w:i w:val="0"/>
                <w:sz w:val="16"/>
              </w:rPr>
              <w:t>6</w:t>
            </w:r>
          </w:p>
        </w:tc>
        <w:tc>
          <w:tcPr>
            <w:tcW w:type="dxa" w:w="1400"/>
          </w:tcPr>
          <w:p>
            <w:pPr>
              <w:spacing w:before="0" w:after="0" w:line="240" w:lineRule="auto"/>
            </w:pPr>
            <w:r>
              <w:rPr>
                <w:b w:val="0"/>
                <w:i w:val="0"/>
                <w:sz w:val="16"/>
              </w:rPr>
              <w:t>NA</w:t>
            </w:r>
          </w:p>
        </w:tc>
        <w:tc>
          <w:tcPr>
            <w:tcW w:type="dxa" w:w="1800"/>
          </w:tcPr>
          <w:p>
            <w:pPr>
              <w:spacing w:before="0" w:after="0" w:line="240" w:lineRule="auto"/>
            </w:pPr>
            <w:r>
              <w:rPr>
                <w:b w:val="0"/>
                <w:i w:val="0"/>
                <w:sz w:val="16"/>
              </w:rPr>
              <w:t>Digital I/O or machine retrofit</w:t>
            </w:r>
          </w:p>
        </w:tc>
        <w:tc>
          <w:tcPr>
            <w:tcW w:type="dxa" w:w="1600"/>
          </w:tcPr>
          <w:p>
            <w:pPr>
              <w:spacing w:before="0" w:after="0" w:line="240" w:lineRule="auto"/>
            </w:pPr>
            <w:r>
              <w:rPr>
                <w:b w:val="0"/>
                <w:i w:val="0"/>
                <w:sz w:val="16"/>
              </w:rPr>
              <w:t>NA</w:t>
            </w:r>
          </w:p>
        </w:tc>
        <w:tc>
          <w:tcPr>
            <w:tcW w:type="dxa" w:w="1498"/>
          </w:tcPr>
          <w:p>
            <w:pPr>
              <w:spacing w:before="0" w:after="0" w:line="240" w:lineRule="auto"/>
            </w:pPr>
            <w:r>
              <w:rPr>
                <w:b w:val="0"/>
                <w:i w:val="0"/>
                <w:sz w:val="16"/>
              </w:rPr>
              <w:t>Communication approach depends on machine design.</w:t>
            </w:r>
          </w:p>
        </w:tc>
      </w:tr>
      <w:tr>
        <w:tc>
          <w:tcPr>
            <w:tcW w:type="dxa" w:w="1700"/>
          </w:tcPr>
          <w:p>
            <w:pPr>
              <w:spacing w:before="0" w:after="0" w:line="240" w:lineRule="auto"/>
            </w:pPr>
            <w:r>
              <w:rPr>
                <w:b/>
                <w:i w:val="0"/>
                <w:sz w:val="16"/>
              </w:rPr>
              <w:t>Total</w:t>
            </w:r>
          </w:p>
        </w:tc>
        <w:tc>
          <w:tcPr>
            <w:tcW w:type="dxa" w:w="1900"/>
          </w:tcPr>
          <w:p>
            <w:pPr>
              <w:spacing w:before="0" w:after="0" w:line="240" w:lineRule="auto"/>
            </w:pPr>
            <w:r>
              <w:rPr>
                <w:b/>
                <w:i w:val="0"/>
                <w:sz w:val="16"/>
              </w:rPr>
            </w:r>
          </w:p>
        </w:tc>
        <w:tc>
          <w:tcPr>
            <w:tcW w:type="dxa" w:w="450"/>
          </w:tcPr>
          <w:p>
            <w:pPr>
              <w:spacing w:before="0" w:after="0" w:line="240" w:lineRule="auto"/>
            </w:pPr>
            <w:r>
              <w:rPr>
                <w:b/>
                <w:i w:val="0"/>
                <w:sz w:val="16"/>
              </w:rPr>
              <w:t>89</w:t>
            </w:r>
          </w:p>
        </w:tc>
        <w:tc>
          <w:tcPr>
            <w:tcW w:type="dxa" w:w="1400"/>
          </w:tcPr>
          <w:p>
            <w:pPr>
              <w:spacing w:before="0" w:after="0" w:line="240" w:lineRule="auto"/>
            </w:pPr>
            <w:r>
              <w:rPr>
                <w:b/>
                <w:i w:val="0"/>
                <w:sz w:val="16"/>
              </w:rPr>
            </w:r>
          </w:p>
        </w:tc>
        <w:tc>
          <w:tcPr>
            <w:tcW w:type="dxa" w:w="1800"/>
          </w:tcPr>
          <w:p>
            <w:pPr>
              <w:spacing w:before="0" w:after="0" w:line="240" w:lineRule="auto"/>
            </w:pPr>
            <w:r>
              <w:rPr>
                <w:b/>
                <w:i w:val="0"/>
                <w:sz w:val="16"/>
              </w:rPr>
            </w:r>
          </w:p>
        </w:tc>
        <w:tc>
          <w:tcPr>
            <w:tcW w:type="dxa" w:w="1600"/>
          </w:tcPr>
          <w:p>
            <w:pPr>
              <w:spacing w:before="0" w:after="0" w:line="240" w:lineRule="auto"/>
            </w:pPr>
            <w:r>
              <w:rPr>
                <w:b/>
                <w:i w:val="0"/>
                <w:sz w:val="16"/>
              </w:rPr>
            </w:r>
          </w:p>
        </w:tc>
        <w:tc>
          <w:tcPr>
            <w:tcW w:type="dxa" w:w="1498"/>
          </w:tcPr>
          <w:p>
            <w:pPr>
              <w:spacing w:before="0" w:after="0" w:line="240" w:lineRule="auto"/>
            </w:pPr>
            <w:r>
              <w:rPr>
                <w:b/>
                <w:i w:val="0"/>
                <w:sz w:val="16"/>
              </w:rPr>
            </w:r>
          </w:p>
        </w:tc>
      </w:tr>
    </w:tbl>
    <w:p>
      <w:pPr>
        <w:pStyle w:val="Caption"/>
      </w:pPr>
      <w:r>
        <w:rPr>
          <w:b w:val="0"/>
        </w:rPr>
        <w:t>Table: Unit‑4 recommended interfacing approach by controller family</w:t>
      </w:r>
    </w:p>
    <w:p>
      <w:pPr/>
      <w:r>
        <w:rPr>
          <w:b/>
        </w:rPr>
        <w:t>Reconciliation against the Unit‑4 equipment list:</w:t>
      </w:r>
    </w:p>
    <w:p>
      <w:pPr>
        <w:pStyle w:val="ListParagraph"/>
        <w:numPr>
          <w:ilvl w:val="0"/>
          <w:numId w:val="44"/>
        </w:numPr>
      </w:pPr>
      <w:r>
        <w:rPr>
          <w:b w:val="0"/>
        </w:rPr>
        <w:t>The table above covers 89 machines. Excluding the 9 2nd Line Inspection machines held under future planning, the Unit‑4 list contains 94 machines to be interfaced, so 5 machines are not yet covered by a recommendation.</w:t>
      </w:r>
    </w:p>
    <w:p>
      <w:pPr>
        <w:pStyle w:val="ListParagraph"/>
        <w:numPr>
          <w:ilvl w:val="0"/>
          <w:numId w:val="44"/>
        </w:numPr>
      </w:pPr>
      <w:r>
        <w:rPr>
          <w:b w:val="0"/>
        </w:rPr>
        <w:t>Siemens S7‑300: the equipment list contains 13 machines on CPU 313C‑2DP or 315‑2DP (CFE‑1 ×3, CFE‑2 ×3, 2 Roll Calender ×4, Bias Cutter ×3) against the 12 shown above. One machine is to be identified.</w:t>
      </w:r>
    </w:p>
    <w:p>
      <w:pPr>
        <w:pStyle w:val="ListParagraph"/>
        <w:numPr>
          <w:ilvl w:val="0"/>
          <w:numId w:val="44"/>
        </w:numPr>
      </w:pPr>
      <w:r>
        <w:rPr>
          <w:b w:val="0"/>
        </w:rPr>
        <w:t>Siemens S7‑1500: 2 Roll Calender ‑2 runs a CPU 1515‑2PN, for which no controller family is listed above. Built‑in Profinet with an industrial NAT device is assumed, in line with the S7‑1200 treatment, and is to be confirmed.</w:t>
      </w:r>
    </w:p>
    <w:p>
      <w:pPr>
        <w:pStyle w:val="ListParagraph"/>
        <w:numPr>
          <w:ilvl w:val="0"/>
          <w:numId w:val="44"/>
        </w:numPr>
      </w:pPr>
      <w:r>
        <w:rPr>
          <w:b w:val="0"/>
        </w:rPr>
        <w:t>New machines: the equipment list marks 14 machines as new (Fabric Cutter Multislitter, STU‑35, STU‑36, RB1‑7 to RB1‑9 and the 8 Curing machines) against the 11 shown above.</w:t>
      </w:r>
    </w:p>
    <w:p>
      <w:pPr>
        <w:pStyle w:val="ListParagraph"/>
        <w:numPr>
          <w:ilvl w:val="0"/>
          <w:numId w:val="44"/>
        </w:numPr>
      </w:pPr>
      <w:r>
        <w:rPr>
          <w:b w:val="0"/>
        </w:rPr>
        <w:t>Cold Feed Extruder‑2 (Extruder) is recorded in the equipment list as 313C‑2DP/1214PN and is counted above under S7‑1200. Whether this machine carries one controller or both is to be confirmed.</w:t>
      </w:r>
    </w:p>
    <w:p>
      <w:pPr/>
      <w:r>
        <w:rPr>
          <w:b w:val="0"/>
        </w:rPr>
        <w:t>The manufacturer part numbers proposed against each controller model are given below. Final part selection is subject to survey of the installed hardware configuration of each machine.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0"/>
        <w:gridCol w:w="2000"/>
        <w:gridCol w:w="2100"/>
        <w:gridCol w:w="2398"/>
        <w:gridCol w:w="1100"/>
        <w:gridCol w:w="1500"/>
      </w:tblGrid>
      <w:tr>
        <w:trPr>
          <w:tblHeader/>
        </w:trPr>
        <w:tc>
          <w:tcPr>
            <w:tcW w:type="dxa" w:w="1250"/>
          </w:tcPr>
          <w:p>
            <w:pPr>
              <w:spacing w:before="0" w:after="0" w:line="240" w:lineRule="auto"/>
            </w:pPr>
            <w:r>
              <w:rPr>
                <w:b w:val="0"/>
                <w:i w:val="0"/>
                <w:sz w:val="16"/>
              </w:rPr>
              <w:t>PLC Make</w:t>
            </w:r>
          </w:p>
        </w:tc>
        <w:tc>
          <w:tcPr>
            <w:tcW w:type="dxa" w:w="2000"/>
          </w:tcPr>
          <w:p>
            <w:pPr>
              <w:spacing w:before="0" w:after="0" w:line="240" w:lineRule="auto"/>
            </w:pPr>
            <w:r>
              <w:rPr>
                <w:b w:val="0"/>
                <w:i w:val="0"/>
                <w:sz w:val="16"/>
              </w:rPr>
              <w:t>PLC Model</w:t>
            </w:r>
          </w:p>
        </w:tc>
        <w:tc>
          <w:tcPr>
            <w:tcW w:type="dxa" w:w="2100"/>
          </w:tcPr>
          <w:p>
            <w:pPr>
              <w:spacing w:before="0" w:after="0" w:line="240" w:lineRule="auto"/>
            </w:pPr>
            <w:r>
              <w:rPr>
                <w:b w:val="0"/>
                <w:i w:val="0"/>
                <w:sz w:val="16"/>
              </w:rPr>
              <w:t>Recommended Hardware</w:t>
            </w:r>
          </w:p>
        </w:tc>
        <w:tc>
          <w:tcPr>
            <w:tcW w:type="dxa" w:w="2398"/>
          </w:tcPr>
          <w:p>
            <w:pPr>
              <w:spacing w:before="0" w:after="0" w:line="240" w:lineRule="auto"/>
            </w:pPr>
            <w:r>
              <w:rPr>
                <w:b w:val="0"/>
                <w:i w:val="0"/>
                <w:sz w:val="16"/>
              </w:rPr>
              <w:t>Manufacturer Part No.</w:t>
            </w:r>
          </w:p>
        </w:tc>
        <w:tc>
          <w:tcPr>
            <w:tcW w:type="dxa" w:w="1100"/>
          </w:tcPr>
          <w:p>
            <w:pPr>
              <w:spacing w:before="0" w:after="0" w:line="240" w:lineRule="auto"/>
            </w:pPr>
            <w:r>
              <w:rPr>
                <w:b w:val="0"/>
                <w:i w:val="0"/>
                <w:sz w:val="16"/>
              </w:rPr>
              <w:t>Kepware Support</w:t>
            </w:r>
          </w:p>
        </w:tc>
        <w:tc>
          <w:tcPr>
            <w:tcW w:type="dxa" w:w="1500"/>
          </w:tcPr>
          <w:p>
            <w:pPr>
              <w:spacing w:before="0" w:after="0" w:line="240" w:lineRule="auto"/>
            </w:pPr>
            <w:r>
              <w:rPr>
                <w:b w:val="0"/>
                <w:i w:val="0"/>
                <w:sz w:val="16"/>
              </w:rPr>
              <w:t>Recommendation</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S7‑300 CPU 313C‑2DP</w:t>
            </w:r>
          </w:p>
        </w:tc>
        <w:tc>
          <w:tcPr>
            <w:tcW w:type="dxa" w:w="2100"/>
          </w:tcPr>
          <w:p>
            <w:pPr>
              <w:spacing w:before="0" w:after="0" w:line="240" w:lineRule="auto"/>
            </w:pPr>
            <w:r>
              <w:rPr>
                <w:b w:val="0"/>
                <w:i w:val="0"/>
                <w:sz w:val="16"/>
              </w:rPr>
              <w:t>Ethernet Communication Processor</w:t>
            </w:r>
          </w:p>
        </w:tc>
        <w:tc>
          <w:tcPr>
            <w:tcW w:type="dxa" w:w="2398"/>
          </w:tcPr>
          <w:p>
            <w:pPr>
              <w:spacing w:before="0" w:after="0" w:line="240" w:lineRule="auto"/>
            </w:pPr>
            <w:r>
              <w:rPr>
                <w:b/>
                <w:i w:val="0"/>
                <w:sz w:val="16"/>
              </w:rPr>
              <w:t>CP 343‑1 Lean (6GK7343‑1CX10‑0XE0)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S7‑300 CPU 315‑2DP</w:t>
            </w:r>
          </w:p>
        </w:tc>
        <w:tc>
          <w:tcPr>
            <w:tcW w:type="dxa" w:w="2100"/>
          </w:tcPr>
          <w:p>
            <w:pPr>
              <w:spacing w:before="0" w:after="0" w:line="240" w:lineRule="auto"/>
            </w:pPr>
            <w:r>
              <w:rPr>
                <w:b w:val="0"/>
                <w:i w:val="0"/>
                <w:sz w:val="16"/>
              </w:rPr>
              <w:t>Ethernet Communication Processor</w:t>
            </w:r>
          </w:p>
        </w:tc>
        <w:tc>
          <w:tcPr>
            <w:tcW w:type="dxa" w:w="2398"/>
          </w:tcPr>
          <w:p>
            <w:pPr>
              <w:spacing w:before="0" w:after="0" w:line="240" w:lineRule="auto"/>
            </w:pPr>
            <w:r>
              <w:rPr>
                <w:b/>
                <w:i w:val="0"/>
                <w:sz w:val="16"/>
              </w:rPr>
              <w:t>CP 343‑1 Lean (6GK7343‑1CX10‑0XE0)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S7‑1200 (1214C / 1214PN)</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r>
              <w:rPr>
                <w:b w:val="0"/>
                <w:i w:val="0"/>
                <w:sz w:val="16"/>
              </w:rPr>
              <w:t xml:space="preserve"> or </w:t>
            </w:r>
            <w:r>
              <w:rPr>
                <w:b/>
                <w:i w:val="0"/>
                <w:sz w:val="16"/>
              </w:rPr>
              <w:t>Hirschmann EAGLE One</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S7‑200 CPU 224</w:t>
            </w:r>
          </w:p>
        </w:tc>
        <w:tc>
          <w:tcPr>
            <w:tcW w:type="dxa" w:w="2100"/>
          </w:tcPr>
          <w:p>
            <w:pPr>
              <w:spacing w:before="0" w:after="0" w:line="240" w:lineRule="auto"/>
            </w:pPr>
            <w:r>
              <w:rPr>
                <w:b w:val="0"/>
                <w:i w:val="0"/>
                <w:sz w:val="16"/>
              </w:rPr>
              <w:t>Ethernet Module</w:t>
            </w:r>
          </w:p>
        </w:tc>
        <w:tc>
          <w:tcPr>
            <w:tcW w:type="dxa" w:w="2398"/>
          </w:tcPr>
          <w:p>
            <w:pPr>
              <w:spacing w:before="0" w:after="0" w:line="240" w:lineRule="auto"/>
            </w:pPr>
            <w:r>
              <w:rPr>
                <w:b/>
                <w:i w:val="0"/>
                <w:sz w:val="16"/>
              </w:rPr>
              <w:t>CP243‑1 (6GK7243‑1EX01‑0XE0)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FX2N‑64MR / FX2N‑84MR</w:t>
            </w:r>
          </w:p>
        </w:tc>
        <w:tc>
          <w:tcPr>
            <w:tcW w:type="dxa" w:w="2100"/>
          </w:tcPr>
          <w:p>
            <w:pPr>
              <w:spacing w:before="0" w:after="0" w:line="240" w:lineRule="auto"/>
            </w:pPr>
            <w:r>
              <w:rPr>
                <w:b w:val="0"/>
                <w:i w:val="0"/>
                <w:sz w:val="16"/>
              </w:rPr>
              <w:t>Ethernet Communication Adapter</w:t>
            </w:r>
          </w:p>
        </w:tc>
        <w:tc>
          <w:tcPr>
            <w:tcW w:type="dxa" w:w="2398"/>
          </w:tcPr>
          <w:p>
            <w:pPr>
              <w:spacing w:before="0" w:after="0" w:line="240" w:lineRule="auto"/>
            </w:pPr>
            <w:r>
              <w:rPr>
                <w:b/>
                <w:i w:val="0"/>
                <w:sz w:val="16"/>
              </w:rPr>
              <w:t>FX2NC‑ENET‑ADP (or Mitsubishi‑supported equivalent)</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FX3U‑64MR</w:t>
            </w:r>
          </w:p>
        </w:tc>
        <w:tc>
          <w:tcPr>
            <w:tcW w:type="dxa" w:w="2100"/>
          </w:tcPr>
          <w:p>
            <w:pPr>
              <w:spacing w:before="0" w:after="0" w:line="240" w:lineRule="auto"/>
            </w:pPr>
            <w:r>
              <w:rPr>
                <w:b w:val="0"/>
                <w:i w:val="0"/>
                <w:sz w:val="16"/>
              </w:rPr>
              <w:t>Ethernet Adapter</w:t>
            </w:r>
          </w:p>
        </w:tc>
        <w:tc>
          <w:tcPr>
            <w:tcW w:type="dxa" w:w="2398"/>
          </w:tcPr>
          <w:p>
            <w:pPr>
              <w:spacing w:before="0" w:after="0" w:line="240" w:lineRule="auto"/>
            </w:pPr>
            <w:r>
              <w:rPr>
                <w:b/>
                <w:i w:val="0"/>
                <w:sz w:val="16"/>
              </w:rPr>
              <w:t>FX3U‑ENET‑ADP</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FX3G‑24M / 60M</w:t>
            </w:r>
          </w:p>
        </w:tc>
        <w:tc>
          <w:tcPr>
            <w:tcW w:type="dxa" w:w="2100"/>
          </w:tcPr>
          <w:p>
            <w:pPr>
              <w:spacing w:before="0" w:after="0" w:line="240" w:lineRule="auto"/>
            </w:pPr>
            <w:r>
              <w:rPr>
                <w:b w:val="0"/>
                <w:i w:val="0"/>
                <w:sz w:val="16"/>
              </w:rPr>
              <w:t>Ethernet Adapter</w:t>
            </w:r>
          </w:p>
        </w:tc>
        <w:tc>
          <w:tcPr>
            <w:tcW w:type="dxa" w:w="2398"/>
          </w:tcPr>
          <w:p>
            <w:pPr>
              <w:spacing w:before="0" w:after="0" w:line="240" w:lineRule="auto"/>
            </w:pPr>
            <w:r>
              <w:rPr>
                <w:b/>
                <w:i w:val="0"/>
                <w:sz w:val="16"/>
              </w:rPr>
              <w:t>FX3U‑ENET‑ADP</w:t>
            </w:r>
            <w:r>
              <w:rPr>
                <w:b w:val="0"/>
                <w:i/>
                <w:sz w:val="16"/>
              </w:rPr>
              <w:t xml:space="preserve"> (if supported by the FX3G configuration)</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FX5U</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Allen‑Bradley</w:t>
            </w:r>
          </w:p>
        </w:tc>
        <w:tc>
          <w:tcPr>
            <w:tcW w:type="dxa" w:w="2000"/>
          </w:tcPr>
          <w:p>
            <w:pPr>
              <w:spacing w:before="0" w:after="0" w:line="240" w:lineRule="auto"/>
            </w:pPr>
            <w:r>
              <w:rPr>
                <w:b w:val="0"/>
                <w:i w:val="0"/>
                <w:sz w:val="16"/>
              </w:rPr>
              <w:t>CompactLogix L18ERM / L27ERM</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Omron</w:t>
            </w:r>
          </w:p>
        </w:tc>
        <w:tc>
          <w:tcPr>
            <w:tcW w:type="dxa" w:w="2000"/>
          </w:tcPr>
          <w:p>
            <w:pPr>
              <w:spacing w:before="0" w:after="0" w:line="240" w:lineRule="auto"/>
            </w:pPr>
            <w:r>
              <w:rPr>
                <w:b w:val="0"/>
                <w:i w:val="0"/>
                <w:sz w:val="16"/>
              </w:rPr>
              <w:t>NJ101</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bl>
    <w:p>
      <w:pPr>
        <w:pStyle w:val="Caption"/>
      </w:pPr>
      <w:r>
        <w:rPr>
          <w:b w:val="0"/>
        </w:rPr>
        <w:t>Table: Unit‑4 proposed interfacing hardware part numbers</w:t>
      </w:r>
    </w:p>
    <w:p>
      <w:pPr/>
      <w:r>
        <w:rPr>
          <w:b w:val="0"/>
        </w:rPr>
        <w:t>Industrial NAT devices are provided one per machine on the controllers that use their built‑in Ethernet port.</w:t>
      </w:r>
    </w:p>
    <w:p>
      <w:pPr>
        <w:pStyle w:val="Heading3"/>
      </w:pPr>
      <w:r>
        <w:rPr>
          <w:b w:val="0"/>
          <w:i w:val="0"/>
        </w:rPr>
        <w:t>Machine Connectivity Assessment</w:t>
      </w:r>
    </w:p>
    <w:p>
      <w:pPr/>
      <w:r>
        <w:rPr>
          <w:b w:val="0"/>
          <w:i w:val="0"/>
        </w:rPr>
        <w:t>Based on the controller make and model declared in the machine data, the machines in scope are grouped into the following connectivity categories. This assessment is preliminary and shall be validated machine by machine during the Requirement Freeze &amp; Workshop and Functional Design phases.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700"/>
        <w:gridCol w:w="700"/>
        <w:gridCol w:w="700"/>
        <w:gridCol w:w="3648"/>
      </w:tblGrid>
      <w:tr>
        <w:trPr>
          <w:tblHeader/>
        </w:trPr>
        <w:tc>
          <w:tcPr>
            <w:tcW w:type="dxa" w:w="2000"/>
          </w:tcPr>
          <w:p>
            <w:r>
              <w:t>Connectivity Category</w:t>
            </w:r>
          </w:p>
        </w:tc>
        <w:tc>
          <w:tcPr>
            <w:tcW w:type="dxa" w:w="2600"/>
          </w:tcPr>
          <w:p>
            <w:r>
              <w:t>Controller Types</w:t>
            </w:r>
          </w:p>
        </w:tc>
        <w:tc>
          <w:tcPr>
            <w:tcW w:type="dxa" w:w="700"/>
          </w:tcPr>
          <w:p>
            <w:r>
              <w:t>Unit‑2</w:t>
            </w:r>
          </w:p>
        </w:tc>
        <w:tc>
          <w:tcPr>
            <w:tcW w:type="dxa" w:w="700"/>
          </w:tcPr>
          <w:p>
            <w:r>
              <w:t>Unit‑4</w:t>
            </w:r>
          </w:p>
        </w:tc>
        <w:tc>
          <w:tcPr>
            <w:tcW w:type="dxa" w:w="700"/>
          </w:tcPr>
          <w:p>
            <w:r>
              <w:t>Total</w:t>
            </w:r>
          </w:p>
        </w:tc>
        <w:tc>
          <w:tcPr>
            <w:tcW w:type="dxa" w:w="3648"/>
          </w:tcPr>
          <w:p>
            <w:r>
              <w:t>Data Acquisition Approach (Preliminary)</w:t>
            </w:r>
          </w:p>
        </w:tc>
      </w:tr>
      <w:tr>
        <w:tc>
          <w:tcPr>
            <w:tcW w:type="dxa" w:w="2000"/>
          </w:tcPr>
          <w:p>
            <w:r>
              <w:t>Ethernet / OPC capable</w:t>
            </w:r>
          </w:p>
        </w:tc>
        <w:tc>
          <w:tcPr>
            <w:tcW w:type="dxa" w:w="2600"/>
          </w:tcPr>
          <w:p>
            <w:r>
              <w:t>Siemens S7‑1200, S7‑1500; Mitsubishi FX5U; Allen‑Bradley CompactLogix; Omron NJ101</w:t>
            </w:r>
          </w:p>
        </w:tc>
        <w:tc>
          <w:tcPr>
            <w:tcW w:type="dxa" w:w="700"/>
          </w:tcPr>
          <w:p>
            <w:r>
              <w:t>2</w:t>
            </w:r>
          </w:p>
        </w:tc>
        <w:tc>
          <w:tcPr>
            <w:tcW w:type="dxa" w:w="700"/>
          </w:tcPr>
          <w:p>
            <w:r>
              <w:t>24</w:t>
            </w:r>
          </w:p>
        </w:tc>
        <w:tc>
          <w:tcPr>
            <w:tcW w:type="dxa" w:w="700"/>
          </w:tcPr>
          <w:p>
            <w:r>
              <w:t>26</w:t>
            </w:r>
          </w:p>
        </w:tc>
        <w:tc>
          <w:tcPr>
            <w:tcW w:type="dxa" w:w="3648"/>
          </w:tcPr>
          <w:p>
            <w:r>
              <w:t>Connected over the built‑in Ethernet port and read by Kepware OPC Server using the relevant native driver. No additional communication hardware required.</w:t>
            </w:r>
          </w:p>
        </w:tc>
      </w:tr>
      <w:tr>
        <w:tc>
          <w:tcPr>
            <w:tcW w:type="dxa" w:w="2000"/>
          </w:tcPr>
          <w:p>
            <w:r>
              <w:t>Serial / fieldbus only</w:t>
            </w:r>
          </w:p>
        </w:tc>
        <w:tc>
          <w:tcPr>
            <w:tcW w:type="dxa" w:w="2600"/>
          </w:tcPr>
          <w:p>
            <w:r>
              <w:t>Mitsubishi FX2N, FX3U, FX3G; Siemens S7‑300 (MPI / PROFIBUS‑DP), S7‑200; Allen‑Bradley SLC500</w:t>
            </w:r>
          </w:p>
        </w:tc>
        <w:tc>
          <w:tcPr>
            <w:tcW w:type="dxa" w:w="700"/>
          </w:tcPr>
          <w:p>
            <w:r>
              <w:t>40</w:t>
            </w:r>
          </w:p>
        </w:tc>
        <w:tc>
          <w:tcPr>
            <w:tcW w:type="dxa" w:w="700"/>
          </w:tcPr>
          <w:p>
            <w:r>
              <w:t>50</w:t>
            </w:r>
          </w:p>
        </w:tc>
        <w:tc>
          <w:tcPr>
            <w:tcW w:type="dxa" w:w="700"/>
          </w:tcPr>
          <w:p>
            <w:r>
              <w:t>90</w:t>
            </w:r>
          </w:p>
        </w:tc>
        <w:tc>
          <w:tcPr>
            <w:tcW w:type="dxa" w:w="3648"/>
          </w:tcPr>
          <w:p>
            <w:r>
              <w:t>An OEM Ethernet communication module is required on each PLC, after which the data is read by Kepware OPC Server using the relevant Ethernet driver. Refer to the note below.</w:t>
            </w:r>
          </w:p>
        </w:tc>
      </w:tr>
      <w:tr>
        <w:tc>
          <w:tcPr>
            <w:tcW w:type="dxa" w:w="2000"/>
          </w:tcPr>
          <w:p>
            <w:r>
              <w:t>PLC not available</w:t>
            </w:r>
          </w:p>
        </w:tc>
        <w:tc>
          <w:tcPr>
            <w:tcW w:type="dxa" w:w="2600"/>
          </w:tcPr>
          <w:p>
            <w:r>
              <w:t>RB1‑1 to RB1‑6 (Unit‑4 Building)</w:t>
            </w:r>
          </w:p>
        </w:tc>
        <w:tc>
          <w:tcPr>
            <w:tcW w:type="dxa" w:w="700"/>
          </w:tcPr>
          <w:p>
            <w:r>
              <w:t>–</w:t>
            </w:r>
          </w:p>
        </w:tc>
        <w:tc>
          <w:tcPr>
            <w:tcW w:type="dxa" w:w="700"/>
          </w:tcPr>
          <w:p>
            <w:r>
              <w:t>6</w:t>
            </w:r>
          </w:p>
        </w:tc>
        <w:tc>
          <w:tcPr>
            <w:tcW w:type="dxa" w:w="700"/>
          </w:tcPr>
          <w:p>
            <w:r>
              <w:t>6</w:t>
            </w:r>
          </w:p>
        </w:tc>
        <w:tc>
          <w:tcPr>
            <w:tcW w:type="dxa" w:w="3648"/>
          </w:tcPr>
          <w:p>
            <w:r>
              <w:t>Data capture through manual entry or AIDC devices, unless a PLC is retrofitted by the customer / OEM.</w:t>
            </w:r>
          </w:p>
        </w:tc>
      </w:tr>
      <w:tr>
        <w:tc>
          <w:tcPr>
            <w:tcW w:type="dxa" w:w="2000"/>
          </w:tcPr>
          <w:p>
            <w:r>
              <w:t>New machines – controller to be confirmed</w:t>
            </w:r>
          </w:p>
        </w:tc>
        <w:tc>
          <w:tcPr>
            <w:tcW w:type="dxa" w:w="2600"/>
          </w:tcPr>
          <w:p>
            <w:r>
              <w:t>Unit‑4 Fabric Cutter, Building and Curing new machines</w:t>
            </w:r>
          </w:p>
        </w:tc>
        <w:tc>
          <w:tcPr>
            <w:tcW w:type="dxa" w:w="700"/>
          </w:tcPr>
          <w:p>
            <w:r>
              <w:t>–</w:t>
            </w:r>
          </w:p>
        </w:tc>
        <w:tc>
          <w:tcPr>
            <w:tcW w:type="dxa" w:w="700"/>
          </w:tcPr>
          <w:p>
            <w:r>
              <w:t>14</w:t>
            </w:r>
          </w:p>
        </w:tc>
        <w:tc>
          <w:tcPr>
            <w:tcW w:type="dxa" w:w="700"/>
          </w:tcPr>
          <w:p>
            <w:r>
              <w:t>14</w:t>
            </w:r>
          </w:p>
        </w:tc>
        <w:tc>
          <w:tcPr>
            <w:tcW w:type="dxa" w:w="3648"/>
          </w:tcPr>
          <w:p>
            <w:r>
              <w:t>Connectivity requirement to be included in the OEM purchase specification. Assumed to be Ethernet / OPC UA capable.</w:t>
            </w:r>
          </w:p>
        </w:tc>
      </w:tr>
      <w:tr>
        <w:tc>
          <w:tcPr>
            <w:tcW w:type="dxa" w:w="2000"/>
          </w:tcPr>
          <w:p>
            <w:r>
              <w:t>Future scope</w:t>
            </w:r>
          </w:p>
        </w:tc>
        <w:tc>
          <w:tcPr>
            <w:tcW w:type="dxa" w:w="2600"/>
          </w:tcPr>
          <w:p>
            <w:r>
              <w:t>2nd Line Inspection</w:t>
            </w:r>
          </w:p>
        </w:tc>
        <w:tc>
          <w:tcPr>
            <w:tcW w:type="dxa" w:w="700"/>
          </w:tcPr>
          <w:p>
            <w:r>
              <w:t>–</w:t>
            </w:r>
          </w:p>
        </w:tc>
        <w:tc>
          <w:tcPr>
            <w:tcW w:type="dxa" w:w="700"/>
          </w:tcPr>
          <w:p>
            <w:r>
              <w:t>9</w:t>
            </w:r>
          </w:p>
        </w:tc>
        <w:tc>
          <w:tcPr>
            <w:tcW w:type="dxa" w:w="700"/>
          </w:tcPr>
          <w:p>
            <w:r>
              <w:t>9</w:t>
            </w:r>
          </w:p>
        </w:tc>
        <w:tc>
          <w:tcPr>
            <w:tcW w:type="dxa" w:w="3648"/>
          </w:tcPr>
          <w:p>
            <w:r>
              <w:t>Not considered in the current scope of this offer.</w:t>
            </w:r>
          </w:p>
        </w:tc>
      </w:tr>
      <w:tr>
        <w:tc>
          <w:tcPr>
            <w:tcW w:type="dxa" w:w="2000"/>
          </w:tcPr>
          <w:p>
            <w:r>
              <w:rPr>
                <w:b/>
              </w:rPr>
              <w:t>Total</w:t>
            </w:r>
          </w:p>
        </w:tc>
        <w:tc>
          <w:tcPr>
            <w:tcW w:type="dxa" w:w="2600"/>
          </w:tcPr>
          <w:p>
            <w:r>
              <w:rPr>
                <w:b/>
              </w:rPr>
            </w:r>
          </w:p>
        </w:tc>
        <w:tc>
          <w:tcPr>
            <w:tcW w:type="dxa" w:w="700"/>
          </w:tcPr>
          <w:p>
            <w:r>
              <w:rPr>
                <w:b/>
              </w:rPr>
              <w:t>42</w:t>
            </w:r>
          </w:p>
        </w:tc>
        <w:tc>
          <w:tcPr>
            <w:tcW w:type="dxa" w:w="700"/>
          </w:tcPr>
          <w:p>
            <w:r>
              <w:rPr>
                <w:b/>
              </w:rPr>
              <w:t>103</w:t>
            </w:r>
          </w:p>
        </w:tc>
        <w:tc>
          <w:tcPr>
            <w:tcW w:type="dxa" w:w="700"/>
          </w:tcPr>
          <w:p>
            <w:r>
              <w:rPr>
                <w:b/>
              </w:rPr>
              <w:t>145</w:t>
            </w:r>
          </w:p>
        </w:tc>
        <w:tc>
          <w:tcPr>
            <w:tcW w:type="dxa" w:w="3648"/>
          </w:tcPr>
          <w:p>
            <w:r>
              <w:rPr>
                <w:b/>
              </w:rPr>
            </w:r>
          </w:p>
        </w:tc>
      </w:tr>
    </w:tbl>
    <w:p>
      <w:pPr>
        <w:pStyle w:val="Caption"/>
      </w:pPr>
      <w:r>
        <w:t>Table: Preliminary machine connectivity assessment</w:t>
      </w:r>
    </w:p>
    <w:p>
      <w:pPr/>
      <w:r>
        <w:rPr>
          <w:b/>
          <w:i w:val="0"/>
        </w:rPr>
        <w:t>Notes and open points on machine data:</w:t>
      </w:r>
    </w:p>
    <w:p>
      <w:pPr>
        <w:pStyle w:val="ListParagraph"/>
        <w:numPr>
          <w:ilvl w:val="0"/>
          <w:numId w:val="43"/>
        </w:numPr>
      </w:pPr>
      <w:r>
        <w:rPr>
          <w:b w:val="0"/>
          <w:i w:val="0"/>
        </w:rPr>
        <w:t>90 of the 145 machines carry controllers with serial or fieldbus interfaces only, with the existing RS232 port occupied by the HMI. Each of these machines requires an OEM Ethernet communication module to be fitted before the data can be read. Supply of materials and activities on existing field devices is presently listed under Exclusions in this document; the responsibility and commercial treatment of this hardware is to be agreed before the offer is finalised.</w:t>
      </w:r>
    </w:p>
    <w:p>
      <w:pPr>
        <w:pStyle w:val="ListParagraph"/>
        <w:numPr>
          <w:ilvl w:val="0"/>
          <w:numId w:val="43"/>
        </w:numPr>
      </w:pPr>
      <w:r>
        <w:rPr>
          <w:b w:val="0"/>
          <w:i w:val="0"/>
        </w:rPr>
        <w:t>The PLC make and model for 14 new machines (Unit‑4 Fabric Cutter Multislitter, STU‑35, STU‑36, RB1‑7 to RB1‑9 and the 8 Curing machines) are not yet available. Ethernet based connectivity with OPC UA is assumed for these machines and is to be confirmed by the respective OEMs.</w:t>
      </w:r>
    </w:p>
    <w:p>
      <w:pPr>
        <w:pStyle w:val="ListParagraph"/>
        <w:numPr>
          <w:ilvl w:val="0"/>
          <w:numId w:val="43"/>
        </w:numPr>
      </w:pPr>
      <w:r>
        <w:rPr>
          <w:b w:val="0"/>
          <w:i w:val="0"/>
        </w:rPr>
        <w:t>RB1‑1 to RB1‑6 have no PLC. The method of data capture for these machines is to be agreed with the customer.</w:t>
      </w:r>
    </w:p>
    <w:p>
      <w:pPr>
        <w:pStyle w:val="ListParagraph"/>
        <w:numPr>
          <w:ilvl w:val="0"/>
          <w:numId w:val="43"/>
        </w:numPr>
      </w:pPr>
      <w:r>
        <w:rPr>
          <w:b w:val="0"/>
          <w:i w:val="0"/>
        </w:rPr>
        <w:t>The Unit‑4 machine list has a break in serial numbers between S.No 66 and S.No 85. Details of the machines corresponding to S.No 67 to 84 have not been received and are not included in the 145 machines covered by this offer.</w:t>
      </w:r>
    </w:p>
    <w:p>
      <w:pPr>
        <w:pStyle w:val="ListParagraph"/>
        <w:numPr>
          <w:ilvl w:val="0"/>
          <w:numId w:val="43"/>
        </w:numPr>
      </w:pPr>
      <w:r>
        <w:rPr>
          <w:b w:val="0"/>
          <w:i w:val="0"/>
        </w:rPr>
        <w:t>AMCL‑7 and AMCL‑8 (Unit‑2) and the Cold Feed Extruder‑2 Skiver (Unit‑4) are undergoing refurbishment or upgradation. The final control system configuration of these machines is to be confirmed.</w:t>
      </w:r>
    </w:p>
    <w:p>
      <w:pPr>
        <w:pStyle w:val="ListParagraph"/>
        <w:numPr>
          <w:ilvl w:val="0"/>
          <w:numId w:val="43"/>
        </w:numPr>
      </w:pPr>
      <w:r>
        <w:rPr>
          <w:b w:val="0"/>
          <w:i w:val="0"/>
        </w:rPr>
        <w:t>The Unit‑4 list contains both a “2 Roll Calender ‑3” and a “3 Roll Calender ‑3” process area for what appear to be two parts of the same line. The naming is to be confirmed.</w:t>
      </w:r>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pPr/>
      <w:r>
        <w:t>Machine data is acquired by Kepware OPC Server over an isolated industrial OT network and passed to the SmartMES server over OPC UA. Controllers with a built‑in Ethernet port connect directly through an industrial NAT device, which provides isolation and avoids IP conflicts with the existing machine networks. Legacy controllers are brought onto the same network through an OEM Ethernet communication module, as detailed in the Machine Details section.</w:t>
      </w:r>
    </w:p>
    <w:tbl>
      <w:tblPr>
        <w:tblW w:w="9360" w:type="dxa"/>
        <w:jc w:val="center"/>
        <w:tblLook w:firstColumn="1" w:firstRow="1" w:lastColumn="0" w:lastRow="0" w:noHBand="0" w:noVBand="1" w:val="04A0"/>
      </w:tblPr>
      <w:tblGrid>
        <w:gridCol w:w="3120"/>
        <w:gridCol w:w="3120"/>
        <w:gridCol w:w="3120"/>
      </w:tblGrid>
      <w:tr>
        <w:tc>
          <w:tcPr>
            <w:tcW w:w="9360" w:type="dxa"/>
            <w:gridSpan w:val="3"/>
            <w:tcBorders>
              <w:top w:val="single" w:sz="8" w:space="0" w:color="27166F"/>
              <w:left w:val="single" w:sz="8" w:space="0" w:color="27166F"/>
              <w:bottom w:val="single" w:sz="8" w:space="0" w:color="27166F"/>
              <w:right w:val="single" w:sz="8" w:space="0" w:color="27166F"/>
            </w:tcBorders>
            <w:shd w:val="clear" w:color="auto" w:fill="27166F"/>
          </w:tcPr>
          <w:p>
            <w:pPr>
              <w:spacing w:before="20" w:after="20" w:line="240" w:lineRule="auto"/>
              <w:jc w:val="center"/>
            </w:pPr>
            <w:r/>
            <w:r>
              <w:rPr>
                <w:b/>
                <w:color w:val="FFFFFF"/>
                <w:sz w:val="20"/>
              </w:rPr>
              <w:t>SmartMES Server</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p>
            <w:pPr>
              <w:spacing w:before="20" w:after="20" w:line="240" w:lineRule="auto"/>
              <w:jc w:val="center"/>
            </w:pPr>
            <w:r>
              <w:rPr>
                <w:b w:val="0"/>
                <w:sz w:val="16"/>
              </w:rPr>
              <w:t>OPC UA</w:t>
            </w:r>
          </w:p>
        </w:tc>
      </w:tr>
      <w:tr>
        <w:tc>
          <w:tcPr>
            <w:tcW w:w="9360" w:type="dxa"/>
            <w:gridSpan w:val="3"/>
            <w:tcBorders>
              <w:top w:val="single" w:sz="8" w:space="0" w:color="27166F"/>
              <w:left w:val="single" w:sz="8" w:space="0" w:color="27166F"/>
              <w:bottom w:val="single" w:sz="8" w:space="0" w:color="27166F"/>
              <w:right w:val="single" w:sz="8" w:space="0" w:color="27166F"/>
            </w:tcBorders>
            <w:shd w:val="clear" w:color="auto" w:fill="DEDAEC"/>
          </w:tcPr>
          <w:p>
            <w:pPr>
              <w:spacing w:before="20" w:after="20" w:line="240" w:lineRule="auto"/>
              <w:jc w:val="center"/>
            </w:pPr>
            <w:r/>
            <w:r>
              <w:rPr>
                <w:b/>
                <w:sz w:val="20"/>
              </w:rPr>
              <w:t>Kepware OPC Server</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9360" w:type="dxa"/>
            <w:gridSpan w:val="3"/>
            <w:tcBorders>
              <w:top w:val="single" w:sz="8" w:space="0" w:color="27166F"/>
              <w:left w:val="single" w:sz="8" w:space="0" w:color="27166F"/>
              <w:bottom w:val="single" w:sz="8" w:space="0" w:color="27166F"/>
              <w:right w:val="single" w:sz="8" w:space="0" w:color="27166F"/>
            </w:tcBorders>
            <w:shd w:val="clear" w:color="auto" w:fill="F2F2F2"/>
          </w:tcPr>
          <w:p>
            <w:pPr>
              <w:spacing w:before="20" w:after="20" w:line="240" w:lineRule="auto"/>
              <w:jc w:val="center"/>
            </w:pPr>
            <w:r/>
            <w:r>
              <w:rPr>
                <w:b/>
                <w:sz w:val="20"/>
              </w:rPr>
              <w:t>Industrial OT Switch</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FX2N PLC</w:t>
            </w:r>
          </w:p>
          <w:p>
            <w:pPr>
              <w:spacing w:before="20" w:after="20" w:line="240" w:lineRule="auto"/>
              <w:jc w:val="center"/>
            </w:pPr>
            <w:r>
              <w:rPr>
                <w:b w:val="0"/>
                <w:sz w:val="16"/>
              </w:rPr>
              <w:t>OEM Communication Module</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SLC500 PLC</w:t>
            </w:r>
          </w:p>
          <w:p>
            <w:pPr>
              <w:spacing w:before="20" w:after="20" w:line="240" w:lineRule="auto"/>
              <w:jc w:val="center"/>
            </w:pPr>
            <w:r>
              <w:rPr>
                <w:b w:val="0"/>
                <w:sz w:val="16"/>
              </w:rPr>
              <w:t>OEM Communication Module</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FX5U PLC</w:t>
            </w:r>
          </w:p>
          <w:p>
            <w:pPr>
              <w:spacing w:before="20" w:after="20" w:line="240" w:lineRule="auto"/>
              <w:jc w:val="center"/>
            </w:pPr>
            <w:r>
              <w:rPr>
                <w:b w:val="0"/>
                <w:sz w:val="16"/>
              </w:rPr>
              <w:t>Built‑in Ethernet + NAT Device</w:t>
            </w:r>
          </w:p>
        </w:tc>
      </w:tr>
    </w:tbl>
    <w:p>
      <w:pPr>
        <w:pStyle w:val="Caption"/>
      </w:pPr>
      <w:r>
        <w:t>Figure: Unit‑2 data acquisition architecture</w:t>
      </w:r>
    </w:p>
    <w:tbl>
      <w:tblPr>
        <w:tblW w:w="9360" w:type="dxa"/>
        <w:jc w:val="center"/>
        <w:tblLook w:firstColumn="1" w:firstRow="1" w:lastColumn="0" w:lastRow="0" w:noHBand="0" w:noVBand="1" w:val="04A0"/>
      </w:tblPr>
      <w:tblGrid>
        <w:gridCol w:w="2340"/>
        <w:gridCol w:w="2340"/>
        <w:gridCol w:w="2340"/>
        <w:gridCol w:w="2340"/>
      </w:tblGrid>
      <w:tr>
        <w:tc>
          <w:tcPr>
            <w:tcW w:w="9360" w:type="dxa"/>
            <w:gridSpan w:val="4"/>
            <w:tcBorders>
              <w:top w:val="single" w:sz="8" w:space="0" w:color="27166F"/>
              <w:left w:val="single" w:sz="8" w:space="0" w:color="27166F"/>
              <w:bottom w:val="single" w:sz="8" w:space="0" w:color="27166F"/>
              <w:right w:val="single" w:sz="8" w:space="0" w:color="27166F"/>
            </w:tcBorders>
            <w:shd w:val="clear" w:color="auto" w:fill="27166F"/>
          </w:tcPr>
          <w:p>
            <w:pPr>
              <w:spacing w:before="20" w:after="20" w:line="240" w:lineRule="auto"/>
              <w:jc w:val="center"/>
            </w:pPr>
            <w:r/>
            <w:r>
              <w:rPr>
                <w:b/>
                <w:color w:val="FFFFFF"/>
                <w:sz w:val="20"/>
              </w:rPr>
              <w:t>SmartMES Server</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p>
            <w:pPr>
              <w:spacing w:before="20" w:after="20" w:line="240" w:lineRule="auto"/>
              <w:jc w:val="center"/>
            </w:pPr>
            <w:r>
              <w:rPr>
                <w:b w:val="0"/>
                <w:sz w:val="16"/>
              </w:rPr>
              <w:t>OPC UA</w:t>
            </w:r>
          </w:p>
        </w:tc>
      </w:tr>
      <w:tr>
        <w:tc>
          <w:tcPr>
            <w:tcW w:w="9360" w:type="dxa"/>
            <w:gridSpan w:val="4"/>
            <w:tcBorders>
              <w:top w:val="single" w:sz="8" w:space="0" w:color="27166F"/>
              <w:left w:val="single" w:sz="8" w:space="0" w:color="27166F"/>
              <w:bottom w:val="single" w:sz="8" w:space="0" w:color="27166F"/>
              <w:right w:val="single" w:sz="8" w:space="0" w:color="27166F"/>
            </w:tcBorders>
            <w:shd w:val="clear" w:color="auto" w:fill="DEDAEC"/>
          </w:tcPr>
          <w:p>
            <w:pPr>
              <w:spacing w:before="20" w:after="20" w:line="240" w:lineRule="auto"/>
              <w:jc w:val="center"/>
            </w:pPr>
            <w:r/>
            <w:r>
              <w:rPr>
                <w:b/>
                <w:sz w:val="20"/>
              </w:rPr>
              <w:t>Kepware OPC Server</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tc>
      </w:tr>
      <w:tr>
        <w:tc>
          <w:tcPr>
            <w:tcW w:w="9360" w:type="dxa"/>
            <w:gridSpan w:val="4"/>
            <w:tcBorders>
              <w:top w:val="single" w:sz="8" w:space="0" w:color="27166F"/>
              <w:left w:val="single" w:sz="8" w:space="0" w:color="27166F"/>
              <w:bottom w:val="single" w:sz="8" w:space="0" w:color="27166F"/>
              <w:right w:val="single" w:sz="8" w:space="0" w:color="27166F"/>
            </w:tcBorders>
            <w:shd w:val="clear" w:color="auto" w:fill="F2F2F2"/>
          </w:tcPr>
          <w:p>
            <w:pPr>
              <w:spacing w:before="20" w:after="20" w:line="240" w:lineRule="auto"/>
              <w:jc w:val="center"/>
            </w:pPr>
            <w:r/>
            <w:r>
              <w:rPr>
                <w:b/>
                <w:sz w:val="20"/>
              </w:rPr>
              <w:t>Industrial OT Switch</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tc>
      </w:tr>
      <w:tr>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Siemens S7 PLCs</w:t>
            </w:r>
          </w:p>
          <w:p>
            <w:pPr>
              <w:spacing w:before="20" w:after="20" w:line="240" w:lineRule="auto"/>
              <w:jc w:val="center"/>
            </w:pPr>
            <w:r>
              <w:rPr>
                <w:b w:val="0"/>
                <w:sz w:val="16"/>
              </w:rPr>
              <w:t>Legacy</w:t>
            </w:r>
          </w:p>
          <w:p>
            <w:pPr>
              <w:spacing w:before="20" w:after="20" w:line="240" w:lineRule="auto"/>
              <w:jc w:val="center"/>
            </w:pPr>
            <w:r>
              <w:rPr>
                <w:b w:val="0"/>
                <w:sz w:val="16"/>
              </w:rPr>
              <w:t>OEM Communication Module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Mitsubishi PLCs</w:t>
            </w:r>
          </w:p>
          <w:p>
            <w:pPr>
              <w:spacing w:before="20" w:after="20" w:line="240" w:lineRule="auto"/>
              <w:jc w:val="center"/>
            </w:pPr>
            <w:r>
              <w:rPr>
                <w:b w:val="0"/>
                <w:sz w:val="16"/>
              </w:rPr>
              <w:t>Legacy</w:t>
            </w:r>
          </w:p>
          <w:p>
            <w:pPr>
              <w:spacing w:before="20" w:after="20" w:line="240" w:lineRule="auto"/>
              <w:jc w:val="center"/>
            </w:pPr>
            <w:r>
              <w:rPr>
                <w:b w:val="0"/>
                <w:sz w:val="16"/>
              </w:rPr>
              <w:t>OEM Communication Module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Allen‑Bradley CompactLogix</w:t>
            </w:r>
          </w:p>
          <w:p>
            <w:pPr>
              <w:spacing w:before="20" w:after="20" w:line="240" w:lineRule="auto"/>
              <w:jc w:val="center"/>
            </w:pPr>
            <w:r>
              <w:rPr>
                <w:b w:val="0"/>
                <w:sz w:val="16"/>
              </w:rPr>
              <w:t>Built‑in Ethernet</w:t>
            </w:r>
          </w:p>
          <w:p>
            <w:pPr>
              <w:spacing w:before="20" w:after="20" w:line="240" w:lineRule="auto"/>
              <w:jc w:val="center"/>
            </w:pPr>
            <w:r>
              <w:rPr>
                <w:b w:val="0"/>
                <w:sz w:val="16"/>
              </w:rPr>
              <w:t>NAT Device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Omron NJ101</w:t>
            </w:r>
          </w:p>
          <w:p>
            <w:pPr>
              <w:spacing w:before="20" w:after="20" w:line="240" w:lineRule="auto"/>
              <w:jc w:val="center"/>
            </w:pPr>
            <w:r>
              <w:rPr>
                <w:b w:val="0"/>
                <w:sz w:val="16"/>
              </w:rPr>
              <w:t>Built‑in Ethernet</w:t>
            </w:r>
          </w:p>
          <w:p>
            <w:pPr>
              <w:spacing w:before="20" w:after="20" w:line="240" w:lineRule="auto"/>
              <w:jc w:val="center"/>
            </w:pPr>
            <w:r>
              <w:rPr>
                <w:b w:val="0"/>
                <w:sz w:val="16"/>
              </w:rPr>
              <w:t>NAT Device</w:t>
            </w:r>
          </w:p>
        </w:tc>
      </w:tr>
    </w:tbl>
    <w:p>
      <w:pPr>
        <w:pStyle w:val="Caption"/>
      </w:pPr>
      <w:r>
        <w:t>Figure: Unit‑4 data acquisition architecture</w:t>
      </w:r>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rsidRPr="00DB52BE">
        <w:t>IT Architecture</w:t>
      </w:r>
      <w:bookmarkEnd w:id="17"/>
      <w:bookmarkEnd w:id="18"/>
      <w:r w:rsidRPr="00DB52BE">
        <w:t xml:space="preserve"> </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rsidRPr="00DB52BE">
        <w:lastRenderedPageBreak/>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pPr/>
      <w:r>
        <w:rPr>
          <w:b w:val="0"/>
        </w:rPr>
        <w:t>The interfacing hardware quantities below follow from the machine lists and the recommended interfacing hardware of the Machine Details section, with industrial NAT devices provided one per machine. Quantities are to be confirmed against a site survey of the installed hardware configuration before order placement.</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2600"/>
        <w:gridCol w:w="2400"/>
        <w:gridCol w:w="800"/>
        <w:gridCol w:w="800"/>
        <w:gridCol w:w="800"/>
        <w:gridCol w:w="2448"/>
      </w:tblGrid>
      <w:tr>
        <w:trPr>
          <w:tblHeader/>
        </w:trPr>
        <w:tc>
          <w:tcPr>
            <w:tcW w:type="dxa" w:w="500"/>
          </w:tcPr>
          <w:p>
            <w:pPr>
              <w:spacing w:before="0" w:after="0" w:line="240" w:lineRule="auto"/>
            </w:pPr>
            <w:r>
              <w:rPr>
                <w:sz w:val="16"/>
              </w:rPr>
              <w:t>S.No</w:t>
            </w:r>
          </w:p>
        </w:tc>
        <w:tc>
          <w:tcPr>
            <w:tcW w:type="dxa" w:w="2600"/>
          </w:tcPr>
          <w:p>
            <w:pPr>
              <w:spacing w:before="0" w:after="0" w:line="240" w:lineRule="auto"/>
            </w:pPr>
            <w:r>
              <w:rPr>
                <w:sz w:val="16"/>
              </w:rPr>
              <w:t>Item</w:t>
            </w:r>
          </w:p>
        </w:tc>
        <w:tc>
          <w:tcPr>
            <w:tcW w:type="dxa" w:w="2400"/>
          </w:tcPr>
          <w:p>
            <w:pPr>
              <w:spacing w:before="0" w:after="0" w:line="240" w:lineRule="auto"/>
            </w:pPr>
            <w:r>
              <w:rPr>
                <w:sz w:val="16"/>
              </w:rPr>
              <w:t>Manufacturer Part No.</w:t>
            </w:r>
          </w:p>
        </w:tc>
        <w:tc>
          <w:tcPr>
            <w:tcW w:type="dxa" w:w="800"/>
          </w:tcPr>
          <w:p>
            <w:pPr>
              <w:spacing w:before="0" w:after="0" w:line="240" w:lineRule="auto"/>
            </w:pPr>
            <w:r>
              <w:rPr>
                <w:sz w:val="16"/>
              </w:rPr>
              <w:t>Unit‑2</w:t>
            </w:r>
          </w:p>
        </w:tc>
        <w:tc>
          <w:tcPr>
            <w:tcW w:type="dxa" w:w="800"/>
          </w:tcPr>
          <w:p>
            <w:pPr>
              <w:spacing w:before="0" w:after="0" w:line="240" w:lineRule="auto"/>
            </w:pPr>
            <w:r>
              <w:rPr>
                <w:sz w:val="16"/>
              </w:rPr>
              <w:t>Unit‑4</w:t>
            </w:r>
          </w:p>
        </w:tc>
        <w:tc>
          <w:tcPr>
            <w:tcW w:type="dxa" w:w="800"/>
          </w:tcPr>
          <w:p>
            <w:pPr>
              <w:spacing w:before="0" w:after="0" w:line="240" w:lineRule="auto"/>
            </w:pPr>
            <w:r>
              <w:rPr>
                <w:sz w:val="16"/>
              </w:rPr>
              <w:t>Total</w:t>
            </w:r>
          </w:p>
        </w:tc>
        <w:tc>
          <w:tcPr>
            <w:tcW w:type="dxa" w:w="2448"/>
          </w:tcPr>
          <w:p>
            <w:pPr>
              <w:spacing w:before="0" w:after="0" w:line="240" w:lineRule="auto"/>
            </w:pPr>
            <w:r>
              <w:rPr>
                <w:sz w:val="16"/>
              </w:rPr>
              <w:t>Remarks</w:t>
            </w:r>
          </w:p>
        </w:tc>
      </w:tr>
      <w:tr>
        <w:tc>
          <w:tcPr>
            <w:tcW w:type="dxa" w:w="500"/>
          </w:tcPr>
          <w:p>
            <w:pPr>
              <w:spacing w:before="0" w:after="0" w:line="240" w:lineRule="auto"/>
            </w:pPr>
            <w:r>
              <w:rPr>
                <w:sz w:val="16"/>
              </w:rPr>
              <w:t>1</w:t>
            </w:r>
          </w:p>
        </w:tc>
        <w:tc>
          <w:tcPr>
            <w:tcW w:type="dxa" w:w="2600"/>
          </w:tcPr>
          <w:p>
            <w:pPr>
              <w:spacing w:before="0" w:after="0" w:line="240" w:lineRule="auto"/>
            </w:pPr>
            <w:r>
              <w:rPr>
                <w:sz w:val="16"/>
              </w:rPr>
              <w:t>Ethernet communication adapter – Mitsubishi FX2N</w:t>
            </w:r>
          </w:p>
        </w:tc>
        <w:tc>
          <w:tcPr>
            <w:tcW w:type="dxa" w:w="2400"/>
          </w:tcPr>
          <w:p>
            <w:pPr>
              <w:spacing w:before="0" w:after="0" w:line="240" w:lineRule="auto"/>
            </w:pPr>
            <w:r>
              <w:rPr>
                <w:sz w:val="16"/>
              </w:rPr>
              <w:t>FX2NC‑ENET‑ADP (or Mitsubishi‑supported equivalent)</w:t>
            </w:r>
          </w:p>
        </w:tc>
        <w:tc>
          <w:tcPr>
            <w:tcW w:type="dxa" w:w="800"/>
          </w:tcPr>
          <w:p>
            <w:pPr>
              <w:spacing w:before="0" w:after="0" w:line="240" w:lineRule="auto"/>
            </w:pPr>
            <w:r>
              <w:rPr>
                <w:sz w:val="16"/>
              </w:rPr>
              <w:t>39</w:t>
            </w:r>
          </w:p>
        </w:tc>
        <w:tc>
          <w:tcPr>
            <w:tcW w:type="dxa" w:w="800"/>
          </w:tcPr>
          <w:p>
            <w:pPr>
              <w:spacing w:before="0" w:after="0" w:line="240" w:lineRule="auto"/>
            </w:pPr>
            <w:r>
              <w:rPr>
                <w:sz w:val="16"/>
              </w:rPr>
              <w:t>31</w:t>
            </w:r>
          </w:p>
        </w:tc>
        <w:tc>
          <w:tcPr>
            <w:tcW w:type="dxa" w:w="800"/>
          </w:tcPr>
          <w:p>
            <w:pPr>
              <w:spacing w:before="0" w:after="0" w:line="240" w:lineRule="auto"/>
            </w:pPr>
            <w:r>
              <w:rPr>
                <w:sz w:val="16"/>
              </w:rPr>
              <w:t>70</w:t>
            </w:r>
          </w:p>
        </w:tc>
        <w:tc>
          <w:tcPr>
            <w:tcW w:type="dxa" w:w="2448"/>
          </w:tcPr>
          <w:p>
            <w:pPr>
              <w:spacing w:before="0" w:after="0" w:line="240" w:lineRule="auto"/>
            </w:pPr>
            <w:r>
              <w:rPr>
                <w:sz w:val="16"/>
              </w:rPr>
              <w:t>Compatibility with the installed FX2N configuration to be verified per machine.</w:t>
            </w:r>
          </w:p>
        </w:tc>
      </w:tr>
      <w:tr>
        <w:tc>
          <w:tcPr>
            <w:tcW w:type="dxa" w:w="500"/>
          </w:tcPr>
          <w:p>
            <w:pPr>
              <w:spacing w:before="0" w:after="0" w:line="240" w:lineRule="auto"/>
            </w:pPr>
            <w:r>
              <w:rPr>
                <w:sz w:val="16"/>
              </w:rPr>
              <w:t>2</w:t>
            </w:r>
          </w:p>
        </w:tc>
        <w:tc>
          <w:tcPr>
            <w:tcW w:type="dxa" w:w="2600"/>
          </w:tcPr>
          <w:p>
            <w:pPr>
              <w:spacing w:before="0" w:after="0" w:line="240" w:lineRule="auto"/>
            </w:pPr>
            <w:r>
              <w:rPr>
                <w:sz w:val="16"/>
              </w:rPr>
              <w:t>Ethernet adapter – Mitsubishi FX3U and FX3G</w:t>
            </w:r>
          </w:p>
        </w:tc>
        <w:tc>
          <w:tcPr>
            <w:tcW w:type="dxa" w:w="2400"/>
          </w:tcPr>
          <w:p>
            <w:pPr>
              <w:spacing w:before="0" w:after="0" w:line="240" w:lineRule="auto"/>
            </w:pPr>
            <w:r>
              <w:rPr>
                <w:sz w:val="16"/>
              </w:rPr>
              <w:t>FX3U‑ENET‑ADP</w:t>
            </w:r>
          </w:p>
        </w:tc>
        <w:tc>
          <w:tcPr>
            <w:tcW w:type="dxa" w:w="800"/>
          </w:tcPr>
          <w:p>
            <w:pPr>
              <w:spacing w:before="0" w:after="0" w:line="240" w:lineRule="auto"/>
            </w:pPr>
            <w:r>
              <w:rPr>
                <w:sz w:val="16"/>
              </w:rPr>
              <w:t>–</w:t>
            </w:r>
          </w:p>
        </w:tc>
        <w:tc>
          <w:tcPr>
            <w:tcW w:type="dxa" w:w="800"/>
          </w:tcPr>
          <w:p>
            <w:pPr>
              <w:spacing w:before="0" w:after="0" w:line="240" w:lineRule="auto"/>
            </w:pPr>
            <w:r>
              <w:rPr>
                <w:sz w:val="16"/>
              </w:rPr>
              <w:t>5</w:t>
            </w:r>
          </w:p>
        </w:tc>
        <w:tc>
          <w:tcPr>
            <w:tcW w:type="dxa" w:w="800"/>
          </w:tcPr>
          <w:p>
            <w:pPr>
              <w:spacing w:before="0" w:after="0" w:line="240" w:lineRule="auto"/>
            </w:pPr>
            <w:r>
              <w:rPr>
                <w:sz w:val="16"/>
              </w:rPr>
              <w:t>5</w:t>
            </w:r>
          </w:p>
        </w:tc>
        <w:tc>
          <w:tcPr>
            <w:tcW w:type="dxa" w:w="2448"/>
          </w:tcPr>
          <w:p>
            <w:pPr>
              <w:spacing w:before="0" w:after="0" w:line="240" w:lineRule="auto"/>
            </w:pPr>
            <w:r>
              <w:rPr>
                <w:sz w:val="16"/>
              </w:rPr>
              <w:t>FX3G applicability subject to the installed configuration.</w:t>
            </w:r>
          </w:p>
        </w:tc>
      </w:tr>
      <w:tr>
        <w:tc>
          <w:tcPr>
            <w:tcW w:type="dxa" w:w="500"/>
          </w:tcPr>
          <w:p>
            <w:pPr>
              <w:spacing w:before="0" w:after="0" w:line="240" w:lineRule="auto"/>
            </w:pPr>
            <w:r>
              <w:rPr>
                <w:sz w:val="16"/>
              </w:rPr>
              <w:t>3</w:t>
            </w:r>
          </w:p>
        </w:tc>
        <w:tc>
          <w:tcPr>
            <w:tcW w:type="dxa" w:w="2600"/>
          </w:tcPr>
          <w:p>
            <w:pPr>
              <w:spacing w:before="0" w:after="0" w:line="240" w:lineRule="auto"/>
            </w:pPr>
            <w:r>
              <w:rPr>
                <w:sz w:val="16"/>
              </w:rPr>
              <w:t>Ethernet communication processor – Siemens S7‑300</w:t>
            </w:r>
          </w:p>
        </w:tc>
        <w:tc>
          <w:tcPr>
            <w:tcW w:type="dxa" w:w="2400"/>
          </w:tcPr>
          <w:p>
            <w:pPr>
              <w:spacing w:before="0" w:after="0" w:line="240" w:lineRule="auto"/>
            </w:pPr>
            <w:r>
              <w:rPr>
                <w:sz w:val="16"/>
              </w:rPr>
              <w:t>CP 343‑1 Lean (6GK7343‑1CX10‑0XE0)</w:t>
            </w:r>
          </w:p>
        </w:tc>
        <w:tc>
          <w:tcPr>
            <w:tcW w:type="dxa" w:w="800"/>
          </w:tcPr>
          <w:p>
            <w:pPr>
              <w:spacing w:before="0" w:after="0" w:line="240" w:lineRule="auto"/>
            </w:pPr>
            <w:r>
              <w:rPr>
                <w:sz w:val="16"/>
              </w:rPr>
              <w:t>–</w:t>
            </w:r>
          </w:p>
        </w:tc>
        <w:tc>
          <w:tcPr>
            <w:tcW w:type="dxa" w:w="800"/>
          </w:tcPr>
          <w:p>
            <w:pPr>
              <w:spacing w:before="0" w:after="0" w:line="240" w:lineRule="auto"/>
            </w:pPr>
            <w:r>
              <w:rPr>
                <w:sz w:val="16"/>
              </w:rPr>
              <w:t>12</w:t>
            </w:r>
          </w:p>
        </w:tc>
        <w:tc>
          <w:tcPr>
            <w:tcW w:type="dxa" w:w="800"/>
          </w:tcPr>
          <w:p>
            <w:pPr>
              <w:spacing w:before="0" w:after="0" w:line="240" w:lineRule="auto"/>
            </w:pPr>
            <w:r>
              <w:rPr>
                <w:sz w:val="16"/>
              </w:rPr>
              <w:t>12</w:t>
            </w:r>
          </w:p>
        </w:tc>
        <w:tc>
          <w:tcPr>
            <w:tcW w:type="dxa" w:w="2448"/>
          </w:tcPr>
          <w:p>
            <w:pPr>
              <w:spacing w:before="0" w:after="0" w:line="240" w:lineRule="auto"/>
            </w:pPr>
            <w:r>
              <w:rPr>
                <w:sz w:val="16"/>
              </w:rPr>
              <w:t>Subject to the S7‑300 reconciliation; the equipment list shows 13 machines.</w:t>
            </w:r>
          </w:p>
        </w:tc>
      </w:tr>
      <w:tr>
        <w:tc>
          <w:tcPr>
            <w:tcW w:type="dxa" w:w="500"/>
          </w:tcPr>
          <w:p>
            <w:pPr>
              <w:spacing w:before="0" w:after="0" w:line="240" w:lineRule="auto"/>
            </w:pPr>
            <w:r>
              <w:rPr>
                <w:sz w:val="16"/>
              </w:rPr>
              <w:t>4</w:t>
            </w:r>
          </w:p>
        </w:tc>
        <w:tc>
          <w:tcPr>
            <w:tcW w:type="dxa" w:w="2600"/>
          </w:tcPr>
          <w:p>
            <w:pPr>
              <w:spacing w:before="0" w:after="0" w:line="240" w:lineRule="auto"/>
            </w:pPr>
            <w:r>
              <w:rPr>
                <w:sz w:val="16"/>
              </w:rPr>
              <w:t>Ethernet module – Siemens S7‑200</w:t>
            </w:r>
          </w:p>
        </w:tc>
        <w:tc>
          <w:tcPr>
            <w:tcW w:type="dxa" w:w="2400"/>
          </w:tcPr>
          <w:p>
            <w:pPr>
              <w:spacing w:before="0" w:after="0" w:line="240" w:lineRule="auto"/>
            </w:pPr>
            <w:r>
              <w:rPr>
                <w:sz w:val="16"/>
              </w:rPr>
              <w:t>CP243‑1 (6GK7243‑1EX01‑0XE0)</w:t>
            </w:r>
          </w:p>
        </w:tc>
        <w:tc>
          <w:tcPr>
            <w:tcW w:type="dxa" w:w="800"/>
          </w:tcPr>
          <w:p>
            <w:pPr>
              <w:spacing w:before="0" w:after="0" w:line="240" w:lineRule="auto"/>
            </w:pPr>
            <w:r>
              <w:rPr>
                <w:sz w:val="16"/>
              </w:rPr>
              <w:t>–</w:t>
            </w:r>
          </w:p>
        </w:tc>
        <w:tc>
          <w:tcPr>
            <w:tcW w:type="dxa" w:w="800"/>
          </w:tcPr>
          <w:p>
            <w:pPr>
              <w:spacing w:before="0" w:after="0" w:line="240" w:lineRule="auto"/>
            </w:pPr>
            <w:r>
              <w:rPr>
                <w:sz w:val="16"/>
              </w:rPr>
              <w:t>1</w:t>
            </w:r>
          </w:p>
        </w:tc>
        <w:tc>
          <w:tcPr>
            <w:tcW w:type="dxa" w:w="800"/>
          </w:tcPr>
          <w:p>
            <w:pPr>
              <w:spacing w:before="0" w:after="0" w:line="240" w:lineRule="auto"/>
            </w:pPr>
            <w:r>
              <w:rPr>
                <w:sz w:val="16"/>
              </w:rPr>
              <w:t>1</w:t>
            </w:r>
          </w:p>
        </w:tc>
        <w:tc>
          <w:tcPr>
            <w:tcW w:type="dxa" w:w="2448"/>
          </w:tcPr>
          <w:p>
            <w:pPr>
              <w:spacing w:before="0" w:after="0" w:line="240" w:lineRule="auto"/>
            </w:pPr>
            <w:r>
              <w:rPr>
                <w:sz w:val="16"/>
              </w:rPr>
            </w:r>
          </w:p>
        </w:tc>
      </w:tr>
      <w:tr>
        <w:tc>
          <w:tcPr>
            <w:tcW w:type="dxa" w:w="500"/>
          </w:tcPr>
          <w:p>
            <w:pPr>
              <w:spacing w:before="0" w:after="0" w:line="240" w:lineRule="auto"/>
            </w:pPr>
            <w:r>
              <w:rPr>
                <w:sz w:val="16"/>
              </w:rPr>
              <w:t>5</w:t>
            </w:r>
          </w:p>
        </w:tc>
        <w:tc>
          <w:tcPr>
            <w:tcW w:type="dxa" w:w="2600"/>
          </w:tcPr>
          <w:p>
            <w:pPr>
              <w:spacing w:before="0" w:after="0" w:line="240" w:lineRule="auto"/>
            </w:pPr>
            <w:r>
              <w:rPr>
                <w:sz w:val="16"/>
              </w:rPr>
              <w:t>EtherNet/IP adapter – Allen‑Bradley SLC500</w:t>
            </w:r>
          </w:p>
        </w:tc>
        <w:tc>
          <w:tcPr>
            <w:tcW w:type="dxa" w:w="2400"/>
          </w:tcPr>
          <w:p>
            <w:pPr>
              <w:spacing w:before="0" w:after="0" w:line="240" w:lineRule="auto"/>
            </w:pPr>
            <w:r>
              <w:rPr>
                <w:sz w:val="16"/>
              </w:rPr>
              <w:t>1747‑AENTR</w:t>
            </w:r>
          </w:p>
        </w:tc>
        <w:tc>
          <w:tcPr>
            <w:tcW w:type="dxa" w:w="800"/>
          </w:tcPr>
          <w:p>
            <w:pPr>
              <w:spacing w:before="0" w:after="0" w:line="240" w:lineRule="auto"/>
            </w:pPr>
            <w:r>
              <w:rPr>
                <w:sz w:val="16"/>
              </w:rPr>
              <w:t>1</w:t>
            </w:r>
          </w:p>
        </w:tc>
        <w:tc>
          <w:tcPr>
            <w:tcW w:type="dxa" w:w="800"/>
          </w:tcPr>
          <w:p>
            <w:pPr>
              <w:spacing w:before="0" w:after="0" w:line="240" w:lineRule="auto"/>
            </w:pPr>
            <w:r>
              <w:rPr>
                <w:sz w:val="16"/>
              </w:rPr>
              <w:t>–</w:t>
            </w:r>
          </w:p>
        </w:tc>
        <w:tc>
          <w:tcPr>
            <w:tcW w:type="dxa" w:w="800"/>
          </w:tcPr>
          <w:p>
            <w:pPr>
              <w:spacing w:before="0" w:after="0" w:line="240" w:lineRule="auto"/>
            </w:pPr>
            <w:r>
              <w:rPr>
                <w:sz w:val="16"/>
              </w:rPr>
              <w:t>1</w:t>
            </w:r>
          </w:p>
        </w:tc>
        <w:tc>
          <w:tcPr>
            <w:tcW w:type="dxa" w:w="2448"/>
          </w:tcPr>
          <w:p>
            <w:pPr>
              <w:spacing w:before="0" w:after="0" w:line="240" w:lineRule="auto"/>
            </w:pPr>
            <w:r>
              <w:rPr>
                <w:sz w:val="16"/>
              </w:rPr>
            </w:r>
          </w:p>
        </w:tc>
      </w:tr>
      <w:tr>
        <w:tc>
          <w:tcPr>
            <w:tcW w:type="dxa" w:w="500"/>
          </w:tcPr>
          <w:p>
            <w:pPr>
              <w:spacing w:before="0" w:after="0" w:line="240" w:lineRule="auto"/>
            </w:pPr>
            <w:r>
              <w:rPr>
                <w:sz w:val="16"/>
              </w:rPr>
              <w:t>6</w:t>
            </w:r>
          </w:p>
        </w:tc>
        <w:tc>
          <w:tcPr>
            <w:tcW w:type="dxa" w:w="2600"/>
          </w:tcPr>
          <w:p>
            <w:pPr>
              <w:spacing w:before="0" w:after="0" w:line="240" w:lineRule="auto"/>
            </w:pPr>
            <w:r>
              <w:rPr>
                <w:sz w:val="16"/>
              </w:rPr>
              <w:t>Industrial NAT device</w:t>
            </w:r>
          </w:p>
        </w:tc>
        <w:tc>
          <w:tcPr>
            <w:tcW w:type="dxa" w:w="2400"/>
          </w:tcPr>
          <w:p>
            <w:pPr>
              <w:spacing w:before="0" w:after="0" w:line="240" w:lineRule="auto"/>
            </w:pPr>
            <w:r>
              <w:rPr>
                <w:sz w:val="16"/>
              </w:rPr>
              <w:t>Moxa NAT‑102 or Hirschmann EAGLE One</w:t>
            </w:r>
          </w:p>
        </w:tc>
        <w:tc>
          <w:tcPr>
            <w:tcW w:type="dxa" w:w="800"/>
          </w:tcPr>
          <w:p>
            <w:pPr>
              <w:spacing w:before="0" w:after="0" w:line="240" w:lineRule="auto"/>
            </w:pPr>
            <w:r>
              <w:rPr>
                <w:sz w:val="16"/>
              </w:rPr>
              <w:t>2</w:t>
            </w:r>
          </w:p>
        </w:tc>
        <w:tc>
          <w:tcPr>
            <w:tcW w:type="dxa" w:w="800"/>
          </w:tcPr>
          <w:p>
            <w:pPr>
              <w:spacing w:before="0" w:after="0" w:line="240" w:lineRule="auto"/>
            </w:pPr>
            <w:r>
              <w:rPr>
                <w:sz w:val="16"/>
              </w:rPr>
              <w:t>23</w:t>
            </w:r>
          </w:p>
        </w:tc>
        <w:tc>
          <w:tcPr>
            <w:tcW w:type="dxa" w:w="800"/>
          </w:tcPr>
          <w:p>
            <w:pPr>
              <w:spacing w:before="0" w:after="0" w:line="240" w:lineRule="auto"/>
            </w:pPr>
            <w:r>
              <w:rPr>
                <w:sz w:val="16"/>
              </w:rPr>
              <w:t>25</w:t>
            </w:r>
          </w:p>
        </w:tc>
        <w:tc>
          <w:tcPr>
            <w:tcW w:type="dxa" w:w="2448"/>
          </w:tcPr>
          <w:p>
            <w:pPr>
              <w:spacing w:before="0" w:after="0" w:line="240" w:lineRule="auto"/>
            </w:pPr>
            <w:r>
              <w:rPr>
                <w:sz w:val="16"/>
              </w:rPr>
              <w:t>One per machine using its built‑in Ethernet port. A further unit is required if the S7‑1500 on 2 Roll Calender ‑2 is confirmed.</w:t>
            </w:r>
          </w:p>
        </w:tc>
      </w:tr>
      <w:tr>
        <w:tc>
          <w:tcPr>
            <w:tcW w:type="dxa" w:w="500"/>
          </w:tcPr>
          <w:p>
            <w:pPr>
              <w:spacing w:before="0" w:after="0" w:line="240" w:lineRule="auto"/>
            </w:pPr>
            <w:r>
              <w:rPr>
                <w:sz w:val="16"/>
              </w:rPr>
              <w:t>7</w:t>
            </w:r>
          </w:p>
        </w:tc>
        <w:tc>
          <w:tcPr>
            <w:tcW w:type="dxa" w:w="2600"/>
          </w:tcPr>
          <w:p>
            <w:pPr>
              <w:spacing w:before="0" w:after="0" w:line="240" w:lineRule="auto"/>
            </w:pPr>
            <w:r>
              <w:rPr>
                <w:sz w:val="16"/>
              </w:rPr>
              <w:t>Kepware OPC Server licence</w:t>
            </w:r>
          </w:p>
        </w:tc>
        <w:tc>
          <w:tcPr>
            <w:tcW w:type="dxa" w:w="2400"/>
          </w:tcPr>
          <w:p>
            <w:pPr>
              <w:spacing w:before="0" w:after="0" w:line="240" w:lineRule="auto"/>
            </w:pPr>
            <w:r>
              <w:rPr>
                <w:sz w:val="16"/>
              </w:rPr>
              <w:t>To be confirmed</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2448"/>
          </w:tcPr>
          <w:p>
            <w:pPr>
              <w:spacing w:before="0" w:after="0" w:line="240" w:lineRule="auto"/>
            </w:pPr>
            <w:r>
              <w:rPr>
                <w:sz w:val="16"/>
              </w:rPr>
              <w:t>Drivers required: Mitsubishi Ethernet, Allen‑Bradley Ethernet and ControlLogix/CompactLogix, Siemens TCP/IP Ethernet, Siemens S7‑200, Omron NJ.</w:t>
            </w:r>
          </w:p>
        </w:tc>
      </w:tr>
      <w:tr>
        <w:tc>
          <w:tcPr>
            <w:tcW w:type="dxa" w:w="500"/>
          </w:tcPr>
          <w:p>
            <w:pPr>
              <w:spacing w:before="0" w:after="0" w:line="240" w:lineRule="auto"/>
            </w:pPr>
            <w:r>
              <w:rPr>
                <w:sz w:val="16"/>
              </w:rPr>
              <w:t>8</w:t>
            </w:r>
          </w:p>
        </w:tc>
        <w:tc>
          <w:tcPr>
            <w:tcW w:type="dxa" w:w="2600"/>
          </w:tcPr>
          <w:p>
            <w:pPr>
              <w:spacing w:before="0" w:after="0" w:line="240" w:lineRule="auto"/>
            </w:pPr>
            <w:r>
              <w:rPr>
                <w:sz w:val="16"/>
              </w:rPr>
              <w:t>Industrial OT network switches</w:t>
            </w:r>
          </w:p>
        </w:tc>
        <w:tc>
          <w:tcPr>
            <w:tcW w:type="dxa" w:w="2400"/>
          </w:tcPr>
          <w:p>
            <w:pPr>
              <w:spacing w:before="0" w:after="0" w:line="240" w:lineRule="auto"/>
            </w:pPr>
            <w:r>
              <w:rPr>
                <w:sz w:val="16"/>
              </w:rPr>
              <w:t>To be confirmed</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2448"/>
          </w:tcPr>
          <w:p>
            <w:pPr>
              <w:spacing w:before="0" w:after="0" w:line="240" w:lineRule="auto"/>
            </w:pPr>
            <w:r>
              <w:rPr>
                <w:sz w:val="16"/>
              </w:rPr>
              <w:t>Quantity subject to the OT network design and panel locations.</w:t>
            </w:r>
          </w:p>
        </w:tc>
      </w:tr>
    </w:tbl>
    <w:p>
      <w:pPr>
        <w:pStyle w:val="Caption"/>
      </w:pPr>
      <w:r>
        <w:rPr>
          <w:b w:val="0"/>
        </w:rPr>
        <w:t>Table: Interfacing hardware bill of material</w:t>
      </w:r>
    </w:p>
    <w:p>
      <w:pPr/>
      <w:r>
        <w:rPr>
          <w:b/>
        </w:rPr>
        <w:t>Basis and exclusions:</w:t>
      </w:r>
    </w:p>
    <w:p>
      <w:pPr>
        <w:pStyle w:val="ListParagraph"/>
        <w:numPr>
          <w:ilvl w:val="0"/>
          <w:numId w:val="45"/>
        </w:numPr>
      </w:pPr>
      <w:r>
        <w:rPr>
          <w:b w:val="0"/>
        </w:rPr>
        <w:t>The quantities cover the 114 machines that carry an existing controller – 42 in Unit‑2 and 72 in Unit‑4 – of which 89 take a communication module or adapter and 25 use their built‑in Ethernet port behind a NAT device.</w:t>
      </w:r>
    </w:p>
    <w:p>
      <w:pPr>
        <w:pStyle w:val="ListParagraph"/>
        <w:numPr>
          <w:ilvl w:val="0"/>
          <w:numId w:val="45"/>
        </w:numPr>
      </w:pPr>
      <w:r>
        <w:rPr>
          <w:b w:val="0"/>
        </w:rPr>
        <w:t>The 14 new machines in Unit‑4 are excluded, as their controllers are not yet known. Interfacing hardware for these machines is to be included in the respective OEM purchase specification, or added by change request once the details are available.</w:t>
      </w:r>
    </w:p>
    <w:p>
      <w:pPr>
        <w:pStyle w:val="ListParagraph"/>
        <w:numPr>
          <w:ilvl w:val="0"/>
          <w:numId w:val="45"/>
        </w:numPr>
      </w:pPr>
      <w:r>
        <w:rPr>
          <w:b w:val="0"/>
        </w:rPr>
        <w:t>RB1‑1 to RB1‑6 in Unit‑4 have no PLC and are excluded. The data capture method for these machines is to be agreed.</w:t>
      </w:r>
    </w:p>
    <w:p>
      <w:pPr>
        <w:pStyle w:val="ListParagraph"/>
        <w:numPr>
          <w:ilvl w:val="0"/>
          <w:numId w:val="45"/>
        </w:numPr>
      </w:pPr>
      <w:r>
        <w:rPr>
          <w:b w:val="0"/>
        </w:rPr>
        <w:t>The 9 2nd Line Inspection machines held under future planning are excluded.</w:t>
      </w:r>
    </w:p>
    <w:p>
      <w:pPr>
        <w:pStyle w:val="ListParagraph"/>
        <w:numPr>
          <w:ilvl w:val="0"/>
          <w:numId w:val="45"/>
        </w:numPr>
      </w:pPr>
      <w:r>
        <w:rPr>
          <w:b w:val="0"/>
        </w:rPr>
        <w:t>Installation of this hardware on existing machines, and any consequent PLC programme change, is presently listed under Exclusions in this document and is to be agreed before the offer is finalised.</w:t>
      </w:r>
    </w:p>
    <w:p>
      <w:pPr>
        <w:pStyle w:val="ListParagraph"/>
        <w:numPr>
          <w:ilvl w:val="0"/>
          <w:numId w:val="45"/>
        </w:numPr>
      </w:pPr>
      <w:r>
        <w:rPr>
          <w:b w:val="0"/>
        </w:rPr>
        <w:t>Server, storage, operating system, database and other infrastructure items are listed against the customer in the Roles and Responsibilities section and are not part of this bill of material.</w:t>
      </w: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lastRenderedPageBreak/>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Software License</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MES modules )</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Other License</w:t>
            </w:r>
            <w:r w:rsidRPr="005772F8">
              <w:rPr>
                <w:rFonts w:eastAsia="Times New Roman" w:cs="Calibri"/>
                <w:color w:val="000000"/>
                <w:sz w:val="20"/>
                <w:szCs w:val="20"/>
                <w:lang w:eastAsia="en-IN"/>
              </w:rPr>
            </w:r>
          </w:p>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Curing SCADA, MES SCADA etc)</w:t>
            </w:r>
            <w:r w:rsidRPr="005772F8">
              <w:rPr>
                <w:rFonts w:eastAsia="Times New Roman" w:cs="Calibri"/>
                <w:color w:val="000000"/>
                <w:sz w:val="20"/>
                <w:szCs w:val="20"/>
                <w:lang w:eastAsia="en-IN"/>
              </w:rPr>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proofErr w:type="gramStart"/>
            <w:r w:rsidRPr="009579FE">
              <w:rPr>
                <w:bCs/>
              </w:rPr>
              <w:t>S.No</w:t>
            </w:r>
            <w:proofErr w:type="gramEnd"/>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 xml:space="preserve">PDA </w:t>
            </w:r>
            <w:proofErr w:type="gramStart"/>
            <w:r w:rsidRPr="009579FE">
              <w:t>etc )</w:t>
            </w:r>
            <w:proofErr w:type="gramEnd"/>
            <w:r w:rsidRPr="009579FE">
              <w:t xml:space="preserve"> specification </w:t>
            </w:r>
            <w:proofErr w:type="gramStart"/>
            <w:r w:rsidRPr="009579FE">
              <w:t>recommendation .</w:t>
            </w:r>
            <w:proofErr w:type="gramEnd"/>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proofErr w:type="spellStart"/>
            <w:r w:rsidRPr="009579FE">
              <w:t>Cordination</w:t>
            </w:r>
            <w:proofErr w:type="spellEnd"/>
            <w:r w:rsidRPr="009579FE">
              <w:t xml:space="preserve"> with all OEM's for </w:t>
            </w:r>
            <w:proofErr w:type="spellStart"/>
            <w:r w:rsidRPr="009579FE">
              <w:t>disucssion</w:t>
            </w:r>
            <w:proofErr w:type="spellEnd"/>
            <w:r w:rsidRPr="009579FE">
              <w:t xml:space="preserve">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lastRenderedPageBreak/>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 xml:space="preserve">Application </w:t>
            </w:r>
            <w:proofErr w:type="gramStart"/>
            <w:r w:rsidRPr="009579FE">
              <w:t>Monitoring :</w:t>
            </w:r>
            <w:proofErr w:type="gramEnd"/>
            <w:r w:rsidRPr="009579FE">
              <w:t xml:space="preserve">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lastRenderedPageBreak/>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lastRenderedPageBreak/>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w:t>
      </w:r>
      <w:proofErr w:type="gramStart"/>
      <w:r w:rsidR="00F75CAF" w:rsidRPr="00DB52BE">
        <w:t>a period of time</w:t>
      </w:r>
      <w:proofErr w:type="gramEnd"/>
      <w:r w:rsidR="00F75CAF" w:rsidRPr="00DB52BE">
        <w:t xml:space="preserv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w:t>
      </w:r>
      <w:proofErr w:type="gramStart"/>
      <w:r>
        <w:t>in the course of</w:t>
      </w:r>
      <w:proofErr w:type="gramEnd"/>
      <w:r>
        <w:t xml:space="preserve"> performing the Services provided that SmartControls does not use, or </w:t>
      </w:r>
      <w:proofErr w:type="gramStart"/>
      <w:r>
        <w:t>make reference</w:t>
      </w:r>
      <w:proofErr w:type="gramEnd"/>
      <w:r>
        <w:t xml:space="preserv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6"/>
      <w:headerReference w:type="default" r:id="rId17"/>
      <w:footerReference w:type="default" r:id="rId18"/>
      <w:headerReference w:type="first" r:id="rId19"/>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F2FB" w14:textId="77777777" w:rsidR="003843D2" w:rsidRDefault="003843D2" w:rsidP="007A64C0">
      <w:r>
        <w:separator/>
      </w:r>
    </w:p>
  </w:endnote>
  <w:endnote w:type="continuationSeparator" w:id="0">
    <w:p w14:paraId="40685C6D" w14:textId="77777777" w:rsidR="003843D2" w:rsidRDefault="003843D2" w:rsidP="007A64C0">
      <w:r>
        <w:continuationSeparator/>
      </w:r>
    </w:p>
  </w:endnote>
  <w:endnote w:type="continuationNotice" w:id="1">
    <w:p w14:paraId="0ABEF2AD" w14:textId="77777777" w:rsidR="003843D2" w:rsidRDefault="003843D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9"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BqP+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QSQ7iYNNtgcSAWPo8voVdCm&#10;Q/+Hs54cVvPwewdecqY/W1JyOZ3PkyVzMF9czijw55nNeQasIKiaR87G7W3MNh6J3ZDircpqvHRy&#10;bJmck0U6ujxZ8zzOf728xfUT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GywGo/6AQAA0wMAAA4AAAAAAAAAAAAAAAAA&#10;LgIAAGRycy9lMm9Eb2MueG1sUEsBAi0AFAAGAAgAAAAhAB2BQefeAAAACQEAAA8AAAAAAAAAAAAA&#10;AAAAVAQAAGRycy9kb3ducmV2LnhtbFBLBQYAAAAABAAEAPMAAABfBQAAAAA=&#10;" filled="f" stroked="f">
              <v:textbo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v:textbox>
            </v:shape>
          </w:pict>
        </mc:Fallback>
      </mc:AlternateContent>
    </w:r>
    <w:sdt>
      <w:sdtPr>
        <w:id w:val="2124883047"/>
        <w:docPartObj>
          <w:docPartGallery w:val="Page Numbers (Bottom of Page)"/>
          <w:docPartUnique/>
        </w:docPartObj>
      </w:sdtPr>
      <w:sdtEndPr/>
      <w:sdtContent>
        <w:sdt>
          <w:sdtPr>
            <w:id w:val="-1008369070"/>
            <w:docPartObj>
              <w:docPartGallery w:val="Page Numbers (Top of Page)"/>
              <w:docPartUnique/>
            </w:docPartObj>
          </w:sdtPr>
          <w:sdtEnd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3C1C8" w14:textId="77777777" w:rsidR="003843D2" w:rsidRDefault="003843D2" w:rsidP="007A64C0">
      <w:r>
        <w:separator/>
      </w:r>
    </w:p>
  </w:footnote>
  <w:footnote w:type="continuationSeparator" w:id="0">
    <w:p w14:paraId="57FBF117" w14:textId="77777777" w:rsidR="003843D2" w:rsidRDefault="003843D2" w:rsidP="007A64C0">
      <w:r>
        <w:continuationSeparator/>
      </w:r>
    </w:p>
  </w:footnote>
  <w:footnote w:type="continuationNotice" w:id="1">
    <w:p w14:paraId="4415B605" w14:textId="77777777" w:rsidR="003843D2" w:rsidRDefault="003843D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2A5F24DB" w:rsidR="00757FB9" w:rsidRDefault="00EF139F" w:rsidP="007A64C0">
    <w:pPr>
      <w:pStyle w:val="Header"/>
    </w:pPr>
    <w:r>
      <w:rPr>
        <w:noProof/>
      </w:rPr>
      <mc:AlternateContent>
        <mc:Choice Requires="wps">
          <w:drawing>
            <wp:anchor distT="0" distB="0" distL="0" distR="0" simplePos="0" relativeHeight="251662346" behindDoc="0" locked="0" layoutInCell="1" allowOverlap="1" wp14:anchorId="1F15A27A" wp14:editId="0A264C3B">
              <wp:simplePos x="635" y="635"/>
              <wp:positionH relativeFrom="page">
                <wp:align>center</wp:align>
              </wp:positionH>
              <wp:positionV relativeFrom="page">
                <wp:align>top</wp:align>
              </wp:positionV>
              <wp:extent cx="1100455" cy="368935"/>
              <wp:effectExtent l="0" t="0" r="4445" b="12065"/>
              <wp:wrapNone/>
              <wp:docPr id="927699003" name="Text Box 13"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15A27A" id="_x0000_t202" coordsize="21600,21600" o:spt="202" path="m,l,21600r21600,l21600,xe">
              <v:stroke joinstyle="miter"/>
              <v:path gradientshapeok="t" o:connecttype="rect"/>
            </v:shapetype>
            <v:shape id="Text Box 13" o:spid="_x0000_s1031" type="#_x0000_t202" alt="Confidential GREEN" style="position:absolute;margin-left:0;margin-top:0;width:86.65pt;height:29.05pt;z-index:25166234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" filled="f" stroked="f">
              <v:fill o:detectmouseclick="t"/>
              <v:textbox style="mso-fit-shape-to-text:t" inset="0,15pt,0,0">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1705A64F" w:rsidR="00763535" w:rsidRDefault="00EF139F" w:rsidP="007A64C0">
    <w:pPr>
      <w:pStyle w:val="Header"/>
    </w:pPr>
    <w:r>
      <w:rPr>
        <w:noProof/>
      </w:rPr>
      <mc:AlternateContent>
        <mc:Choice Requires="wps">
          <w:drawing>
            <wp:anchor distT="0" distB="0" distL="0" distR="0" simplePos="0" relativeHeight="251663370" behindDoc="0" locked="0" layoutInCell="1" allowOverlap="1" wp14:anchorId="4EC9F180" wp14:editId="069900E3">
              <wp:simplePos x="635" y="635"/>
              <wp:positionH relativeFrom="page">
                <wp:align>center</wp:align>
              </wp:positionH>
              <wp:positionV relativeFrom="page">
                <wp:align>top</wp:align>
              </wp:positionV>
              <wp:extent cx="1100455" cy="368935"/>
              <wp:effectExtent l="0" t="0" r="4445" b="12065"/>
              <wp:wrapNone/>
              <wp:docPr id="1342573755" name="Text Box 14"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EC9F180" id="_x0000_t202" coordsize="21600,21600" o:spt="202" path="m,l,21600r21600,l21600,xe">
              <v:stroke joinstyle="miter"/>
              <v:path gradientshapeok="t" o:connecttype="rect"/>
            </v:shapetype>
            <v:shape id="Text Box 14" o:spid="_x0000_s1032" type="#_x0000_t202" alt="Confidential GREEN" style="position:absolute;margin-left:0;margin-top:0;width:86.65pt;height:29.05pt;z-index:25166337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" filled="f" stroked="f">
              <v:fill o:detectmouseclick="t"/>
              <v:textbox style="mso-fit-shape-to-text:t" inset="0,15pt,0,0">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0C1848">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rsidR="000C1848">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3843D2">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3705BADE" w:rsidR="00757FB9" w:rsidRDefault="00EF139F" w:rsidP="007A64C0">
    <w:pPr>
      <w:pStyle w:val="Header"/>
    </w:pPr>
    <w:r>
      <w:rPr>
        <w:noProof/>
      </w:rPr>
      <mc:AlternateContent>
        <mc:Choice Requires="wps">
          <w:drawing>
            <wp:anchor distT="0" distB="0" distL="0" distR="0" simplePos="0" relativeHeight="251661322" behindDoc="0" locked="0" layoutInCell="1" allowOverlap="1" wp14:anchorId="71DEB32F" wp14:editId="444693F2">
              <wp:simplePos x="635" y="635"/>
              <wp:positionH relativeFrom="page">
                <wp:align>center</wp:align>
              </wp:positionH>
              <wp:positionV relativeFrom="page">
                <wp:align>top</wp:align>
              </wp:positionV>
              <wp:extent cx="1100455" cy="368935"/>
              <wp:effectExtent l="0" t="0" r="4445" b="12065"/>
              <wp:wrapNone/>
              <wp:docPr id="1152845522" name="Text Box 12"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1DEB32F" id="_x0000_t202" coordsize="21600,21600" o:spt="202" path="m,l,21600r21600,l21600,xe">
              <v:stroke joinstyle="miter"/>
              <v:path gradientshapeok="t" o:connecttype="rect"/>
            </v:shapetype>
            <v:shape id="Text Box 12" o:spid="_x0000_s1033" type="#_x0000_t202" alt="Confidential GREEN" style="position:absolute;margin-left:0;margin-top:0;width:86.65pt;height:29.05pt;z-index:25166132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vpbuu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175E40E6" w:rsidR="00330A8E" w:rsidRDefault="00EF139F" w:rsidP="007A64C0">
    <w:pPr>
      <w:pStyle w:val="Header"/>
    </w:pPr>
    <w:r>
      <w:rPr>
        <w:noProof/>
      </w:rPr>
      <mc:AlternateContent>
        <mc:Choice Requires="wps">
          <w:drawing>
            <wp:anchor distT="0" distB="0" distL="0" distR="0" simplePos="0" relativeHeight="251665418" behindDoc="0" locked="0" layoutInCell="1" allowOverlap="1" wp14:anchorId="15EC8170" wp14:editId="51ECBDF4">
              <wp:simplePos x="635" y="635"/>
              <wp:positionH relativeFrom="page">
                <wp:align>center</wp:align>
              </wp:positionH>
              <wp:positionV relativeFrom="page">
                <wp:align>top</wp:align>
              </wp:positionV>
              <wp:extent cx="1100455" cy="368935"/>
              <wp:effectExtent l="0" t="0" r="4445" b="12065"/>
              <wp:wrapNone/>
              <wp:docPr id="1186818312" name="Text Box 16"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5EC8170" id="_x0000_t202" coordsize="21600,21600" o:spt="202" path="m,l,21600r21600,l21600,xe">
              <v:stroke joinstyle="miter"/>
              <v:path gradientshapeok="t" o:connecttype="rect"/>
            </v:shapetype>
            <v:shape id="Text Box 16" o:spid="_x0000_s1034" type="#_x0000_t202" alt="Confidential GREEN" style="position:absolute;margin-left:0;margin-top:0;width:86.65pt;height:29.05pt;z-index:25166541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" filled="f" stroked="f">
              <v:fill o:detectmouseclick="t"/>
              <v:textbox style="mso-fit-shape-to-text:t" inset="0,15pt,0,0">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0B39648" w:rsidR="00BC1FB9" w:rsidRDefault="00EF139F" w:rsidP="007A64C0">
    <w:pPr>
      <w:pStyle w:val="Header"/>
    </w:pPr>
    <w:r>
      <w:rPr>
        <w:rFonts w:ascii="Arial" w:hAnsi="Arial" w:cs="Arial"/>
        <w:b/>
        <w:noProof/>
        <w:sz w:val="20"/>
        <w:szCs w:val="20"/>
      </w:rPr>
      <mc:AlternateContent>
        <mc:Choice Requires="wps">
          <w:drawing>
            <wp:anchor distT="0" distB="0" distL="0" distR="0" simplePos="0" relativeHeight="251666442" behindDoc="0" locked="0" layoutInCell="1" allowOverlap="1" wp14:anchorId="34994105" wp14:editId="0FEFCBCD">
              <wp:simplePos x="635" y="635"/>
              <wp:positionH relativeFrom="page">
                <wp:align>center</wp:align>
              </wp:positionH>
              <wp:positionV relativeFrom="page">
                <wp:align>top</wp:align>
              </wp:positionV>
              <wp:extent cx="1100455" cy="368935"/>
              <wp:effectExtent l="0" t="0" r="4445" b="12065"/>
              <wp:wrapNone/>
              <wp:docPr id="503385435" name="Text Box 17"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994105" id="_x0000_t202" coordsize="21600,21600" o:spt="202" path="m,l,21600r21600,l21600,xe">
              <v:stroke joinstyle="miter"/>
              <v:path gradientshapeok="t" o:connecttype="rect"/>
            </v:shapetype>
            <v:shape id="Text Box 17" o:spid="_x0000_s1035" type="#_x0000_t202" alt="Confidential GREEN" style="position:absolute;margin-left:0;margin-top:0;width:86.65pt;height:29.05pt;z-index:2516664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0BVBNw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E93EE5"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9A93A3" id="_x0000_s1036"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" strokecolor="white">
              <o:lock v:ext="edit" aspectratio="t"/>
              <v:textbo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v:textbox>
              <w10:wrap type="square" anchorx="margin"/>
            </v:shape>
          </w:pict>
        </mc:Fallback>
      </mc:AlternateContent>
    </w:r>
    <w:r w:rsidR="00E93EE5">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7FC96DAE" w:rsidR="00464D2E" w:rsidRPr="00971BF3" w:rsidRDefault="00536DA8" w:rsidP="00DA5AB2">
                          <w:pPr>
                            <w:jc w:val="center"/>
                          </w:pPr>
                          <w:r w:rsidRPr="000478AA">
                            <w:t>M</w:t>
                          </w:r>
                          <w:r w:rsidR="000478AA" w:rsidRPr="000478AA">
                            <w:t>ES – Unit 2 &amp; Unit 4</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7"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" filled="f" stroked="f">
              <o:lock v:ext="edit" aspectratio="t"/>
              <v:textbox>
                <w:txbxContent>
                  <w:p w14:paraId="70ACD642" w14:textId="7FC96DAE" w:rsidR="00464D2E" w:rsidRPr="00971BF3" w:rsidRDefault="00536DA8" w:rsidP="00DA5AB2">
                    <w:pPr>
                      <w:jc w:val="center"/>
                    </w:pPr>
                    <w:r w:rsidRPr="000478AA">
                      <w:t>M</w:t>
                    </w:r>
                    <w:r w:rsidR="000478AA" w:rsidRPr="000478AA">
                      <w:t>ES – Unit 2 &amp; Unit 4</w:t>
                    </w:r>
                  </w:p>
                </w:txbxContent>
              </v:textbox>
              <w10:wrap type="square" anchorx="margin"/>
            </v:shape>
          </w:pict>
        </mc:Fallback>
      </mc:AlternateContent>
    </w:r>
    <w:r w:rsidR="003843D2">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0AF646F0" w:rsidR="00330A8E" w:rsidRDefault="00EF139F" w:rsidP="007A64C0">
    <w:pPr>
      <w:pStyle w:val="Header"/>
    </w:pPr>
    <w:r>
      <w:rPr>
        <w:noProof/>
      </w:rPr>
      <mc:AlternateContent>
        <mc:Choice Requires="wps">
          <w:drawing>
            <wp:anchor distT="0" distB="0" distL="0" distR="0" simplePos="0" relativeHeight="251664394" behindDoc="0" locked="0" layoutInCell="1" allowOverlap="1" wp14:anchorId="250C125F" wp14:editId="5819920C">
              <wp:simplePos x="635" y="635"/>
              <wp:positionH relativeFrom="page">
                <wp:align>center</wp:align>
              </wp:positionH>
              <wp:positionV relativeFrom="page">
                <wp:align>top</wp:align>
              </wp:positionV>
              <wp:extent cx="1100455" cy="368935"/>
              <wp:effectExtent l="0" t="0" r="4445" b="12065"/>
              <wp:wrapNone/>
              <wp:docPr id="971136145" name="Text Box 15"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50C125F" id="_x0000_t202" coordsize="21600,21600" o:spt="202" path="m,l,21600r21600,l21600,xe">
              <v:stroke joinstyle="miter"/>
              <v:path gradientshapeok="t" o:connecttype="rect"/>
            </v:shapetype>
            <v:shape id="Text Box 15" o:spid="_x0000_s1040" type="#_x0000_t202" alt="Confidential GREEN" style="position:absolute;margin-left:0;margin-top:0;width:86.65pt;height:29.05pt;z-index:25166439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IKrdy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 w:numId="42">
    <w:abstractNumId w:val="6"/>
    <w:lvlOverride w:ilvl="0">
      <w:startOverride w:val="1"/>
    </w:lvlOverride>
  </w:num>
  <w:num w:numId="43">
    <w:abstractNumId w:val="6"/>
    <w:lvlOverride w:ilvl="0">
      <w:startOverride w:val="1"/>
    </w:lvlOverride>
  </w:num>
  <w:num w:numId="44">
    <w:abstractNumId w:val="6"/>
    <w:lvlOverride w:ilvl="0">
      <w:startOverride w:val="1"/>
    </w:lvlOverride>
  </w:num>
  <w:num w:numId="45">
    <w:abstractNumId w:val="6"/>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478AA"/>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3D2"/>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47D11"/>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07030"/>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0EF"/>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97D01"/>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07"/>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01B9"/>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C7F49"/>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36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03C6"/>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3BF1"/>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5F87"/>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3B40"/>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1EF6"/>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5FF9"/>
    <w:rsid w:val="00DD6CBB"/>
    <w:rsid w:val="00DD79F0"/>
    <w:rsid w:val="00DE155A"/>
    <w:rsid w:val="00DE169C"/>
    <w:rsid w:val="00DE1989"/>
    <w:rsid w:val="00DE2BC0"/>
    <w:rsid w:val="00DE37DF"/>
    <w:rsid w:val="00DE5AE5"/>
    <w:rsid w:val="00DE5D25"/>
    <w:rsid w:val="00DE6C79"/>
    <w:rsid w:val="00DF16AD"/>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366D"/>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139F"/>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665"/>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2.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3.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A9D9EA-61E0-4105-8952-925F478C4A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18</Pages>
  <Words>3887</Words>
  <Characters>22162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25998</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Goyal Sanjay (Smart Controls)</cp:lastModifiedBy>
  <cp:revision>251</cp:revision>
  <cp:lastPrinted>2022-04-28T17:51:00Z</cp:lastPrinted>
  <dcterms:created xsi:type="dcterms:W3CDTF">2022-05-23T05:30:00Z</dcterms:created>
  <dcterms:modified xsi:type="dcterms:W3CDTF">2026-07-27T07:22:00Z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y fmtid="{D5CDD505-2E9C-101B-9397-08002B2CF9AE}" pid="4" name="ClassificationContentMarkingHeaderShapeIds">
    <vt:lpwstr>44b706d2,374b903b,50060cbb,39e25c91,46bd6908,1e010d5b</vt:lpwstr>
  </property>
  <property fmtid="{D5CDD505-2E9C-101B-9397-08002B2CF9AE}" pid="5" name="ClassificationContentMarkingHeaderFontProps">
    <vt:lpwstr>#008000,10,Aptos</vt:lpwstr>
  </property>
  <property fmtid="{D5CDD505-2E9C-101B-9397-08002B2CF9AE}" pid="6" name="ClassificationContentMarkingHeaderText">
    <vt:lpwstr>Confidential GREEN</vt:lpwstr>
  </property>
  <property fmtid="{D5CDD505-2E9C-101B-9397-08002B2CF9AE}" pid="7" name="MSIP_Label_ba9a201e-2387-47a9-b4a3-a6bdc4a09bb6_Enabled">
    <vt:lpwstr>true</vt:lpwstr>
  </property>
  <property fmtid="{D5CDD505-2E9C-101B-9397-08002B2CF9AE}" pid="8" name="MSIP_Label_ba9a201e-2387-47a9-b4a3-a6bdc4a09bb6_SetDate">
    <vt:lpwstr>2026-07-27T07:08:35Z</vt:lpwstr>
  </property>
  <property fmtid="{D5CDD505-2E9C-101B-9397-08002B2CF9AE}" pid="9" name="MSIP_Label_ba9a201e-2387-47a9-b4a3-a6bdc4a09bb6_Method">
    <vt:lpwstr>Standard</vt:lpwstr>
  </property>
  <property fmtid="{D5CDD505-2E9C-101B-9397-08002B2CF9AE}" pid="10" name="MSIP_Label_ba9a201e-2387-47a9-b4a3-a6bdc4a09bb6_Name">
    <vt:lpwstr>GREEN Universal</vt:lpwstr>
  </property>
  <property fmtid="{D5CDD505-2E9C-101B-9397-08002B2CF9AE}" pid="11" name="MSIP_Label_ba9a201e-2387-47a9-b4a3-a6bdc4a09bb6_SiteId">
    <vt:lpwstr>0250981a-1133-49e1-ba8e-3b02b77bfa04</vt:lpwstr>
  </property>
  <property fmtid="{D5CDD505-2E9C-101B-9397-08002B2CF9AE}" pid="12" name="MSIP_Label_ba9a201e-2387-47a9-b4a3-a6bdc4a09bb6_ActionId">
    <vt:lpwstr>be2beade-26d0-48fb-b725-fccb03f84d0c</vt:lpwstr>
  </property>
  <property fmtid="{D5CDD505-2E9C-101B-9397-08002B2CF9AE}" pid="13" name="MSIP_Label_ba9a201e-2387-47a9-b4a3-a6bdc4a09bb6_ContentBits">
    <vt:lpwstr>1</vt:lpwstr>
  </property>
  <property fmtid="{D5CDD505-2E9C-101B-9397-08002B2CF9AE}" pid="14" name="MSIP_Label_ba9a201e-2387-47a9-b4a3-a6bdc4a09bb6_Tag">
    <vt:lpwstr>10, 3, 0, 1</vt:lpwstr>
  </property>
</Properties>
</file>