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for production execution, material and product traceability and in‑process quality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00"/>
        <w:gridCol w:w="1200"/>
        <w:gridCol w:w="450"/>
        <w:gridCol w:w="1250"/>
        <w:gridCol w:w="1050"/>
        <w:gridCol w:w="1500"/>
        <w:gridCol w:w="1450"/>
        <w:gridCol w:w="1928"/>
      </w:tblGrid>
      <w:tr>
        <w:trPr>
          <w:tblHeader/>
        </w:trPr>
        <w:tc>
          <w:tcPr>
            <w:tcW w:type="dxa" w:w="520"/>
          </w:tcPr>
          <w:p>
            <w:pPr>
              <w:spacing w:before="0" w:after="0" w:line="240" w:lineRule="auto"/>
            </w:pPr>
            <w:r>
              <w:rPr>
                <w:sz w:val="16"/>
              </w:rPr>
              <w:t>S.No</w:t>
            </w:r>
          </w:p>
        </w:tc>
        <w:tc>
          <w:tcPr>
            <w:tcW w:type="dxa" w:w="1000"/>
          </w:tcPr>
          <w:p>
            <w:pPr>
              <w:spacing w:before="0" w:after="0" w:line="240" w:lineRule="auto"/>
            </w:pPr>
            <w:r>
              <w:rPr>
                <w:sz w:val="16"/>
              </w:rPr>
              <w:t>Process Area</w:t>
            </w:r>
          </w:p>
        </w:tc>
        <w:tc>
          <w:tcPr>
            <w:tcW w:type="dxa" w:w="1200"/>
          </w:tcPr>
          <w:p>
            <w:pPr>
              <w:spacing w:before="0" w:after="0" w:line="240" w:lineRule="auto"/>
            </w:pPr>
            <w:r>
              <w:rPr>
                <w:sz w:val="16"/>
              </w:rPr>
              <w:t>Machine Group</w:t>
            </w:r>
          </w:p>
        </w:tc>
        <w:tc>
          <w:tcPr>
            <w:tcW w:type="dxa" w:w="450"/>
          </w:tcPr>
          <w:p>
            <w:pPr>
              <w:spacing w:before="0" w:after="0" w:line="240" w:lineRule="auto"/>
            </w:pPr>
            <w:r>
              <w:rPr>
                <w:sz w:val="16"/>
              </w:rPr>
              <w:t>Qty</w:t>
            </w:r>
          </w:p>
        </w:tc>
        <w:tc>
          <w:tcPr>
            <w:tcW w:type="dxa" w:w="1250"/>
          </w:tcPr>
          <w:p>
            <w:pPr>
              <w:spacing w:before="0" w:after="0" w:line="240" w:lineRule="auto"/>
            </w:pPr>
            <w:r>
              <w:rPr>
                <w:sz w:val="16"/>
              </w:rPr>
              <w:t>PLC Make</w:t>
            </w:r>
          </w:p>
        </w:tc>
        <w:tc>
          <w:tcPr>
            <w:tcW w:type="dxa" w:w="1050"/>
          </w:tcPr>
          <w:p>
            <w:pPr>
              <w:spacing w:before="0" w:after="0" w:line="240" w:lineRule="auto"/>
            </w:pPr>
            <w:r>
              <w:rPr>
                <w:sz w:val="16"/>
              </w:rPr>
              <w:t>PLC Model</w:t>
            </w:r>
          </w:p>
        </w:tc>
        <w:tc>
          <w:tcPr>
            <w:tcW w:type="dxa" w:w="1500"/>
          </w:tcPr>
          <w:p>
            <w:pPr>
              <w:spacing w:before="0" w:after="0" w:line="240" w:lineRule="auto"/>
            </w:pPr>
            <w:r>
              <w:rPr>
                <w:sz w:val="16"/>
              </w:rPr>
              <w:t>Existing Communication</w:t>
            </w:r>
          </w:p>
        </w:tc>
        <w:tc>
          <w:tcPr>
            <w:tcW w:type="dxa" w:w="1450"/>
          </w:tcPr>
          <w:p>
            <w:pPr>
              <w:spacing w:before="0" w:after="0" w:line="240" w:lineRule="auto"/>
            </w:pPr>
            <w:r>
              <w:rPr>
                <w:sz w:val="16"/>
              </w:rPr>
              <w:t>Recommended Interfacing Hardware</w:t>
            </w:r>
          </w:p>
        </w:tc>
        <w:tc>
          <w:tcPr>
            <w:tcW w:type="dxa" w:w="1928"/>
          </w:tcPr>
          <w:p>
            <w:pPr>
              <w:spacing w:before="0" w:after="0" w:line="240" w:lineRule="auto"/>
            </w:pPr>
            <w:r>
              <w:rPr>
                <w:sz w:val="16"/>
              </w:rPr>
              <w:t>SmartMES Communication</w:t>
            </w:r>
          </w:p>
        </w:tc>
      </w:tr>
      <w:tr>
        <w:tc>
          <w:tcPr>
            <w:tcW w:type="dxa" w:w="520"/>
          </w:tcPr>
          <w:p>
            <w:pPr>
              <w:spacing w:before="0" w:after="0" w:line="240" w:lineRule="auto"/>
            </w:pPr>
            <w:r>
              <w:rPr>
                <w:sz w:val="16"/>
              </w:rPr>
              <w:t>1</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J‑1 to J‑25, J‑54 to J‑56</w:t>
            </w:r>
          </w:p>
        </w:tc>
        <w:tc>
          <w:tcPr>
            <w:tcW w:type="dxa" w:w="450"/>
          </w:tcPr>
          <w:p>
            <w:pPr>
              <w:spacing w:before="0" w:after="0" w:line="240" w:lineRule="auto"/>
            </w:pPr>
            <w:r>
              <w:rPr>
                <w:sz w:val="16"/>
              </w:rPr>
              <w:t>28</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2</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OTR‑1</w:t>
            </w:r>
          </w:p>
        </w:tc>
        <w:tc>
          <w:tcPr>
            <w:tcW w:type="dxa" w:w="450"/>
          </w:tcPr>
          <w:p>
            <w:pPr>
              <w:spacing w:before="0" w:after="0" w:line="240" w:lineRule="auto"/>
            </w:pPr>
            <w:r>
              <w:rPr>
                <w:sz w:val="16"/>
              </w:rPr>
              <w:t>1</w:t>
            </w:r>
          </w:p>
        </w:tc>
        <w:tc>
          <w:tcPr>
            <w:tcW w:type="dxa" w:w="1250"/>
          </w:tcPr>
          <w:p>
            <w:pPr>
              <w:spacing w:before="0" w:after="0" w:line="240" w:lineRule="auto"/>
            </w:pPr>
            <w:r>
              <w:rPr>
                <w:sz w:val="16"/>
              </w:rPr>
              <w:t>Allen‑Bradley</w:t>
            </w:r>
          </w:p>
        </w:tc>
        <w:tc>
          <w:tcPr>
            <w:tcW w:type="dxa" w:w="1050"/>
          </w:tcPr>
          <w:p>
            <w:pPr>
              <w:spacing w:before="0" w:after="0" w:line="240" w:lineRule="auto"/>
            </w:pPr>
            <w:r>
              <w:rPr>
                <w:sz w:val="16"/>
              </w:rPr>
              <w:t>SLC500</w:t>
            </w:r>
          </w:p>
        </w:tc>
        <w:tc>
          <w:tcPr>
            <w:tcW w:type="dxa" w:w="1500"/>
          </w:tcPr>
          <w:p>
            <w:pPr>
              <w:spacing w:before="0" w:after="0" w:line="240" w:lineRule="auto"/>
            </w:pPr>
            <w:r>
              <w:rPr>
                <w:sz w:val="16"/>
              </w:rPr>
              <w:t>RS232</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(Allen‑Bradley Ethernet Driver)</w:t>
            </w:r>
          </w:p>
        </w:tc>
      </w:tr>
      <w:tr>
        <w:tc>
          <w:tcPr>
            <w:tcW w:type="dxa" w:w="520"/>
          </w:tcPr>
          <w:p>
            <w:pPr>
              <w:spacing w:before="0" w:after="0" w:line="240" w:lineRule="auto"/>
            </w:pPr>
            <w:r>
              <w:rPr>
                <w:sz w:val="16"/>
              </w:rPr>
              <w:t>3</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AMCL‑1 to AMCL‑6</w:t>
            </w:r>
          </w:p>
        </w:tc>
        <w:tc>
          <w:tcPr>
            <w:tcW w:type="dxa" w:w="450"/>
          </w:tcPr>
          <w:p>
            <w:pPr>
              <w:spacing w:before="0" w:after="0" w:line="240" w:lineRule="auto"/>
            </w:pPr>
            <w:r>
              <w:rPr>
                <w:sz w:val="16"/>
              </w:rPr>
              <w:t>6</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4</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LNT‑1 to LNT‑5</w:t>
            </w:r>
          </w:p>
        </w:tc>
        <w:tc>
          <w:tcPr>
            <w:tcW w:type="dxa" w:w="450"/>
          </w:tcPr>
          <w:p>
            <w:pPr>
              <w:spacing w:before="0" w:after="0" w:line="240" w:lineRule="auto"/>
            </w:pPr>
            <w:r>
              <w:rPr>
                <w:sz w:val="16"/>
              </w:rPr>
              <w:t>5</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5</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AMCL‑7 &amp; AMCL‑8</w:t>
            </w:r>
          </w:p>
        </w:tc>
        <w:tc>
          <w:tcPr>
            <w:tcW w:type="dxa" w:w="450"/>
          </w:tcPr>
          <w:p>
            <w:pPr>
              <w:spacing w:before="0" w:after="0" w:line="240" w:lineRule="auto"/>
            </w:pPr>
            <w:r>
              <w:rPr>
                <w:sz w:val="16"/>
              </w:rPr>
              <w:t>2</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FX5U</w:t>
            </w:r>
          </w:p>
        </w:tc>
        <w:tc>
          <w:tcPr>
            <w:tcW w:type="dxa" w:w="1500"/>
          </w:tcPr>
          <w:p>
            <w:pPr>
              <w:spacing w:before="0" w:after="0" w:line="240" w:lineRule="auto"/>
            </w:pPr>
            <w:r>
              <w:rPr>
                <w:sz w:val="16"/>
              </w:rPr>
              <w:t>Built‑in Ethernet</w:t>
            </w:r>
          </w:p>
        </w:tc>
        <w:tc>
          <w:tcPr>
            <w:tcW w:type="dxa" w:w="1450"/>
          </w:tcPr>
          <w:p>
            <w:pPr>
              <w:spacing w:before="0" w:after="0" w:line="240" w:lineRule="auto"/>
            </w:pPr>
            <w:r>
              <w:rPr>
                <w:sz w:val="16"/>
              </w:rPr>
              <w:t>Use built‑in Ethernet port</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b/>
                <w:sz w:val="16"/>
              </w:rPr>
            </w:r>
          </w:p>
        </w:tc>
        <w:tc>
          <w:tcPr>
            <w:tcW w:type="dxa" w:w="1000"/>
          </w:tcPr>
          <w:p>
            <w:pPr>
              <w:spacing w:before="0" w:after="0" w:line="240" w:lineRule="auto"/>
            </w:pPr>
            <w:r>
              <w:rPr>
                <w:b/>
                <w:sz w:val="16"/>
              </w:rPr>
              <w:t>Total</w:t>
            </w:r>
          </w:p>
        </w:tc>
        <w:tc>
          <w:tcPr>
            <w:tcW w:type="dxa" w:w="1200"/>
          </w:tcPr>
          <w:p>
            <w:pPr>
              <w:spacing w:before="0" w:after="0" w:line="240" w:lineRule="auto"/>
            </w:pPr>
            <w:r>
              <w:rPr>
                <w:b/>
                <w:sz w:val="16"/>
              </w:rPr>
            </w:r>
          </w:p>
        </w:tc>
        <w:tc>
          <w:tcPr>
            <w:tcW w:type="dxa" w:w="450"/>
          </w:tcPr>
          <w:p>
            <w:pPr>
              <w:spacing w:before="0" w:after="0" w:line="240" w:lineRule="auto"/>
            </w:pPr>
            <w:r>
              <w:rPr>
                <w:b/>
                <w:sz w:val="16"/>
              </w:rPr>
              <w:t>42</w:t>
            </w:r>
          </w:p>
        </w:tc>
        <w:tc>
          <w:tcPr>
            <w:tcW w:type="dxa" w:w="1250"/>
          </w:tcPr>
          <w:p>
            <w:pPr>
              <w:spacing w:before="0" w:after="0" w:line="240" w:lineRule="auto"/>
            </w:pPr>
            <w:r>
              <w:rPr>
                <w:b/>
                <w:sz w:val="16"/>
              </w:rPr>
            </w:r>
          </w:p>
        </w:tc>
        <w:tc>
          <w:tcPr>
            <w:tcW w:type="dxa" w:w="1050"/>
          </w:tcPr>
          <w:p>
            <w:pPr>
              <w:spacing w:before="0" w:after="0" w:line="240" w:lineRule="auto"/>
            </w:pPr>
            <w:r>
              <w:rPr>
                <w:b/>
                <w:sz w:val="16"/>
              </w:rPr>
            </w:r>
          </w:p>
        </w:tc>
        <w:tc>
          <w:tcPr>
            <w:tcW w:type="dxa" w:w="1500"/>
          </w:tcPr>
          <w:p>
            <w:pPr>
              <w:spacing w:before="0" w:after="0" w:line="240" w:lineRule="auto"/>
            </w:pPr>
            <w:r>
              <w:rPr>
                <w:b/>
                <w:sz w:val="16"/>
              </w:rPr>
            </w:r>
          </w:p>
        </w:tc>
        <w:tc>
          <w:tcPr>
            <w:tcW w:type="dxa" w:w="1450"/>
          </w:tcPr>
          <w:p>
            <w:pPr>
              <w:spacing w:before="0" w:after="0" w:line="240" w:lineRule="auto"/>
            </w:pPr>
            <w:r>
              <w:rPr>
                <w:b/>
                <w:sz w:val="16"/>
              </w:rPr>
            </w:r>
          </w:p>
        </w:tc>
        <w:tc>
          <w:tcPr>
            <w:tcW w:type="dxa" w:w="1928"/>
          </w:tcPr>
          <w:p>
            <w:pPr>
              <w:spacing w:before="0" w:after="0" w:line="240" w:lineRule="auto"/>
            </w:pPr>
            <w:r>
              <w:rPr>
                <w:b/>
                <w:sz w:val="16"/>
              </w:rPr>
            </w:r>
          </w:p>
        </w:tc>
      </w:tr>
    </w:tbl>
    <w:p>
      <w:pPr>
        <w:pStyle w:val="Caption"/>
      </w:pPr>
      <w:r>
        <w:t>Table: Unit‑2 machine and control system details</w:t>
      </w:r>
    </w:p>
    <w:p>
      <w:pPr/>
      <w:r>
        <w:rPr>
          <w:b w:val="0"/>
        </w:rPr>
        <w:t>On the FX2N and SLC500 machines the RS232 port is occupied by the HMI, so no external communication port is free; the recommended OEM Ethernet communication module addresses this. Programming software required for these machines is GX Developer (Mitsubishi) and RSLogix (Allen‑Bradley).</w:t>
      </w:r>
    </w:p>
    <w:p>
      <w:pPr/>
      <w:r>
        <w:t>The interfacing hardware recommended for each controller type in Unit‑2 is given below. Final selection is to be confirmed against the installed hardware configuration of each machine during the Functional Design phase.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250"/>
        <w:gridCol w:w="1000"/>
        <w:gridCol w:w="3200"/>
        <w:gridCol w:w="1500"/>
        <w:gridCol w:w="2498"/>
      </w:tblGrid>
      <w:tr>
        <w:trPr>
          <w:tblHeader/>
        </w:trPr>
        <w:tc>
          <w:tcPr>
            <w:tcW w:type="dxa" w:w="900"/>
          </w:tcPr>
          <w:p>
            <w:r>
              <w:rPr>
                <w:sz w:val="16"/>
              </w:rPr>
              <w:t>Process Area</w:t>
            </w:r>
          </w:p>
        </w:tc>
        <w:tc>
          <w:tcPr>
            <w:tcW w:type="dxa" w:w="1250"/>
          </w:tcPr>
          <w:p>
            <w:r>
              <w:rPr>
                <w:sz w:val="16"/>
              </w:rPr>
              <w:t>PLC Make</w:t>
            </w:r>
          </w:p>
        </w:tc>
        <w:tc>
          <w:tcPr>
            <w:tcW w:type="dxa" w:w="1000"/>
          </w:tcPr>
          <w:p>
            <w:r>
              <w:rPr>
                <w:sz w:val="16"/>
              </w:rPr>
              <w:t>PLC Model</w:t>
            </w:r>
          </w:p>
        </w:tc>
        <w:tc>
          <w:tcPr>
            <w:tcW w:type="dxa" w:w="3200"/>
          </w:tcPr>
          <w:p>
            <w:r>
              <w:rPr>
                <w:sz w:val="16"/>
              </w:rPr>
              <w:t>Recommended Hardware</w:t>
            </w:r>
          </w:p>
        </w:tc>
        <w:tc>
          <w:tcPr>
            <w:tcW w:type="dxa" w:w="1500"/>
          </w:tcPr>
          <w:p>
            <w:r>
              <w:rPr>
                <w:sz w:val="16"/>
              </w:rPr>
              <w:t>Kepware Connectivity</w:t>
            </w:r>
          </w:p>
        </w:tc>
        <w:tc>
          <w:tcPr>
            <w:tcW w:type="dxa" w:w="2498"/>
          </w:tcPr>
          <w:p>
            <w:r>
              <w:rPr>
                <w:sz w:val="16"/>
              </w:rPr>
              <w:t>Remarks</w:t>
            </w:r>
          </w:p>
        </w:tc>
      </w:tr>
      <w:tr>
        <w:tc>
          <w:tcPr>
            <w:tcW w:type="dxa" w:w="900"/>
          </w:tcPr>
          <w:p>
            <w:r>
              <w:rPr>
                <w:sz w:val="16"/>
              </w:rPr>
              <w:t>TBB / LCV</w:t>
            </w:r>
          </w:p>
        </w:tc>
        <w:tc>
          <w:tcPr>
            <w:tcW w:type="dxa" w:w="1250"/>
          </w:tcPr>
          <w:p>
            <w:r>
              <w:rPr>
                <w:sz w:val="16"/>
              </w:rPr>
              <w:t>Mitsubishi</w:t>
            </w:r>
          </w:p>
        </w:tc>
        <w:tc>
          <w:tcPr>
            <w:tcW w:type="dxa" w:w="1000"/>
          </w:tcPr>
          <w:p>
            <w:r>
              <w:rPr>
                <w:sz w:val="16"/>
              </w:rPr>
              <w:t>FX2N‑64MR</w:t>
            </w:r>
          </w:p>
        </w:tc>
        <w:tc>
          <w:tcPr>
            <w:tcW w:type="dxa" w:w="3200"/>
          </w:tcPr>
          <w:p>
            <w:r>
              <w:rPr>
                <w:b/>
                <w:sz w:val="16"/>
              </w:rPr>
              <w:t>Mitsubishi FX2NC‑ENET‑ADP</w:t>
            </w:r>
            <w:r>
              <w:rPr>
                <w:sz w:val="16"/>
              </w:rPr>
              <w:t xml:space="preserve"> (Ethernet Adapter) or an OEM‑compatible Ethernet communication solution for the installed FX2N configuration</w:t>
            </w:r>
          </w:p>
        </w:tc>
        <w:tc>
          <w:tcPr>
            <w:tcW w:type="dxa" w:w="1500"/>
          </w:tcPr>
          <w:p>
            <w:r>
              <w:rPr>
                <w:sz w:val="16"/>
              </w:rPr>
              <w:t>Mitsubishi Ethernet Driver</w:t>
            </w:r>
          </w:p>
        </w:tc>
        <w:tc>
          <w:tcPr>
            <w:tcW w:type="dxa" w:w="2498"/>
          </w:tcPr>
          <w:p>
            <w:r>
              <w:rPr>
                <w:sz w:val="16"/>
              </w:rPr>
              <w:t>Mitsubishi documentation shows Ethernet adapters for FX2N‑family controllers, but implementation depends on the installed hardware configuration.</w:t>
            </w:r>
          </w:p>
        </w:tc>
      </w:tr>
      <w:tr>
        <w:tc>
          <w:tcPr>
            <w:tcW w:type="dxa" w:w="900"/>
          </w:tcPr>
          <w:p>
            <w:r>
              <w:rPr>
                <w:sz w:val="16"/>
              </w:rPr>
              <w:t>TBB</w:t>
            </w:r>
          </w:p>
        </w:tc>
        <w:tc>
          <w:tcPr>
            <w:tcW w:type="dxa" w:w="1250"/>
          </w:tcPr>
          <w:p>
            <w:r>
              <w:rPr>
                <w:sz w:val="16"/>
              </w:rPr>
              <w:t>Allen‑Bradley</w:t>
            </w:r>
          </w:p>
        </w:tc>
        <w:tc>
          <w:tcPr>
            <w:tcW w:type="dxa" w:w="1000"/>
          </w:tcPr>
          <w:p>
            <w:r>
              <w:rPr>
                <w:sz w:val="16"/>
              </w:rPr>
              <w:t>SLC500</w:t>
            </w:r>
          </w:p>
        </w:tc>
        <w:tc>
          <w:tcPr>
            <w:tcW w:type="dxa" w:w="3200"/>
          </w:tcPr>
          <w:p>
            <w:r>
              <w:rPr>
                <w:b/>
                <w:sz w:val="16"/>
              </w:rPr>
              <w:t>1747‑AENTR EtherNet/IP Adapter</w:t>
            </w:r>
          </w:p>
        </w:tc>
        <w:tc>
          <w:tcPr>
            <w:tcW w:type="dxa" w:w="1500"/>
          </w:tcPr>
          <w:p>
            <w:r>
              <w:rPr>
                <w:sz w:val="16"/>
              </w:rPr>
              <w:t>Allen‑Bradley Ethernet Driver</w:t>
            </w:r>
          </w:p>
        </w:tc>
        <w:tc>
          <w:tcPr>
            <w:tcW w:type="dxa" w:w="2498"/>
          </w:tcPr>
          <w:p>
            <w:r>
              <w:rPr>
                <w:sz w:val="16"/>
              </w:rPr>
              <w:t>Provides EtherNet/IP connectivity for SLC500 systems.</w:t>
            </w:r>
          </w:p>
        </w:tc>
      </w:tr>
      <w:tr>
        <w:tc>
          <w:tcPr>
            <w:tcW w:type="dxa" w:w="900"/>
          </w:tcPr>
          <w:p>
            <w:r>
              <w:rPr>
                <w:sz w:val="16"/>
              </w:rPr>
              <w:t>LCV</w:t>
            </w:r>
          </w:p>
        </w:tc>
        <w:tc>
          <w:tcPr>
            <w:tcW w:type="dxa" w:w="1250"/>
          </w:tcPr>
          <w:p>
            <w:r>
              <w:rPr>
                <w:sz w:val="16"/>
              </w:rPr>
              <w:t>Mitsubishi</w:t>
            </w:r>
          </w:p>
        </w:tc>
        <w:tc>
          <w:tcPr>
            <w:tcW w:type="dxa" w:w="1000"/>
          </w:tcPr>
          <w:p>
            <w:r>
              <w:rPr>
                <w:sz w:val="16"/>
              </w:rPr>
              <w:t>FX5U</w:t>
            </w:r>
          </w:p>
        </w:tc>
        <w:tc>
          <w:tcPr>
            <w:tcW w:type="dxa" w:w="3200"/>
          </w:tcPr>
          <w:p>
            <w:r>
              <w:rPr>
                <w:b/>
                <w:sz w:val="16"/>
              </w:rPr>
              <w:t>No communication module required.</w:t>
            </w:r>
            <w:r>
              <w:rPr>
                <w:sz w:val="16"/>
              </w:rPr>
              <w:t xml:space="preserve"> Use the built‑in Ethernet and isolate it using an Industrial NAT device.</w:t>
            </w:r>
          </w:p>
        </w:tc>
        <w:tc>
          <w:tcPr>
            <w:tcW w:type="dxa" w:w="1500"/>
          </w:tcPr>
          <w:p>
            <w:r>
              <w:rPr>
                <w:sz w:val="16"/>
              </w:rPr>
              <w:t>Mitsubishi Ethernet Driver</w:t>
            </w:r>
          </w:p>
        </w:tc>
        <w:tc>
          <w:tcPr>
            <w:tcW w:type="dxa" w:w="2498"/>
          </w:tcPr>
          <w:p>
            <w:r>
              <w:rPr>
                <w:sz w:val="16"/>
              </w:rPr>
              <w:t>This is the preferred architecture unless the customer specifically requires an additional Ethernet network module.</w:t>
            </w:r>
          </w:p>
        </w:tc>
      </w:tr>
    </w:tbl>
    <w:p>
      <w:pPr>
        <w:pStyle w:val="Caption"/>
      </w:pPr>
      <w:r>
        <w:t>Table: Unit‑2 recommended interfacing hardware</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1400"/>
        <w:gridCol w:w="2300"/>
        <w:gridCol w:w="1100"/>
        <w:gridCol w:w="1250"/>
        <w:gridCol w:w="2100"/>
        <w:gridCol w:w="1648"/>
      </w:tblGrid>
      <w:tr>
        <w:trPr>
          <w:tblHeader/>
        </w:trPr>
        <w:tc>
          <w:tcPr>
            <w:tcW w:type="dxa" w:w="550"/>
          </w:tcPr>
          <w:p>
            <w:pPr>
              <w:spacing w:before="0" w:after="0" w:line="240" w:lineRule="auto"/>
            </w:pPr>
            <w:r>
              <w:rPr>
                <w:sz w:val="16"/>
              </w:rPr>
              <w:t>S.No</w:t>
            </w:r>
          </w:p>
        </w:tc>
        <w:tc>
          <w:tcPr>
            <w:tcW w:type="dxa" w:w="1400"/>
          </w:tcPr>
          <w:p>
            <w:pPr>
              <w:spacing w:before="0" w:after="0" w:line="240" w:lineRule="auto"/>
            </w:pPr>
            <w:r>
              <w:rPr>
                <w:sz w:val="16"/>
              </w:rPr>
              <w:t>Process Area</w:t>
            </w:r>
          </w:p>
        </w:tc>
        <w:tc>
          <w:tcPr>
            <w:tcW w:type="dxa" w:w="2300"/>
          </w:tcPr>
          <w:p>
            <w:pPr>
              <w:spacing w:before="0" w:after="0" w:line="240" w:lineRule="auto"/>
            </w:pPr>
            <w:r>
              <w:rPr>
                <w:sz w:val="16"/>
              </w:rPr>
              <w:t>Machine No.</w:t>
            </w:r>
          </w:p>
        </w:tc>
        <w:tc>
          <w:tcPr>
            <w:tcW w:type="dxa" w:w="1100"/>
          </w:tcPr>
          <w:p>
            <w:pPr>
              <w:spacing w:before="0" w:after="0" w:line="240" w:lineRule="auto"/>
            </w:pPr>
            <w:r>
              <w:rPr>
                <w:sz w:val="16"/>
              </w:rPr>
              <w:t>PLC Available</w:t>
            </w:r>
          </w:p>
        </w:tc>
        <w:tc>
          <w:tcPr>
            <w:tcW w:type="dxa" w:w="1250"/>
          </w:tcPr>
          <w:p>
            <w:pPr>
              <w:spacing w:before="0" w:after="0" w:line="240" w:lineRule="auto"/>
            </w:pPr>
            <w:r>
              <w:rPr>
                <w:sz w:val="16"/>
              </w:rPr>
              <w:t>PLC Make</w:t>
            </w:r>
          </w:p>
        </w:tc>
        <w:tc>
          <w:tcPr>
            <w:tcW w:type="dxa" w:w="2100"/>
          </w:tcPr>
          <w:p>
            <w:pPr>
              <w:spacing w:before="0" w:after="0" w:line="240" w:lineRule="auto"/>
            </w:pPr>
            <w:r>
              <w:rPr>
                <w:sz w:val="16"/>
              </w:rPr>
              <w:t>PLC Model</w:t>
            </w:r>
          </w:p>
        </w:tc>
        <w:tc>
          <w:tcPr>
            <w:tcW w:type="dxa" w:w="1648"/>
          </w:tcPr>
          <w:p>
            <w:pPr>
              <w:spacing w:before="0" w:after="0" w:line="240" w:lineRule="auto"/>
            </w:pPr>
            <w:r>
              <w:rPr>
                <w:sz w:val="16"/>
              </w:rPr>
              <w:t>Remark</w:t>
            </w:r>
          </w:p>
        </w:tc>
      </w:tr>
      <w:tr>
        <w:tc>
          <w:tcPr>
            <w:tcW w:type="dxa" w:w="550"/>
          </w:tcPr>
          <w:p>
            <w:pPr>
              <w:spacing w:before="0" w:after="0" w:line="240" w:lineRule="auto"/>
            </w:pPr>
            <w:r>
              <w:rPr>
                <w:sz w:val="16"/>
              </w:rPr>
              <w:t>1</w:t>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2</w:t>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313C‑2DP/1214PN</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(CUSHION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t>Machine upgradation work is ongoing</w:t>
            </w:r>
          </w:p>
        </w:tc>
      </w:tr>
      <w:tr>
        <w:tc>
          <w:tcPr>
            <w:tcW w:type="dxa" w:w="550"/>
          </w:tcPr>
          <w:p>
            <w:pPr>
              <w:spacing w:before="0" w:after="0" w:line="240" w:lineRule="auto"/>
            </w:pPr>
            <w:r>
              <w:rPr>
                <w:sz w:val="16"/>
              </w:rPr>
              <w:t>3</w:t>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4</w:t>
            </w:r>
          </w:p>
        </w:tc>
        <w:tc>
          <w:tcPr>
            <w:tcW w:type="dxa" w:w="1400"/>
          </w:tcPr>
          <w:p>
            <w:pPr>
              <w:spacing w:before="0" w:after="0" w:line="240" w:lineRule="auto"/>
            </w:pPr>
            <w:r>
              <w:rPr>
                <w:sz w:val="16"/>
              </w:rPr>
              <w:t>2 Roll Calender -2</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1515‑2PN</w:t>
            </w:r>
          </w:p>
        </w:tc>
        <w:tc>
          <w:tcPr>
            <w:tcW w:type="dxa" w:w="1648"/>
          </w:tcPr>
          <w:p>
            <w:pPr>
              <w:spacing w:before="0" w:after="0" w:line="240" w:lineRule="auto"/>
            </w:pPr>
            <w:r>
              <w:rPr>
                <w:sz w:val="16"/>
              </w:rPr>
            </w:r>
          </w:p>
        </w:tc>
      </w:tr>
      <w:tr>
        <w:tc>
          <w:tcPr>
            <w:tcW w:type="dxa" w:w="550"/>
          </w:tcPr>
          <w:p>
            <w:pPr>
              <w:spacing w:before="0" w:after="0" w:line="240" w:lineRule="auto"/>
            </w:pPr>
            <w:r>
              <w:rPr>
                <w:sz w:val="16"/>
              </w:rPr>
              <w:t>5</w:t>
            </w:r>
          </w:p>
        </w:tc>
        <w:tc>
          <w:tcPr>
            <w:tcW w:type="dxa" w:w="1400"/>
          </w:tcPr>
          <w:p>
            <w:pPr>
              <w:spacing w:before="0" w:after="0" w:line="240" w:lineRule="auto"/>
            </w:pPr>
            <w:r>
              <w:rPr>
                <w:sz w:val="16"/>
              </w:rPr>
              <w:t>2 Roll Calender -3</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3 Roll Calender -3</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6</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7</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8</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9</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11</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S7‑200 (224‑DC/DC/DC)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12</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Long Cutter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FX3G‑24M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13</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14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FX5U‑84MT</w:t>
            </w:r>
          </w:p>
        </w:tc>
        <w:tc>
          <w:tcPr>
            <w:tcW w:type="dxa" w:w="1648"/>
          </w:tcPr>
          <w:p>
            <w:pPr>
              <w:spacing w:before="0" w:after="0" w:line="240" w:lineRule="auto"/>
            </w:pPr>
            <w:r>
              <w:rPr>
                <w:sz w:val="16"/>
              </w:rPr>
            </w:r>
          </w:p>
        </w:tc>
      </w:tr>
      <w:tr>
        <w:tc>
          <w:tcPr>
            <w:tcW w:type="dxa" w:w="550"/>
          </w:tcPr>
          <w:p>
            <w:pPr>
              <w:spacing w:before="0" w:after="0" w:line="240" w:lineRule="auto"/>
            </w:pPr>
            <w:r>
              <w:rPr>
                <w:sz w:val="16"/>
              </w:rPr>
              <w:t>16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BTU‑16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FX2N‑48MR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RB1‑1</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49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RB1‑2</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RB1‑3</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RB1‑4</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RB1‑5</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RB1‑6</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STU‑35</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STU‑36</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59</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60</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61</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62</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63</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64</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65</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66</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85</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86</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87</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88</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89</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90</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91</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92</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93</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94</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96</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97</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FX3G‑60M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98</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99</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100</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101</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102</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103</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104</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106</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Inspection‑1</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107</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Inspection‑2</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108</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Inspection‑3</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109</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Inspection‑4</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110</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Inspection‑5</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111</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Inspection‑6</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112</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Inspection‑7</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113</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Inspection‑8</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114</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Inspection‑9</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b/>
                <w:sz w:val="16"/>
              </w:rPr>
            </w:r>
          </w:p>
        </w:tc>
        <w:tc>
          <w:tcPr>
            <w:tcW w:type="dxa" w:w="1400"/>
          </w:tcPr>
          <w:p>
            <w:pPr>
              <w:spacing w:before="0" w:after="0" w:line="240" w:lineRule="auto"/>
            </w:pPr>
            <w:r>
              <w:rPr>
                <w:b/>
                <w:sz w:val="16"/>
              </w:rPr>
              <w:t>Total</w:t>
            </w:r>
          </w:p>
        </w:tc>
        <w:tc>
          <w:tcPr>
            <w:tcW w:type="dxa" w:w="2300"/>
          </w:tcPr>
          <w:p>
            <w:pPr>
              <w:spacing w:before="0" w:after="0" w:line="240" w:lineRule="auto"/>
            </w:pPr>
            <w:r>
              <w:rPr>
                <w:b/>
                <w:sz w:val="16"/>
              </w:rPr>
            </w:r>
          </w:p>
        </w:tc>
        <w:tc>
          <w:tcPr>
            <w:tcW w:type="dxa" w:w="1100"/>
          </w:tcPr>
          <w:p>
            <w:pPr>
              <w:spacing w:before="0" w:after="0" w:line="240" w:lineRule="auto"/>
            </w:pPr>
            <w:r>
              <w:rPr>
                <w:b/>
                <w:sz w:val="16"/>
              </w:rPr>
              <w:t>103</w:t>
            </w:r>
          </w:p>
        </w:tc>
        <w:tc>
          <w:tcPr>
            <w:tcW w:type="dxa" w:w="1250"/>
          </w:tcPr>
          <w:p>
            <w:pPr>
              <w:spacing w:before="0" w:after="0" w:line="240" w:lineRule="auto"/>
            </w:pPr>
            <w:r>
              <w:rPr>
                <w:b/>
                <w:sz w:val="16"/>
              </w:rPr>
            </w:r>
          </w:p>
        </w:tc>
        <w:tc>
          <w:tcPr>
            <w:tcW w:type="dxa" w:w="2100"/>
          </w:tcPr>
          <w:p>
            <w:pPr>
              <w:spacing w:before="0" w:after="0" w:line="240" w:lineRule="auto"/>
            </w:pPr>
            <w:r>
              <w:rPr>
                <w:b/>
                <w:sz w:val="16"/>
              </w:rPr>
            </w:r>
          </w:p>
        </w:tc>
        <w:tc>
          <w:tcPr>
            <w:tcW w:type="dxa" w:w="1648"/>
          </w:tcPr>
          <w:p>
            <w:pPr>
              <w:spacing w:before="0" w:after="0" w:line="240" w:lineRule="auto"/>
            </w:pPr>
            <w:r>
              <w:rPr>
                <w:b/>
                <w:sz w:val="16"/>
              </w:rPr>
            </w:r>
          </w:p>
        </w:tc>
      </w:tr>
    </w:tbl>
    <w:p>
      <w:pPr>
        <w:pStyle w:val="Caption"/>
      </w:pPr>
      <w:r>
        <w:t>Table: Unit‑4 machine and control system details</w:t>
      </w:r>
    </w:p>
    <w:p>
      <w:pPr/>
      <w:r>
        <w:rPr>
          <w:b w:val="0"/>
        </w:rPr>
        <w:t>The interfacing approach recommended for each controller family in Unit‑4 is given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900"/>
        <w:gridCol w:w="450"/>
        <w:gridCol w:w="1400"/>
        <w:gridCol w:w="1800"/>
        <w:gridCol w:w="1600"/>
        <w:gridCol w:w="1498"/>
      </w:tblGrid>
      <w:tr>
        <w:trPr>
          <w:tblHeader/>
        </w:trPr>
        <w:tc>
          <w:tcPr>
            <w:tcW w:type="dxa" w:w="1700"/>
          </w:tcPr>
          <w:p>
            <w:pPr>
              <w:spacing w:before="0" w:after="0" w:line="240" w:lineRule="auto"/>
            </w:pPr>
            <w:r>
              <w:rPr>
                <w:b w:val="0"/>
                <w:i w:val="0"/>
                <w:sz w:val="16"/>
              </w:rPr>
              <w:t>PLC Family</w:t>
            </w:r>
          </w:p>
        </w:tc>
        <w:tc>
          <w:tcPr>
            <w:tcW w:type="dxa" w:w="1900"/>
          </w:tcPr>
          <w:p>
            <w:pPr>
              <w:spacing w:before="0" w:after="0" w:line="240" w:lineRule="auto"/>
            </w:pPr>
            <w:r>
              <w:rPr>
                <w:b w:val="0"/>
                <w:i w:val="0"/>
                <w:sz w:val="16"/>
              </w:rPr>
              <w:t>Machines</w:t>
            </w:r>
          </w:p>
        </w:tc>
        <w:tc>
          <w:tcPr>
            <w:tcW w:type="dxa" w:w="450"/>
          </w:tcPr>
          <w:p>
            <w:pPr>
              <w:spacing w:before="0" w:after="0" w:line="240" w:lineRule="auto"/>
            </w:pPr>
            <w:r>
              <w:rPr>
                <w:b w:val="0"/>
                <w:i w:val="0"/>
                <w:sz w:val="16"/>
              </w:rPr>
              <w:t>Qty</w:t>
            </w:r>
          </w:p>
        </w:tc>
        <w:tc>
          <w:tcPr>
            <w:tcW w:type="dxa" w:w="1400"/>
          </w:tcPr>
          <w:p>
            <w:pPr>
              <w:spacing w:before="0" w:after="0" w:line="240" w:lineRule="auto"/>
            </w:pPr>
            <w:r>
              <w:rPr>
                <w:b w:val="0"/>
                <w:i w:val="0"/>
                <w:sz w:val="16"/>
              </w:rPr>
              <w:t>Existing Communication</w:t>
            </w:r>
          </w:p>
        </w:tc>
        <w:tc>
          <w:tcPr>
            <w:tcW w:type="dxa" w:w="1800"/>
          </w:tcPr>
          <w:p>
            <w:pPr>
              <w:spacing w:before="0" w:after="0" w:line="240" w:lineRule="auto"/>
            </w:pPr>
            <w:r>
              <w:rPr>
                <w:b w:val="0"/>
                <w:i w:val="0"/>
                <w:sz w:val="16"/>
              </w:rPr>
              <w:t>Recommended Hardware</w:t>
            </w:r>
          </w:p>
        </w:tc>
        <w:tc>
          <w:tcPr>
            <w:tcW w:type="dxa" w:w="1600"/>
          </w:tcPr>
          <w:p>
            <w:pPr>
              <w:spacing w:before="0" w:after="0" w:line="240" w:lineRule="auto"/>
            </w:pPr>
            <w:r>
              <w:rPr>
                <w:b w:val="0"/>
                <w:i w:val="0"/>
                <w:sz w:val="16"/>
              </w:rPr>
              <w:t>Kepware Driver</w:t>
            </w:r>
          </w:p>
        </w:tc>
        <w:tc>
          <w:tcPr>
            <w:tcW w:type="dxa" w:w="1498"/>
          </w:tcPr>
          <w:p>
            <w:pPr>
              <w:spacing w:before="0" w:after="0" w:line="240" w:lineRule="auto"/>
            </w:pPr>
            <w:r>
              <w:rPr>
                <w:b w:val="0"/>
                <w:i w:val="0"/>
                <w:sz w:val="16"/>
              </w:rPr>
              <w:t>Remarks</w:t>
            </w:r>
          </w:p>
        </w:tc>
      </w:tr>
      <w:tr>
        <w:tc>
          <w:tcPr>
            <w:tcW w:type="dxa" w:w="1700"/>
          </w:tcPr>
          <w:p>
            <w:pPr>
              <w:spacing w:before="0" w:after="0" w:line="240" w:lineRule="auto"/>
            </w:pPr>
            <w:r>
              <w:rPr>
                <w:b w:val="0"/>
                <w:i w:val="0"/>
                <w:sz w:val="16"/>
              </w:rPr>
              <w:t>Siemens S7‑300 (CPU 313C‑2DP, 315‑2DP)</w:t>
            </w:r>
          </w:p>
        </w:tc>
        <w:tc>
          <w:tcPr>
            <w:tcW w:type="dxa" w:w="1900"/>
          </w:tcPr>
          <w:p>
            <w:pPr>
              <w:spacing w:before="0" w:after="0" w:line="240" w:lineRule="auto"/>
            </w:pPr>
            <w:r>
              <w:rPr>
                <w:b w:val="0"/>
                <w:i w:val="0"/>
                <w:sz w:val="16"/>
              </w:rPr>
              <w:t>CFE‑1, CFE‑2, 2 Roll Calender, Bias Cutter</w:t>
            </w:r>
          </w:p>
        </w:tc>
        <w:tc>
          <w:tcPr>
            <w:tcW w:type="dxa" w:w="450"/>
          </w:tcPr>
          <w:p>
            <w:pPr>
              <w:spacing w:before="0" w:after="0" w:line="240" w:lineRule="auto"/>
            </w:pPr>
            <w:r>
              <w:rPr>
                <w:b w:val="0"/>
                <w:i w:val="0"/>
                <w:sz w:val="16"/>
              </w:rPr>
              <w:t>12</w:t>
            </w:r>
          </w:p>
        </w:tc>
        <w:tc>
          <w:tcPr>
            <w:tcW w:type="dxa" w:w="1400"/>
          </w:tcPr>
          <w:p>
            <w:pPr>
              <w:spacing w:before="0" w:after="0" w:line="240" w:lineRule="auto"/>
            </w:pPr>
            <w:r>
              <w:rPr>
                <w:b w:val="0"/>
                <w:i w:val="0"/>
                <w:sz w:val="16"/>
              </w:rPr>
              <w:t>MPI / Profibus DP</w:t>
            </w:r>
          </w:p>
        </w:tc>
        <w:tc>
          <w:tcPr>
            <w:tcW w:type="dxa" w:w="1800"/>
          </w:tcPr>
          <w:p>
            <w:pPr>
              <w:spacing w:before="0" w:after="0" w:line="240" w:lineRule="auto"/>
            </w:pPr>
            <w:r>
              <w:rPr>
                <w:b/>
                <w:i w:val="0"/>
                <w:sz w:val="16"/>
              </w:rPr>
              <w:t>CP343‑1 Ethernet Communication Processor</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Preferred OEM Ethernet interface for S7‑300.</w:t>
            </w:r>
          </w:p>
        </w:tc>
      </w:tr>
      <w:tr>
        <w:tc>
          <w:tcPr>
            <w:tcW w:type="dxa" w:w="1700"/>
          </w:tcPr>
          <w:p>
            <w:pPr>
              <w:spacing w:before="0" w:after="0" w:line="240" w:lineRule="auto"/>
            </w:pPr>
            <w:r>
              <w:rPr>
                <w:b w:val="0"/>
                <w:i w:val="0"/>
                <w:sz w:val="16"/>
              </w:rPr>
              <w:t>Siemens S7‑1200 (CPU 1214C)</w:t>
            </w:r>
          </w:p>
        </w:tc>
        <w:tc>
          <w:tcPr>
            <w:tcW w:type="dxa" w:w="1900"/>
          </w:tcPr>
          <w:p>
            <w:pPr>
              <w:spacing w:before="0" w:after="0" w:line="240" w:lineRule="auto"/>
            </w:pPr>
            <w:r>
              <w:rPr>
                <w:b w:val="0"/>
                <w:i w:val="0"/>
                <w:sz w:val="16"/>
              </w:rPr>
              <w:t>STU‑32, STU‑33, STU‑34, CFE‑2 (1214PN)</w:t>
            </w:r>
          </w:p>
        </w:tc>
        <w:tc>
          <w:tcPr>
            <w:tcW w:type="dxa" w:w="450"/>
          </w:tcPr>
          <w:p>
            <w:pPr>
              <w:spacing w:before="0" w:after="0" w:line="240" w:lineRule="auto"/>
            </w:pPr>
            <w:r>
              <w:rPr>
                <w:b w:val="0"/>
                <w:i w:val="0"/>
                <w:sz w:val="16"/>
              </w:rPr>
              <w:t>4</w:t>
            </w:r>
          </w:p>
        </w:tc>
        <w:tc>
          <w:tcPr>
            <w:tcW w:type="dxa" w:w="1400"/>
          </w:tcPr>
          <w:p>
            <w:pPr>
              <w:spacing w:before="0" w:after="0" w:line="240" w:lineRule="auto"/>
            </w:pPr>
            <w:r>
              <w:rPr>
                <w:b w:val="0"/>
                <w:i w:val="0"/>
                <w:sz w:val="16"/>
              </w:rPr>
              <w:t>Built‑in Ethernet (Profinet)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Siemens TCP/IP Ethernet</w:t>
            </w:r>
          </w:p>
        </w:tc>
        <w:tc>
          <w:tcPr>
            <w:tcW w:type="dxa" w:w="1498"/>
          </w:tcPr>
          <w:p>
            <w:pPr>
              <w:spacing w:before="0" w:after="0" w:line="240" w:lineRule="auto"/>
            </w:pPr>
            <w:r>
              <w:rPr>
                <w:b w:val="0"/>
                <w:i w:val="0"/>
                <w:sz w:val="16"/>
              </w:rPr>
              <w:t>Use built‑in Ethernet. NAT provides network isolation and avoids IP conflicts.</w:t>
            </w:r>
          </w:p>
        </w:tc>
      </w:tr>
      <w:tr>
        <w:tc>
          <w:tcPr>
            <w:tcW w:type="dxa" w:w="1700"/>
          </w:tcPr>
          <w:p>
            <w:pPr>
              <w:spacing w:before="0" w:after="0" w:line="240" w:lineRule="auto"/>
            </w:pPr>
            <w:r>
              <w:rPr>
                <w:b w:val="0"/>
                <w:i w:val="0"/>
                <w:sz w:val="16"/>
              </w:rPr>
              <w:t>Siemens S7‑200 (CPU 224 DC/DC/DC)</w:t>
            </w:r>
          </w:p>
        </w:tc>
        <w:tc>
          <w:tcPr>
            <w:tcW w:type="dxa" w:w="1900"/>
          </w:tcPr>
          <w:p>
            <w:pPr>
              <w:spacing w:before="0" w:after="0" w:line="240" w:lineRule="auto"/>
            </w:pPr>
            <w:r>
              <w:rPr>
                <w:b w:val="0"/>
                <w:i w:val="0"/>
                <w:sz w:val="16"/>
              </w:rPr>
              <w:t>Fabric Cutter (Multislitter)</w:t>
            </w:r>
          </w:p>
        </w:tc>
        <w:tc>
          <w:tcPr>
            <w:tcW w:type="dxa" w:w="450"/>
          </w:tcPr>
          <w:p>
            <w:pPr>
              <w:spacing w:before="0" w:after="0" w:line="240" w:lineRule="auto"/>
            </w:pPr>
            <w:r>
              <w:rPr>
                <w:b w:val="0"/>
                <w:i w:val="0"/>
                <w:sz w:val="16"/>
              </w:rPr>
              <w:t>1</w:t>
            </w:r>
          </w:p>
        </w:tc>
        <w:tc>
          <w:tcPr>
            <w:tcW w:type="dxa" w:w="1400"/>
          </w:tcPr>
          <w:p>
            <w:pPr>
              <w:spacing w:before="0" w:after="0" w:line="240" w:lineRule="auto"/>
            </w:pPr>
            <w:r>
              <w:rPr>
                <w:b w:val="0"/>
                <w:i w:val="0"/>
                <w:sz w:val="16"/>
              </w:rPr>
              <w:t>PPI / RS485</w:t>
            </w:r>
          </w:p>
        </w:tc>
        <w:tc>
          <w:tcPr>
            <w:tcW w:type="dxa" w:w="1800"/>
          </w:tcPr>
          <w:p>
            <w:pPr>
              <w:spacing w:before="0" w:after="0" w:line="240" w:lineRule="auto"/>
            </w:pPr>
            <w:r>
              <w:rPr>
                <w:b/>
                <w:i w:val="0"/>
                <w:sz w:val="16"/>
              </w:rPr>
              <w:t>CP243‑1 Ethernet Module</w:t>
            </w:r>
          </w:p>
        </w:tc>
        <w:tc>
          <w:tcPr>
            <w:tcW w:type="dxa" w:w="1600"/>
          </w:tcPr>
          <w:p>
            <w:pPr>
              <w:spacing w:before="0" w:after="0" w:line="240" w:lineRule="auto"/>
            </w:pPr>
            <w:r>
              <w:rPr>
                <w:b w:val="0"/>
                <w:i w:val="0"/>
                <w:sz w:val="16"/>
              </w:rPr>
              <w:t>Siemens S7‑200 Ethernet Driver</w:t>
            </w:r>
          </w:p>
        </w:tc>
        <w:tc>
          <w:tcPr>
            <w:tcW w:type="dxa" w:w="1498"/>
          </w:tcPr>
          <w:p>
            <w:pPr>
              <w:spacing w:before="0" w:after="0" w:line="240" w:lineRule="auto"/>
            </w:pPr>
            <w:r>
              <w:rPr>
                <w:b w:val="0"/>
                <w:i w:val="0"/>
                <w:sz w:val="16"/>
              </w:rPr>
              <w:t>Preferred OEM Ethernet communication.</w:t>
            </w:r>
          </w:p>
        </w:tc>
      </w:tr>
      <w:tr>
        <w:tc>
          <w:tcPr>
            <w:tcW w:type="dxa" w:w="1700"/>
          </w:tcPr>
          <w:p>
            <w:pPr>
              <w:spacing w:before="0" w:after="0" w:line="240" w:lineRule="auto"/>
            </w:pPr>
            <w:r>
              <w:rPr>
                <w:b w:val="0"/>
                <w:i w:val="0"/>
                <w:sz w:val="16"/>
              </w:rPr>
              <w:t>Mitsubishi FX2N (48MR / 64MR / 84MR)</w:t>
            </w:r>
          </w:p>
        </w:tc>
        <w:tc>
          <w:tcPr>
            <w:tcW w:type="dxa" w:w="1900"/>
          </w:tcPr>
          <w:p>
            <w:pPr>
              <w:spacing w:before="0" w:after="0" w:line="240" w:lineRule="auto"/>
            </w:pPr>
            <w:r>
              <w:rPr>
                <w:b w:val="0"/>
                <w:i w:val="0"/>
                <w:sz w:val="16"/>
              </w:rPr>
              <w:t>Bead Winding‑2, STU‑1, STU‑3 to STU‑31, BTU‑16, BTU‑24 to BTU‑27</w:t>
            </w:r>
          </w:p>
        </w:tc>
        <w:tc>
          <w:tcPr>
            <w:tcW w:type="dxa" w:w="450"/>
          </w:tcPr>
          <w:p>
            <w:pPr>
              <w:spacing w:before="0" w:after="0" w:line="240" w:lineRule="auto"/>
            </w:pPr>
            <w:r>
              <w:rPr>
                <w:b w:val="0"/>
                <w:i w:val="0"/>
                <w:sz w:val="16"/>
              </w:rPr>
              <w:t>31</w:t>
            </w:r>
          </w:p>
        </w:tc>
        <w:tc>
          <w:tcPr>
            <w:tcW w:type="dxa" w:w="1400"/>
          </w:tcPr>
          <w:p>
            <w:pPr>
              <w:spacing w:before="0" w:after="0" w:line="240" w:lineRule="auto"/>
            </w:pPr>
            <w:r>
              <w:rPr>
                <w:b w:val="0"/>
                <w:i w:val="0"/>
                <w:sz w:val="16"/>
              </w:rPr>
              <w:t>RS232</w:t>
            </w:r>
          </w:p>
        </w:tc>
        <w:tc>
          <w:tcPr>
            <w:tcW w:type="dxa" w:w="1800"/>
          </w:tcPr>
          <w:p>
            <w:pPr>
              <w:spacing w:before="0" w:after="0" w:line="240" w:lineRule="auto"/>
            </w:pPr>
            <w:r>
              <w:rPr>
                <w:b/>
                <w:i w:val="0"/>
                <w:sz w:val="16"/>
              </w:rPr>
              <w:t>OEM Ethernet Communication Module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Legacy PLC; Ethernet enablement required.</w:t>
            </w:r>
          </w:p>
        </w:tc>
      </w:tr>
      <w:tr>
        <w:tc>
          <w:tcPr>
            <w:tcW w:type="dxa" w:w="1700"/>
          </w:tcPr>
          <w:p>
            <w:pPr>
              <w:spacing w:before="0" w:after="0" w:line="240" w:lineRule="auto"/>
            </w:pPr>
            <w:r>
              <w:rPr>
                <w:b w:val="0"/>
                <w:i w:val="0"/>
                <w:sz w:val="16"/>
              </w:rPr>
              <w:t>Mitsubishi FX3G</w:t>
            </w:r>
          </w:p>
        </w:tc>
        <w:tc>
          <w:tcPr>
            <w:tcW w:type="dxa" w:w="1900"/>
          </w:tcPr>
          <w:p>
            <w:pPr>
              <w:spacing w:before="0" w:after="0" w:line="240" w:lineRule="auto"/>
            </w:pPr>
            <w:r>
              <w:rPr>
                <w:b w:val="0"/>
                <w:i w:val="0"/>
                <w:sz w:val="16"/>
              </w:rPr>
              <w:t>Long Cutter, Runout‑3</w:t>
            </w:r>
          </w:p>
        </w:tc>
        <w:tc>
          <w:tcPr>
            <w:tcW w:type="dxa" w:w="450"/>
          </w:tcPr>
          <w:p>
            <w:pPr>
              <w:spacing w:before="0" w:after="0" w:line="240" w:lineRule="auto"/>
            </w:pPr>
            <w:r>
              <w:rPr>
                <w:b w:val="0"/>
                <w:i w:val="0"/>
                <w:sz w:val="16"/>
              </w:rPr>
              <w:t>2</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FX3G Ethernet Communication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FX3U</w:t>
            </w:r>
          </w:p>
        </w:tc>
        <w:tc>
          <w:tcPr>
            <w:tcW w:type="dxa" w:w="1900"/>
          </w:tcPr>
          <w:p>
            <w:pPr>
              <w:spacing w:before="0" w:after="0" w:line="240" w:lineRule="auto"/>
            </w:pPr>
            <w:r>
              <w:rPr>
                <w:b w:val="0"/>
                <w:i w:val="0"/>
                <w:sz w:val="16"/>
              </w:rPr>
              <w:t>Bead Winding‑1, Runout‑4, Runout‑5</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Serial</w:t>
            </w:r>
          </w:p>
        </w:tc>
        <w:tc>
          <w:tcPr>
            <w:tcW w:type="dxa" w:w="1800"/>
          </w:tcPr>
          <w:p>
            <w:pPr>
              <w:spacing w:before="0" w:after="0" w:line="240" w:lineRule="auto"/>
            </w:pPr>
            <w:r>
              <w:rPr>
                <w:b/>
                <w:i w:val="0"/>
                <w:sz w:val="16"/>
              </w:rPr>
              <w:t>FX3U‑ENET Ethernet Adapter</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Preferred OEM Ethernet interface.</w:t>
            </w:r>
          </w:p>
        </w:tc>
      </w:tr>
      <w:tr>
        <w:tc>
          <w:tcPr>
            <w:tcW w:type="dxa" w:w="1700"/>
          </w:tcPr>
          <w:p>
            <w:pPr>
              <w:spacing w:before="0" w:after="0" w:line="240" w:lineRule="auto"/>
            </w:pPr>
            <w:r>
              <w:rPr>
                <w:b w:val="0"/>
                <w:i w:val="0"/>
                <w:sz w:val="16"/>
              </w:rPr>
              <w:t>Mitsubishi FX5U</w:t>
            </w:r>
          </w:p>
        </w:tc>
        <w:tc>
          <w:tcPr>
            <w:tcW w:type="dxa" w:w="1900"/>
          </w:tcPr>
          <w:p>
            <w:pPr>
              <w:spacing w:before="0" w:after="0" w:line="240" w:lineRule="auto"/>
            </w:pPr>
            <w:r>
              <w:rPr>
                <w:b w:val="0"/>
                <w:i w:val="0"/>
                <w:sz w:val="16"/>
              </w:rPr>
              <w:t>STU‑2, Runout‑1, Runout‑2</w:t>
            </w:r>
          </w:p>
        </w:tc>
        <w:tc>
          <w:tcPr>
            <w:tcW w:type="dxa" w:w="450"/>
          </w:tcPr>
          <w:p>
            <w:pPr>
              <w:spacing w:before="0" w:after="0" w:line="240" w:lineRule="auto"/>
            </w:pPr>
            <w:r>
              <w:rPr>
                <w:b w:val="0"/>
                <w:i w:val="0"/>
                <w:sz w:val="16"/>
              </w:rPr>
              <w:t>3</w:t>
            </w:r>
          </w:p>
        </w:tc>
        <w:tc>
          <w:tcPr>
            <w:tcW w:type="dxa" w:w="1400"/>
          </w:tcPr>
          <w:p>
            <w:pPr>
              <w:spacing w:before="0" w:after="0" w:line="240" w:lineRule="auto"/>
            </w:pPr>
            <w:r>
              <w:rPr>
                <w:b w:val="0"/>
                <w:i w:val="0"/>
                <w:sz w:val="16"/>
              </w:rPr>
              <w:t>Built‑in Ethernet</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Mitsubishi Ethernet Driver</w:t>
            </w:r>
          </w:p>
        </w:tc>
        <w:tc>
          <w:tcPr>
            <w:tcW w:type="dxa" w:w="1498"/>
          </w:tcPr>
          <w:p>
            <w:pPr>
              <w:spacing w:before="0" w:after="0" w:line="240" w:lineRule="auto"/>
            </w:pPr>
            <w:r>
              <w:rPr>
                <w:b w:val="0"/>
                <w:i w:val="0"/>
                <w:sz w:val="16"/>
              </w:rPr>
              <w:t>Built‑in Ethernet retained; NAT for isolation.</w:t>
            </w:r>
          </w:p>
        </w:tc>
      </w:tr>
      <w:tr>
        <w:tc>
          <w:tcPr>
            <w:tcW w:type="dxa" w:w="1700"/>
          </w:tcPr>
          <w:p>
            <w:pPr>
              <w:spacing w:before="0" w:after="0" w:line="240" w:lineRule="auto"/>
            </w:pPr>
            <w:r>
              <w:rPr>
                <w:b w:val="0"/>
                <w:i w:val="0"/>
                <w:sz w:val="16"/>
              </w:rPr>
              <w:t>Allen‑Bradley CompactLogix</w:t>
            </w:r>
          </w:p>
        </w:tc>
        <w:tc>
          <w:tcPr>
            <w:tcW w:type="dxa" w:w="1900"/>
          </w:tcPr>
          <w:p>
            <w:pPr>
              <w:spacing w:before="0" w:after="0" w:line="240" w:lineRule="auto"/>
            </w:pPr>
            <w:r>
              <w:rPr>
                <w:b w:val="0"/>
                <w:i w:val="0"/>
                <w:sz w:val="16"/>
              </w:rPr>
              <w:t>Balancing‑1 to Balancing‑10</w:t>
            </w:r>
          </w:p>
        </w:tc>
        <w:tc>
          <w:tcPr>
            <w:tcW w:type="dxa" w:w="450"/>
          </w:tcPr>
          <w:p>
            <w:pPr>
              <w:spacing w:before="0" w:after="0" w:line="240" w:lineRule="auto"/>
            </w:pPr>
            <w:r>
              <w:rPr>
                <w:b w:val="0"/>
                <w:i w:val="0"/>
                <w:sz w:val="16"/>
              </w:rPr>
              <w:t>10</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Allen‑Bradley ControlLogix / CompactLogix Driver</w:t>
            </w:r>
          </w:p>
        </w:tc>
        <w:tc>
          <w:tcPr>
            <w:tcW w:type="dxa" w:w="1498"/>
          </w:tcPr>
          <w:p>
            <w:pPr>
              <w:spacing w:before="0" w:after="0" w:line="240" w:lineRule="auto"/>
            </w:pPr>
            <w:r>
              <w:rPr>
                <w:b w:val="0"/>
                <w:i w:val="0"/>
                <w:sz w:val="16"/>
              </w:rPr>
              <w:t>No additional PLC module required.</w:t>
            </w:r>
          </w:p>
        </w:tc>
      </w:tr>
      <w:tr>
        <w:tc>
          <w:tcPr>
            <w:tcW w:type="dxa" w:w="1700"/>
          </w:tcPr>
          <w:p>
            <w:pPr>
              <w:spacing w:before="0" w:after="0" w:line="240" w:lineRule="auto"/>
            </w:pPr>
            <w:r>
              <w:rPr>
                <w:b w:val="0"/>
                <w:i w:val="0"/>
                <w:sz w:val="16"/>
              </w:rPr>
              <w:t>Omron NJ101</w:t>
            </w:r>
          </w:p>
        </w:tc>
        <w:tc>
          <w:tcPr>
            <w:tcW w:type="dxa" w:w="1900"/>
          </w:tcPr>
          <w:p>
            <w:pPr>
              <w:spacing w:before="0" w:after="0" w:line="240" w:lineRule="auto"/>
            </w:pPr>
            <w:r>
              <w:rPr>
                <w:b w:val="0"/>
                <w:i w:val="0"/>
                <w:sz w:val="16"/>
              </w:rPr>
              <w:t>Runout‑6 to Runout‑11</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Built‑in EtherNet/IP</w:t>
            </w:r>
          </w:p>
        </w:tc>
        <w:tc>
          <w:tcPr>
            <w:tcW w:type="dxa" w:w="1800"/>
          </w:tcPr>
          <w:p>
            <w:pPr>
              <w:spacing w:before="0" w:after="0" w:line="240" w:lineRule="auto"/>
            </w:pPr>
            <w:r>
              <w:rPr>
                <w:b/>
                <w:i w:val="0"/>
                <w:sz w:val="16"/>
              </w:rPr>
              <w:t>Industrial NAT Device</w:t>
            </w:r>
          </w:p>
        </w:tc>
        <w:tc>
          <w:tcPr>
            <w:tcW w:type="dxa" w:w="1600"/>
          </w:tcPr>
          <w:p>
            <w:pPr>
              <w:spacing w:before="0" w:after="0" w:line="240" w:lineRule="auto"/>
            </w:pPr>
            <w:r>
              <w:rPr>
                <w:b w:val="0"/>
                <w:i w:val="0"/>
                <w:sz w:val="16"/>
              </w:rPr>
              <w:t>Omron NJ Ethernet Driver</w:t>
            </w:r>
          </w:p>
        </w:tc>
        <w:tc>
          <w:tcPr>
            <w:tcW w:type="dxa" w:w="1498"/>
          </w:tcPr>
          <w:p>
            <w:pPr>
              <w:spacing w:before="0" w:after="0" w:line="240" w:lineRule="auto"/>
            </w:pPr>
            <w:r>
              <w:rPr>
                <w:b w:val="0"/>
                <w:i w:val="0"/>
                <w:sz w:val="16"/>
              </w:rPr>
              <w:t>Use built‑in Ethernet with network isolation.</w:t>
            </w:r>
          </w:p>
        </w:tc>
      </w:tr>
      <w:tr>
        <w:tc>
          <w:tcPr>
            <w:tcW w:type="dxa" w:w="1700"/>
          </w:tcPr>
          <w:p>
            <w:pPr>
              <w:spacing w:before="0" w:after="0" w:line="240" w:lineRule="auto"/>
            </w:pPr>
            <w:r>
              <w:rPr>
                <w:b w:val="0"/>
                <w:i w:val="0"/>
                <w:sz w:val="16"/>
              </w:rPr>
              <w:t>New Machines</w:t>
            </w:r>
          </w:p>
        </w:tc>
        <w:tc>
          <w:tcPr>
            <w:tcW w:type="dxa" w:w="1900"/>
          </w:tcPr>
          <w:p>
            <w:pPr>
              <w:spacing w:before="0" w:after="0" w:line="240" w:lineRule="auto"/>
            </w:pPr>
            <w:r>
              <w:rPr>
                <w:b w:val="0"/>
                <w:i w:val="0"/>
                <w:sz w:val="16"/>
              </w:rPr>
              <w:t>STU‑35, STU‑36, RB1‑7 to RB1‑9, Curing, etc.</w:t>
            </w:r>
          </w:p>
        </w:tc>
        <w:tc>
          <w:tcPr>
            <w:tcW w:type="dxa" w:w="450"/>
          </w:tcPr>
          <w:p>
            <w:pPr>
              <w:spacing w:before="0" w:after="0" w:line="240" w:lineRule="auto"/>
            </w:pPr>
            <w:r>
              <w:rPr>
                <w:b w:val="0"/>
                <w:i w:val="0"/>
                <w:sz w:val="16"/>
              </w:rPr>
              <w:t>11</w:t>
            </w:r>
          </w:p>
        </w:tc>
        <w:tc>
          <w:tcPr>
            <w:tcW w:type="dxa" w:w="1400"/>
          </w:tcPr>
          <w:p>
            <w:pPr>
              <w:spacing w:before="0" w:after="0" w:line="240" w:lineRule="auto"/>
            </w:pPr>
            <w:r>
              <w:rPr>
                <w:b w:val="0"/>
                <w:i w:val="0"/>
                <w:sz w:val="16"/>
              </w:rPr>
              <w:t>TBD</w:t>
            </w:r>
          </w:p>
        </w:tc>
        <w:tc>
          <w:tcPr>
            <w:tcW w:type="dxa" w:w="1800"/>
          </w:tcPr>
          <w:p>
            <w:pPr>
              <w:spacing w:before="0" w:after="0" w:line="240" w:lineRule="auto"/>
            </w:pPr>
            <w:r>
              <w:rPr>
                <w:b w:val="0"/>
                <w:i w:val="0"/>
                <w:sz w:val="16"/>
              </w:rPr>
              <w:t>To be finalised after OEM details</w:t>
            </w:r>
          </w:p>
        </w:tc>
        <w:tc>
          <w:tcPr>
            <w:tcW w:type="dxa" w:w="1600"/>
          </w:tcPr>
          <w:p>
            <w:pPr>
              <w:spacing w:before="0" w:after="0" w:line="240" w:lineRule="auto"/>
            </w:pPr>
            <w:r>
              <w:rPr>
                <w:b w:val="0"/>
                <w:i w:val="0"/>
                <w:sz w:val="16"/>
              </w:rPr>
              <w:t>TBD</w:t>
            </w:r>
          </w:p>
        </w:tc>
        <w:tc>
          <w:tcPr>
            <w:tcW w:type="dxa" w:w="1498"/>
          </w:tcPr>
          <w:p>
            <w:pPr>
              <w:spacing w:before="0" w:after="0" w:line="240" w:lineRule="auto"/>
            </w:pPr>
            <w:r>
              <w:rPr>
                <w:b w:val="0"/>
                <w:i w:val="0"/>
                <w:sz w:val="16"/>
              </w:rPr>
              <w:t>Communication details to be obtained after commissioning.</w:t>
            </w:r>
          </w:p>
        </w:tc>
      </w:tr>
      <w:tr>
        <w:tc>
          <w:tcPr>
            <w:tcW w:type="dxa" w:w="1700"/>
          </w:tcPr>
          <w:p>
            <w:pPr>
              <w:spacing w:before="0" w:after="0" w:line="240" w:lineRule="auto"/>
            </w:pPr>
            <w:r>
              <w:rPr>
                <w:b w:val="0"/>
                <w:i w:val="0"/>
                <w:sz w:val="16"/>
              </w:rPr>
              <w:t>No PLC</w:t>
            </w:r>
          </w:p>
        </w:tc>
        <w:tc>
          <w:tcPr>
            <w:tcW w:type="dxa" w:w="1900"/>
          </w:tcPr>
          <w:p>
            <w:pPr>
              <w:spacing w:before="0" w:after="0" w:line="240" w:lineRule="auto"/>
            </w:pPr>
            <w:r>
              <w:rPr>
                <w:b w:val="0"/>
                <w:i w:val="0"/>
                <w:sz w:val="16"/>
              </w:rPr>
              <w:t>RB1‑1 to RB1‑6</w:t>
            </w:r>
          </w:p>
        </w:tc>
        <w:tc>
          <w:tcPr>
            <w:tcW w:type="dxa" w:w="450"/>
          </w:tcPr>
          <w:p>
            <w:pPr>
              <w:spacing w:before="0" w:after="0" w:line="240" w:lineRule="auto"/>
            </w:pPr>
            <w:r>
              <w:rPr>
                <w:b w:val="0"/>
                <w:i w:val="0"/>
                <w:sz w:val="16"/>
              </w:rPr>
              <w:t>6</w:t>
            </w:r>
          </w:p>
        </w:tc>
        <w:tc>
          <w:tcPr>
            <w:tcW w:type="dxa" w:w="1400"/>
          </w:tcPr>
          <w:p>
            <w:pPr>
              <w:spacing w:before="0" w:after="0" w:line="240" w:lineRule="auto"/>
            </w:pPr>
            <w:r>
              <w:rPr>
                <w:b w:val="0"/>
                <w:i w:val="0"/>
                <w:sz w:val="16"/>
              </w:rPr>
              <w:t>NA</w:t>
            </w:r>
          </w:p>
        </w:tc>
        <w:tc>
          <w:tcPr>
            <w:tcW w:type="dxa" w:w="1800"/>
          </w:tcPr>
          <w:p>
            <w:pPr>
              <w:spacing w:before="0" w:after="0" w:line="240" w:lineRule="auto"/>
            </w:pPr>
            <w:r>
              <w:rPr>
                <w:b w:val="0"/>
                <w:i w:val="0"/>
                <w:sz w:val="16"/>
              </w:rPr>
              <w:t>Digital I/O or machine retrofit</w:t>
            </w:r>
          </w:p>
        </w:tc>
        <w:tc>
          <w:tcPr>
            <w:tcW w:type="dxa" w:w="1600"/>
          </w:tcPr>
          <w:p>
            <w:pPr>
              <w:spacing w:before="0" w:after="0" w:line="240" w:lineRule="auto"/>
            </w:pPr>
            <w:r>
              <w:rPr>
                <w:b w:val="0"/>
                <w:i w:val="0"/>
                <w:sz w:val="16"/>
              </w:rPr>
              <w:t>NA</w:t>
            </w:r>
          </w:p>
        </w:tc>
        <w:tc>
          <w:tcPr>
            <w:tcW w:type="dxa" w:w="1498"/>
          </w:tcPr>
          <w:p>
            <w:pPr>
              <w:spacing w:before="0" w:after="0" w:line="240" w:lineRule="auto"/>
            </w:pPr>
            <w:r>
              <w:rPr>
                <w:b w:val="0"/>
                <w:i w:val="0"/>
                <w:sz w:val="16"/>
              </w:rPr>
              <w:t>Communication approach depends on machine design.</w:t>
            </w:r>
          </w:p>
        </w:tc>
      </w:tr>
      <w:tr>
        <w:tc>
          <w:tcPr>
            <w:tcW w:type="dxa" w:w="1700"/>
          </w:tcPr>
          <w:p>
            <w:pPr>
              <w:spacing w:before="0" w:after="0" w:line="240" w:lineRule="auto"/>
            </w:pPr>
            <w:r>
              <w:rPr>
                <w:b/>
                <w:i w:val="0"/>
                <w:sz w:val="16"/>
              </w:rPr>
              <w:t>Total</w:t>
            </w:r>
          </w:p>
        </w:tc>
        <w:tc>
          <w:tcPr>
            <w:tcW w:type="dxa" w:w="1900"/>
          </w:tcPr>
          <w:p>
            <w:pPr>
              <w:spacing w:before="0" w:after="0" w:line="240" w:lineRule="auto"/>
            </w:pPr>
            <w:r>
              <w:rPr>
                <w:b/>
                <w:i w:val="0"/>
                <w:sz w:val="16"/>
              </w:rPr>
            </w:r>
          </w:p>
        </w:tc>
        <w:tc>
          <w:tcPr>
            <w:tcW w:type="dxa" w:w="450"/>
          </w:tcPr>
          <w:p>
            <w:pPr>
              <w:spacing w:before="0" w:after="0" w:line="240" w:lineRule="auto"/>
            </w:pPr>
            <w:r>
              <w:rPr>
                <w:b/>
                <w:i w:val="0"/>
                <w:sz w:val="16"/>
              </w:rPr>
              <w:t>89</w:t>
            </w:r>
          </w:p>
        </w:tc>
        <w:tc>
          <w:tcPr>
            <w:tcW w:type="dxa" w:w="1400"/>
          </w:tcPr>
          <w:p>
            <w:pPr>
              <w:spacing w:before="0" w:after="0" w:line="240" w:lineRule="auto"/>
            </w:pPr>
            <w:r>
              <w:rPr>
                <w:b/>
                <w:i w:val="0"/>
                <w:sz w:val="16"/>
              </w:rPr>
            </w:r>
          </w:p>
        </w:tc>
        <w:tc>
          <w:tcPr>
            <w:tcW w:type="dxa" w:w="1800"/>
          </w:tcPr>
          <w:p>
            <w:pPr>
              <w:spacing w:before="0" w:after="0" w:line="240" w:lineRule="auto"/>
            </w:pPr>
            <w:r>
              <w:rPr>
                <w:b/>
                <w:i w:val="0"/>
                <w:sz w:val="16"/>
              </w:rPr>
            </w:r>
          </w:p>
        </w:tc>
        <w:tc>
          <w:tcPr>
            <w:tcW w:type="dxa" w:w="1600"/>
          </w:tcPr>
          <w:p>
            <w:pPr>
              <w:spacing w:before="0" w:after="0" w:line="240" w:lineRule="auto"/>
            </w:pPr>
            <w:r>
              <w:rPr>
                <w:b/>
                <w:i w:val="0"/>
                <w:sz w:val="16"/>
              </w:rPr>
            </w:r>
          </w:p>
        </w:tc>
        <w:tc>
          <w:tcPr>
            <w:tcW w:type="dxa" w:w="1498"/>
          </w:tcPr>
          <w:p>
            <w:pPr>
              <w:spacing w:before="0" w:after="0" w:line="240" w:lineRule="auto"/>
            </w:pPr>
            <w:r>
              <w:rPr>
                <w:b/>
                <w:i w:val="0"/>
                <w:sz w:val="16"/>
              </w:rPr>
            </w:r>
          </w:p>
        </w:tc>
      </w:tr>
    </w:tbl>
    <w:p>
      <w:pPr>
        <w:pStyle w:val="Caption"/>
      </w:pPr>
      <w:r>
        <w:rPr>
          <w:b w:val="0"/>
        </w:rPr>
        <w:t>Table: Unit‑4 recommended interfacing approach by controller family</w:t>
      </w:r>
    </w:p>
    <w:p>
      <w:pPr/>
      <w:r>
        <w:rPr>
          <w:b/>
        </w:rPr>
        <w:t>Reconciliation against the Unit‑4 equipment list:</w:t>
      </w:r>
    </w:p>
    <w:p>
      <w:pPr>
        <w:pStyle w:val="ListParagraph"/>
        <w:numPr>
          <w:ilvl w:val="0"/>
          <w:numId w:val="44"/>
        </w:numPr>
      </w:pPr>
      <w:r>
        <w:rPr>
          <w:b w:val="0"/>
        </w:rPr>
        <w:t>The table above covers 89 machines. Excluding the 9 2nd Line Inspection machines held under future planning, the Unit‑4 list contains 94 machines to be interfaced, so 5 machines are not yet covered by a recommendation.</w:t>
      </w:r>
    </w:p>
    <w:p>
      <w:pPr>
        <w:pStyle w:val="ListParagraph"/>
        <w:numPr>
          <w:ilvl w:val="0"/>
          <w:numId w:val="44"/>
        </w:numPr>
      </w:pPr>
      <w:r>
        <w:rPr>
          <w:b w:val="0"/>
        </w:rPr>
        <w:t>Siemens S7‑300: the equipment list contains 13 machines on CPU 313C‑2DP or 315‑2DP (CFE‑1 ×3, CFE‑2 ×3, 2 Roll Calender ×4, Bias Cutter ×3) against the 12 shown above. One machine is to be identified.</w:t>
      </w:r>
    </w:p>
    <w:p>
      <w:pPr>
        <w:pStyle w:val="ListParagraph"/>
        <w:numPr>
          <w:ilvl w:val="0"/>
          <w:numId w:val="44"/>
        </w:numPr>
      </w:pPr>
      <w:r>
        <w:rPr>
          <w:b w:val="0"/>
        </w:rPr>
        <w:t>Siemens S7‑1500: 2 Roll Calender ‑2 runs a CPU 1515‑2PN, for which no controller family is listed above. Built‑in Profinet with an industrial NAT device is assumed, in line with the S7‑1200 treatment, and is to be confirmed.</w:t>
      </w:r>
    </w:p>
    <w:p>
      <w:pPr>
        <w:pStyle w:val="ListParagraph"/>
        <w:numPr>
          <w:ilvl w:val="0"/>
          <w:numId w:val="44"/>
        </w:numPr>
      </w:pPr>
      <w:r>
        <w:rPr>
          <w:b w:val="0"/>
        </w:rPr>
        <w:t>New machines: the equipment list marks 14 machines as new (Fabric Cutter Multislitter, STU‑35, STU‑36, RB1‑7 to RB1‑9 and the 8 Curing machines) against the 11 shown above.</w:t>
      </w:r>
    </w:p>
    <w:p>
      <w:pPr>
        <w:pStyle w:val="ListParagraph"/>
        <w:numPr>
          <w:ilvl w:val="0"/>
          <w:numId w:val="44"/>
        </w:numPr>
      </w:pPr>
      <w:r>
        <w:rPr>
          <w:b w:val="0"/>
        </w:rPr>
        <w:t>Cold Feed Extruder‑2 (Extruder) is recorded in the equipment list as 313C‑2DP/1214PN and is counted above under S7‑1200. Whether this machine carries one controller or both is to be confirmed.</w:t>
      </w:r>
    </w:p>
    <w:p>
      <w:pPr/>
      <w:r>
        <w:rPr>
          <w:b w:val="0"/>
        </w:rPr>
        <w:t>The manufacturer part numbers proposed against each controller model are given below. Final part selection is subject to survey of the installed hardware configuration of each machine.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0"/>
        <w:gridCol w:w="2000"/>
        <w:gridCol w:w="2100"/>
        <w:gridCol w:w="2398"/>
        <w:gridCol w:w="1100"/>
        <w:gridCol w:w="1500"/>
      </w:tblGrid>
      <w:tr>
        <w:trPr>
          <w:tblHeader/>
        </w:trPr>
        <w:tc>
          <w:tcPr>
            <w:tcW w:type="dxa" w:w="1250"/>
          </w:tcPr>
          <w:p>
            <w:pPr>
              <w:spacing w:before="0" w:after="0" w:line="240" w:lineRule="auto"/>
            </w:pPr>
            <w:r>
              <w:rPr>
                <w:b w:val="0"/>
                <w:i w:val="0"/>
                <w:sz w:val="16"/>
              </w:rPr>
              <w:t>PLC Make</w:t>
            </w:r>
          </w:p>
        </w:tc>
        <w:tc>
          <w:tcPr>
            <w:tcW w:type="dxa" w:w="2000"/>
          </w:tcPr>
          <w:p>
            <w:pPr>
              <w:spacing w:before="0" w:after="0" w:line="240" w:lineRule="auto"/>
            </w:pPr>
            <w:r>
              <w:rPr>
                <w:b w:val="0"/>
                <w:i w:val="0"/>
                <w:sz w:val="16"/>
              </w:rPr>
              <w:t>PLC Model</w:t>
            </w:r>
          </w:p>
        </w:tc>
        <w:tc>
          <w:tcPr>
            <w:tcW w:type="dxa" w:w="2100"/>
          </w:tcPr>
          <w:p>
            <w:pPr>
              <w:spacing w:before="0" w:after="0" w:line="240" w:lineRule="auto"/>
            </w:pPr>
            <w:r>
              <w:rPr>
                <w:b w:val="0"/>
                <w:i w:val="0"/>
                <w:sz w:val="16"/>
              </w:rPr>
              <w:t>Recommended Hardware</w:t>
            </w:r>
          </w:p>
        </w:tc>
        <w:tc>
          <w:tcPr>
            <w:tcW w:type="dxa" w:w="2398"/>
          </w:tcPr>
          <w:p>
            <w:pPr>
              <w:spacing w:before="0" w:after="0" w:line="240" w:lineRule="auto"/>
            </w:pPr>
            <w:r>
              <w:rPr>
                <w:b w:val="0"/>
                <w:i w:val="0"/>
                <w:sz w:val="16"/>
              </w:rPr>
              <w:t>Manufacturer Part No.</w:t>
            </w:r>
          </w:p>
        </w:tc>
        <w:tc>
          <w:tcPr>
            <w:tcW w:type="dxa" w:w="1100"/>
          </w:tcPr>
          <w:p>
            <w:pPr>
              <w:spacing w:before="0" w:after="0" w:line="240" w:lineRule="auto"/>
            </w:pPr>
            <w:r>
              <w:rPr>
                <w:b w:val="0"/>
                <w:i w:val="0"/>
                <w:sz w:val="16"/>
              </w:rPr>
              <w:t>Kepware Support</w:t>
            </w:r>
          </w:p>
        </w:tc>
        <w:tc>
          <w:tcPr>
            <w:tcW w:type="dxa" w:w="1500"/>
          </w:tcPr>
          <w:p>
            <w:pPr>
              <w:spacing w:before="0" w:after="0" w:line="240" w:lineRule="auto"/>
            </w:pPr>
            <w:r>
              <w:rPr>
                <w:b w:val="0"/>
                <w:i w:val="0"/>
                <w:sz w:val="16"/>
              </w:rPr>
              <w:t>Recommendation</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313C‑2DP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S7‑300 CPU 315‑2DP</w:t>
            </w:r>
          </w:p>
        </w:tc>
        <w:tc>
          <w:tcPr>
            <w:tcW w:type="dxa" w:w="2100"/>
          </w:tcPr>
          <w:p>
            <w:pPr>
              <w:spacing w:before="0" w:after="0" w:line="240" w:lineRule="auto"/>
            </w:pPr>
            <w:r>
              <w:rPr>
                <w:b w:val="0"/>
                <w:i w:val="0"/>
                <w:sz w:val="16"/>
              </w:rPr>
              <w:t>Ethernet Communication Processor</w:t>
            </w:r>
          </w:p>
        </w:tc>
        <w:tc>
          <w:tcPr>
            <w:tcW w:type="dxa" w:w="2398"/>
          </w:tcPr>
          <w:p>
            <w:pPr>
              <w:spacing w:before="0" w:after="0" w:line="240" w:lineRule="auto"/>
            </w:pPr>
            <w:r>
              <w:rPr>
                <w:b/>
                <w:i w:val="0"/>
                <w:sz w:val="16"/>
              </w:rPr>
              <w:t>CP 343‑1 Lean (6GK7343‑1CX10‑0XE0)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S7‑1200 (1214C / 1214PN)</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r>
              <w:rPr>
                <w:b w:val="0"/>
                <w:i w:val="0"/>
                <w:sz w:val="16"/>
              </w:rPr>
              <w:t xml:space="preserve"> or </w:t>
            </w:r>
            <w:r>
              <w:rPr>
                <w:b/>
                <w:i w:val="0"/>
                <w:sz w:val="16"/>
              </w:rPr>
              <w:t>Hirschmann EAGLE One</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Siemens</w:t>
            </w:r>
          </w:p>
        </w:tc>
        <w:tc>
          <w:tcPr>
            <w:tcW w:type="dxa" w:w="2000"/>
          </w:tcPr>
          <w:p>
            <w:pPr>
              <w:spacing w:before="0" w:after="0" w:line="240" w:lineRule="auto"/>
            </w:pPr>
            <w:r>
              <w:rPr>
                <w:b w:val="0"/>
                <w:i w:val="0"/>
                <w:sz w:val="16"/>
              </w:rPr>
              <w:t>S7‑200 CPU 224</w:t>
            </w:r>
          </w:p>
        </w:tc>
        <w:tc>
          <w:tcPr>
            <w:tcW w:type="dxa" w:w="2100"/>
          </w:tcPr>
          <w:p>
            <w:pPr>
              <w:spacing w:before="0" w:after="0" w:line="240" w:lineRule="auto"/>
            </w:pPr>
            <w:r>
              <w:rPr>
                <w:b w:val="0"/>
                <w:i w:val="0"/>
                <w:sz w:val="16"/>
              </w:rPr>
              <w:t>Ethernet Module</w:t>
            </w:r>
          </w:p>
        </w:tc>
        <w:tc>
          <w:tcPr>
            <w:tcW w:type="dxa" w:w="2398"/>
          </w:tcPr>
          <w:p>
            <w:pPr>
              <w:spacing w:before="0" w:after="0" w:line="240" w:lineRule="auto"/>
            </w:pPr>
            <w:r>
              <w:rPr>
                <w:b/>
                <w:i w:val="0"/>
                <w:sz w:val="16"/>
              </w:rPr>
              <w:t>CP243‑1 (6GK7243‑1EX01‑0XE0)</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FX2N‑64MR / FX2N‑84MR</w:t>
            </w:r>
          </w:p>
        </w:tc>
        <w:tc>
          <w:tcPr>
            <w:tcW w:type="dxa" w:w="2100"/>
          </w:tcPr>
          <w:p>
            <w:pPr>
              <w:spacing w:before="0" w:after="0" w:line="240" w:lineRule="auto"/>
            </w:pPr>
            <w:r>
              <w:rPr>
                <w:b w:val="0"/>
                <w:i w:val="0"/>
                <w:sz w:val="16"/>
              </w:rPr>
              <w:t>Ethernet Communication Adapter</w:t>
            </w:r>
          </w:p>
        </w:tc>
        <w:tc>
          <w:tcPr>
            <w:tcW w:type="dxa" w:w="2398"/>
          </w:tcPr>
          <w:p>
            <w:pPr>
              <w:spacing w:before="0" w:after="0" w:line="240" w:lineRule="auto"/>
            </w:pPr>
            <w:r>
              <w:rPr>
                <w:b/>
                <w:i w:val="0"/>
                <w:sz w:val="16"/>
              </w:rPr>
              <w:t>FX2NC‑ENET‑ADP (or Mitsubishi‑supported equivalent)</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FX3U‑64MR</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FX3G‑24M / 60M</w:t>
            </w:r>
          </w:p>
        </w:tc>
        <w:tc>
          <w:tcPr>
            <w:tcW w:type="dxa" w:w="2100"/>
          </w:tcPr>
          <w:p>
            <w:pPr>
              <w:spacing w:before="0" w:after="0" w:line="240" w:lineRule="auto"/>
            </w:pPr>
            <w:r>
              <w:rPr>
                <w:b w:val="0"/>
                <w:i w:val="0"/>
                <w:sz w:val="16"/>
              </w:rPr>
              <w:t>Ethernet Adapter</w:t>
            </w:r>
          </w:p>
        </w:tc>
        <w:tc>
          <w:tcPr>
            <w:tcW w:type="dxa" w:w="2398"/>
          </w:tcPr>
          <w:p>
            <w:pPr>
              <w:spacing w:before="0" w:after="0" w:line="240" w:lineRule="auto"/>
            </w:pPr>
            <w:r>
              <w:rPr>
                <w:b/>
                <w:i w:val="0"/>
                <w:sz w:val="16"/>
              </w:rPr>
              <w:t>FX3U‑ENET‑ADP</w:t>
            </w:r>
            <w:r>
              <w:rPr>
                <w:b w:val="0"/>
                <w:i/>
                <w:sz w:val="16"/>
              </w:rPr>
              <w:t xml:space="preserve"> (if supported by the FX3G configuration)</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Mitsubishi</w:t>
            </w:r>
          </w:p>
        </w:tc>
        <w:tc>
          <w:tcPr>
            <w:tcW w:type="dxa" w:w="2000"/>
          </w:tcPr>
          <w:p>
            <w:pPr>
              <w:spacing w:before="0" w:after="0" w:line="240" w:lineRule="auto"/>
            </w:pPr>
            <w:r>
              <w:rPr>
                <w:b w:val="0"/>
                <w:i w:val="0"/>
                <w:sz w:val="16"/>
              </w:rPr>
              <w:t>FX5U</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Allen‑Bradley</w:t>
            </w:r>
          </w:p>
        </w:tc>
        <w:tc>
          <w:tcPr>
            <w:tcW w:type="dxa" w:w="2000"/>
          </w:tcPr>
          <w:p>
            <w:pPr>
              <w:spacing w:before="0" w:after="0" w:line="240" w:lineRule="auto"/>
            </w:pPr>
            <w:r>
              <w:rPr>
                <w:b w:val="0"/>
                <w:i w:val="0"/>
                <w:sz w:val="16"/>
              </w:rPr>
              <w:t>CompactLogix L18ERM / L27ERM</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r>
        <w:tc>
          <w:tcPr>
            <w:tcW w:type="dxa" w:w="1250"/>
          </w:tcPr>
          <w:p>
            <w:pPr>
              <w:spacing w:before="0" w:after="0" w:line="240" w:lineRule="auto"/>
            </w:pPr>
            <w:r>
              <w:rPr>
                <w:b w:val="0"/>
                <w:i w:val="0"/>
                <w:sz w:val="16"/>
              </w:rPr>
              <w:t>Omron</w:t>
            </w:r>
          </w:p>
        </w:tc>
        <w:tc>
          <w:tcPr>
            <w:tcW w:type="dxa" w:w="2000"/>
          </w:tcPr>
          <w:p>
            <w:pPr>
              <w:spacing w:before="0" w:after="0" w:line="240" w:lineRule="auto"/>
            </w:pPr>
            <w:r>
              <w:rPr>
                <w:b w:val="0"/>
                <w:i w:val="0"/>
                <w:sz w:val="16"/>
              </w:rPr>
              <w:t>NJ101</w:t>
            </w:r>
          </w:p>
        </w:tc>
        <w:tc>
          <w:tcPr>
            <w:tcW w:type="dxa" w:w="2100"/>
          </w:tcPr>
          <w:p>
            <w:pPr>
              <w:spacing w:before="0" w:after="0" w:line="240" w:lineRule="auto"/>
            </w:pPr>
            <w:r>
              <w:rPr>
                <w:b/>
                <w:i w:val="0"/>
                <w:sz w:val="16"/>
              </w:rPr>
              <w:t>Industrial NAT Device</w:t>
            </w:r>
          </w:p>
        </w:tc>
        <w:tc>
          <w:tcPr>
            <w:tcW w:type="dxa" w:w="2398"/>
          </w:tcPr>
          <w:p>
            <w:pPr>
              <w:spacing w:before="0" w:after="0" w:line="240" w:lineRule="auto"/>
            </w:pPr>
            <w:r>
              <w:rPr>
                <w:b/>
                <w:i w:val="0"/>
                <w:sz w:val="16"/>
              </w:rPr>
              <w:t>Moxa NAT‑102</w:t>
            </w:r>
          </w:p>
        </w:tc>
        <w:tc>
          <w:tcPr>
            <w:tcW w:type="dxa" w:w="1100"/>
          </w:tcPr>
          <w:p>
            <w:pPr>
              <w:spacing w:before="0" w:after="0" w:line="240" w:lineRule="auto"/>
            </w:pPr>
            <w:r>
              <w:rPr>
                <w:b w:val="0"/>
                <w:i w:val="0"/>
                <w:sz w:val="16"/>
              </w:rPr>
              <w:t>Yes</w:t>
            </w:r>
          </w:p>
        </w:tc>
        <w:tc>
          <w:tcPr>
            <w:tcW w:type="dxa" w:w="1500"/>
          </w:tcPr>
          <w:p>
            <w:pPr>
              <w:spacing w:before="0" w:after="0" w:line="240" w:lineRule="auto"/>
            </w:pPr>
            <w:r>
              <w:rPr>
                <w:b w:val="0"/>
                <w:i w:val="0"/>
                <w:sz w:val="16"/>
              </w:rPr>
              <w:t>★★★★★</w:t>
            </w:r>
          </w:p>
        </w:tc>
      </w:tr>
    </w:tbl>
    <w:p>
      <w:pPr>
        <w:pStyle w:val="Caption"/>
      </w:pPr>
      <w:r>
        <w:rPr>
          <w:b w:val="0"/>
        </w:rPr>
        <w:t>Table: Unit‑4 proposed interfacing hardware part numbers</w:t>
      </w:r>
    </w:p>
    <w:p>
      <w:pPr/>
      <w:r>
        <w:rPr>
          <w:b w:val="0"/>
        </w:rPr>
        <w:t>Industrial NAT devices are provided one per machine on the controllers that use their built‑in Ethernet port.</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24</w:t>
            </w:r>
          </w:p>
        </w:tc>
        <w:tc>
          <w:tcPr>
            <w:tcW w:type="dxa" w:w="700"/>
          </w:tcPr>
          <w:p>
            <w:r>
              <w:t>26</w:t>
            </w:r>
          </w:p>
        </w:tc>
        <w:tc>
          <w:tcPr>
            <w:tcW w:type="dxa" w:w="3648"/>
          </w:tcPr>
          <w:p>
            <w:r>
              <w:t>Connected over the built‑in Ethernet port and read by Kepware OPC Server using the relevant native driver. No additional communication hardware required.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50</w:t>
            </w:r>
          </w:p>
        </w:tc>
        <w:tc>
          <w:tcPr>
            <w:tcW w:type="dxa" w:w="700"/>
          </w:tcPr>
          <w:p>
            <w:r>
              <w:t>90</w:t>
            </w:r>
          </w:p>
        </w:tc>
        <w:tc>
          <w:tcPr>
            <w:tcW w:type="dxa" w:w="3648"/>
          </w:tcPr>
          <w:p>
            <w:r>
              <w:t>An OEM Ethernet communication module is required on each PLC, after which the data is read by Kepware OPC Server using the relevant Ethernet driver.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90 of the 145 machines carry controllers with serial or fieldbus interfaces only, with the existing RS232 port occupied by the HMI. Each of these machines requires an OEM Ethernet communication module to be fitted before the data can be read. Supply of materials and activities on existing field devices is presently listed under Exclusions in this document; the responsibility and commercial treatment of this hardware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pPr/>
      <w:r>
        <w:t>Machine data is acquired by Kepware OPC Server over an isolated industrial OT network and passed to the SmartMES server over OPC UA. Controllers with a built‑in Ethernet port connect directly through an industrial NAT device, which provides isolation and avoids IP conflicts with the existing machine networks. Legacy controllers are brought onto the same network through an OEM Ethernet communication module, as detailed in the Machine Details section. The Kepware and SmartMES layers are shown separately below; both run on the same application virtual machine, as set out in the IT Architecture section.</w:t>
      </w:r>
    </w:p>
    <w:tbl>
      <w:tblPr>
        <w:tblW w:w="9360" w:type="dxa"/>
        <w:jc w:val="center"/>
        <w:tblLook w:firstColumn="1" w:firstRow="1" w:lastColumn="0" w:lastRow="0" w:noHBand="0" w:noVBand="1" w:val="04A0"/>
      </w:tblPr>
      <w:tblGrid>
        <w:gridCol w:w="3120"/>
        <w:gridCol w:w="3120"/>
        <w:gridCol w:w="3120"/>
      </w:tblGrid>
      <w:tr>
        <w:tc>
          <w:tcPr>
            <w:tcW w:w="9360" w:type="dxa"/>
            <w:gridSpan w:val="3"/>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9360" w:type="dxa"/>
            <w:gridSpan w:val="3"/>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3"/>
            <w:tcBorders>
              <w:top w:val="nil"/>
              <w:left w:val="nil"/>
              <w:bottom w:val="nil"/>
              <w:right w:val="nil"/>
            </w:tcBorders>
          </w:tcPr>
          <w:p>
            <w:pPr>
              <w:spacing w:before="20" w:after="20" w:line="240" w:lineRule="auto"/>
              <w:jc w:val="center"/>
            </w:pPr>
            <w:r/>
            <w:r>
              <w:rPr>
                <w:b w:val="0"/>
                <w:sz w:val="16"/>
              </w:rPr>
              <w:t>▲</w:t>
            </w:r>
          </w:p>
        </w:tc>
      </w:tr>
      <w:tr>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FX2N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SLC500 PLC</w:t>
            </w:r>
          </w:p>
          <w:p>
            <w:pPr>
              <w:spacing w:before="20" w:after="20" w:line="240" w:lineRule="auto"/>
              <w:jc w:val="center"/>
            </w:pPr>
            <w:r>
              <w:rPr>
                <w:b w:val="0"/>
                <w:sz w:val="16"/>
              </w:rPr>
              <w:t>OEM Communication Module</w:t>
            </w:r>
          </w:p>
        </w:tc>
        <w:tc>
          <w:tcPr>
            <w:tcW w:w="312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FX5U PLC</w:t>
            </w:r>
          </w:p>
          <w:p>
            <w:pPr>
              <w:spacing w:before="20" w:after="20" w:line="240" w:lineRule="auto"/>
              <w:jc w:val="center"/>
            </w:pPr>
            <w:r>
              <w:rPr>
                <w:b w:val="0"/>
                <w:sz w:val="16"/>
              </w:rPr>
              <w:t>Built‑in Ethernet + NAT Device</w:t>
            </w:r>
          </w:p>
        </w:tc>
      </w:tr>
    </w:tbl>
    <w:p>
      <w:pPr>
        <w:pStyle w:val="Caption"/>
      </w:pPr>
      <w:r>
        <w:t>Figure: Unit‑2 data acquisition architecture</w:t>
      </w:r>
    </w:p>
    <w:tbl>
      <w:tblPr>
        <w:tblW w:w="9360" w:type="dxa"/>
        <w:jc w:val="center"/>
        <w:tblLook w:firstColumn="1" w:firstRow="1" w:lastColumn="0" w:lastRow="0" w:noHBand="0" w:noVBand="1" w:val="04A0"/>
      </w:tblPr>
      <w:tblGrid>
        <w:gridCol w:w="2340"/>
        <w:gridCol w:w="2340"/>
        <w:gridCol w:w="2340"/>
        <w:gridCol w:w="2340"/>
      </w:tblGrid>
      <w:tr>
        <w:tc>
          <w:tcPr>
            <w:tcW w:w="9360" w:type="dxa"/>
            <w:gridSpan w:val="4"/>
            <w:tcBorders>
              <w:top w:val="single" w:sz="8" w:space="0" w:color="27166F"/>
              <w:left w:val="single" w:sz="8" w:space="0" w:color="27166F"/>
              <w:bottom w:val="single" w:sz="8" w:space="0" w:color="27166F"/>
              <w:right w:val="single" w:sz="8" w:space="0" w:color="27166F"/>
            </w:tcBorders>
            <w:shd w:val="clear" w:color="auto" w:fill="27166F"/>
          </w:tcPr>
          <w:p>
            <w:pPr>
              <w:spacing w:before="20" w:after="20" w:line="240" w:lineRule="auto"/>
              <w:jc w:val="center"/>
            </w:pPr>
            <w:r/>
            <w:r>
              <w:rPr>
                <w:b/>
                <w:color w:val="FFFFFF"/>
                <w:sz w:val="20"/>
              </w:rPr>
              <w:t>SmartMES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p>
            <w:pPr>
              <w:spacing w:before="20" w:after="20" w:line="240" w:lineRule="auto"/>
              <w:jc w:val="center"/>
            </w:pPr>
            <w:r>
              <w:rPr>
                <w:b w:val="0"/>
                <w:sz w:val="16"/>
              </w:rPr>
              <w:t>OPC UA</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DEDAEC"/>
          </w:tcPr>
          <w:p>
            <w:pPr>
              <w:spacing w:before="20" w:after="20" w:line="240" w:lineRule="auto"/>
              <w:jc w:val="center"/>
            </w:pPr>
            <w:r/>
            <w:r>
              <w:rPr>
                <w:b/>
                <w:sz w:val="20"/>
              </w:rPr>
              <w:t>Kepware OPC Server</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9360" w:type="dxa"/>
            <w:gridSpan w:val="4"/>
            <w:tcBorders>
              <w:top w:val="single" w:sz="8" w:space="0" w:color="27166F"/>
              <w:left w:val="single" w:sz="8" w:space="0" w:color="27166F"/>
              <w:bottom w:val="single" w:sz="8" w:space="0" w:color="27166F"/>
              <w:right w:val="single" w:sz="8" w:space="0" w:color="27166F"/>
            </w:tcBorders>
            <w:shd w:val="clear" w:color="auto" w:fill="F2F2F2"/>
          </w:tcPr>
          <w:p>
            <w:pPr>
              <w:spacing w:before="20" w:after="20" w:line="240" w:lineRule="auto"/>
              <w:jc w:val="center"/>
            </w:pPr>
            <w:r/>
            <w:r>
              <w:rPr>
                <w:b/>
                <w:sz w:val="20"/>
              </w:rPr>
              <w:t>Industrial OT Switch</w:t>
            </w:r>
          </w:p>
        </w:tc>
      </w:tr>
      <w:tr>
        <w:tc>
          <w:tcPr>
            <w:tcW w:w="9360" w:type="dxa"/>
            <w:gridSpan w:val="4"/>
            <w:tcBorders>
              <w:top w:val="nil"/>
              <w:left w:val="nil"/>
              <w:bottom w:val="nil"/>
              <w:right w:val="nil"/>
            </w:tcBorders>
          </w:tcPr>
          <w:p>
            <w:pPr>
              <w:spacing w:before="20" w:after="20" w:line="240" w:lineRule="auto"/>
              <w:jc w:val="center"/>
            </w:pPr>
            <w:r/>
            <w:r>
              <w:rPr>
                <w:b w:val="0"/>
                <w:sz w:val="16"/>
              </w:rPr>
              <w:t>▲</w:t>
            </w:r>
          </w:p>
        </w:tc>
      </w:tr>
      <w:tr>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Siemens S7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Mitsubishi PLCs</w:t>
            </w:r>
          </w:p>
          <w:p>
            <w:pPr>
              <w:spacing w:before="20" w:after="20" w:line="240" w:lineRule="auto"/>
              <w:jc w:val="center"/>
            </w:pPr>
            <w:r>
              <w:rPr>
                <w:b w:val="0"/>
                <w:sz w:val="16"/>
              </w:rPr>
              <w:t>Legacy</w:t>
            </w:r>
          </w:p>
          <w:p>
            <w:pPr>
              <w:spacing w:before="20" w:after="20" w:line="240" w:lineRule="auto"/>
              <w:jc w:val="center"/>
            </w:pPr>
            <w:r>
              <w:rPr>
                <w:b w:val="0"/>
                <w:sz w:val="16"/>
              </w:rPr>
              <w:t>OEM Communication Module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Allen‑Bradley CompactLogix</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c>
          <w:tcPr>
            <w:tcW w:w="2340" w:type="dxa"/>
            <w:tcBorders>
              <w:top w:val="single" w:sz="8" w:space="0" w:color="27166F"/>
              <w:left w:val="single" w:sz="8" w:space="0" w:color="27166F"/>
              <w:bottom w:val="single" w:sz="8" w:space="0" w:color="27166F"/>
              <w:right w:val="single" w:sz="8" w:space="0" w:color="27166F"/>
            </w:tcBorders>
            <w:shd w:val="clear" w:color="auto" w:fill="FFFFFF"/>
          </w:tcPr>
          <w:p>
            <w:pPr>
              <w:spacing w:before="20" w:after="20" w:line="240" w:lineRule="auto"/>
              <w:jc w:val="center"/>
            </w:pPr>
            <w:r>
              <w:rPr>
                <w:b/>
              </w:rPr>
            </w:r>
            <w:r>
              <w:rPr>
                <w:b w:val="0"/>
                <w:sz w:val="16"/>
              </w:rPr>
              <w:t>Omron NJ101</w:t>
            </w:r>
          </w:p>
          <w:p>
            <w:pPr>
              <w:spacing w:before="20" w:after="20" w:line="240" w:lineRule="auto"/>
              <w:jc w:val="center"/>
            </w:pPr>
            <w:r>
              <w:rPr>
                <w:b w:val="0"/>
                <w:sz w:val="16"/>
              </w:rPr>
              <w:t>Built‑in Ethernet</w:t>
            </w:r>
          </w:p>
          <w:p>
            <w:pPr>
              <w:spacing w:before="20" w:after="20" w:line="240" w:lineRule="auto"/>
              <w:jc w:val="center"/>
            </w:pPr>
            <w:r>
              <w:rPr>
                <w:b w:val="0"/>
                <w:sz w:val="16"/>
              </w:rPr>
              <w:t>NAT Device</w:t>
            </w:r>
          </w:p>
        </w:tc>
      </w:tr>
    </w:tbl>
    <w:p>
      <w:pPr>
        <w:pStyle w:val="Caption"/>
      </w:pPr>
      <w:r>
        <w:t>Figure: Unit‑4 data acquisition architecture</w:t>
      </w:r>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pPr/>
      <w:r>
        <w:rPr>
          <w:b w:val="0"/>
        </w:rPr>
        <w:t>The virtual machine estate below is already available with the customer, provisioned across a Production and a DR environment. It is reproduced here as the baseline for this offer; no change to the existing virtual machines is required.</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900"/>
        <w:gridCol w:w="1900"/>
        <w:gridCol w:w="1100"/>
        <w:gridCol w:w="900"/>
        <w:gridCol w:w="1300"/>
        <w:gridCol w:w="1448"/>
      </w:tblGrid>
      <w:tr>
        <w:trPr>
          <w:tblHeader/>
        </w:trPr>
        <w:tc>
          <w:tcPr>
            <w:tcW w:type="dxa" w:w="700"/>
          </w:tcPr>
          <w:p>
            <w:pPr>
              <w:spacing w:before="0" w:after="0" w:line="240" w:lineRule="auto"/>
            </w:pPr>
            <w:r>
              <w:rPr>
                <w:b w:val="0"/>
                <w:sz w:val="16"/>
              </w:rPr>
              <w:t>VM</w:t>
            </w:r>
          </w:p>
        </w:tc>
        <w:tc>
          <w:tcPr>
            <w:tcW w:type="dxa" w:w="2100"/>
          </w:tcPr>
          <w:p>
            <w:pPr>
              <w:spacing w:before="0" w:after="0" w:line="240" w:lineRule="auto"/>
            </w:pPr>
            <w:r>
              <w:rPr>
                <w:b w:val="0"/>
                <w:sz w:val="16"/>
              </w:rPr>
              <w:t>Purpose</w:t>
            </w:r>
          </w:p>
        </w:tc>
        <w:tc>
          <w:tcPr>
            <w:tcW w:type="dxa" w:w="900"/>
          </w:tcPr>
          <w:p>
            <w:pPr>
              <w:spacing w:before="0" w:after="0" w:line="240" w:lineRule="auto"/>
            </w:pPr>
            <w:r>
              <w:rPr>
                <w:b w:val="0"/>
                <w:sz w:val="16"/>
              </w:rPr>
              <w:t>Server Type</w:t>
            </w:r>
          </w:p>
        </w:tc>
        <w:tc>
          <w:tcPr>
            <w:tcW w:type="dxa" w:w="1900"/>
          </w:tcPr>
          <w:p>
            <w:pPr>
              <w:spacing w:before="0" w:after="0" w:line="240" w:lineRule="auto"/>
            </w:pPr>
            <w:r>
              <w:rPr>
                <w:b w:val="0"/>
                <w:sz w:val="16"/>
              </w:rPr>
              <w:t>OS</w:t>
            </w:r>
          </w:p>
        </w:tc>
        <w:tc>
          <w:tcPr>
            <w:tcW w:type="dxa" w:w="1100"/>
          </w:tcPr>
          <w:p>
            <w:pPr>
              <w:spacing w:before="0" w:after="0" w:line="240" w:lineRule="auto"/>
            </w:pPr>
            <w:r>
              <w:rPr>
                <w:b w:val="0"/>
                <w:sz w:val="16"/>
              </w:rPr>
              <w:t>vCPU (2.4 GHz or above)</w:t>
            </w:r>
          </w:p>
        </w:tc>
        <w:tc>
          <w:tcPr>
            <w:tcW w:type="dxa" w:w="900"/>
          </w:tcPr>
          <w:p>
            <w:pPr>
              <w:spacing w:before="0" w:after="0" w:line="240" w:lineRule="auto"/>
            </w:pPr>
            <w:r>
              <w:rPr>
                <w:b w:val="0"/>
                <w:sz w:val="16"/>
              </w:rPr>
              <w:t>RAM (GB)</w:t>
            </w:r>
          </w:p>
        </w:tc>
        <w:tc>
          <w:tcPr>
            <w:tcW w:type="dxa" w:w="1300"/>
          </w:tcPr>
          <w:p>
            <w:pPr>
              <w:spacing w:before="0" w:after="0" w:line="240" w:lineRule="auto"/>
            </w:pPr>
            <w:r>
              <w:rPr>
                <w:b w:val="0"/>
                <w:sz w:val="16"/>
              </w:rPr>
              <w:t>C Drive (GB)</w:t>
            </w:r>
          </w:p>
        </w:tc>
        <w:tc>
          <w:tcPr>
            <w:tcW w:type="dxa" w:w="1448"/>
          </w:tcPr>
          <w:p>
            <w:pPr>
              <w:spacing w:before="0" w:after="0" w:line="240" w:lineRule="auto"/>
            </w:pPr>
            <w:r>
              <w:rPr>
                <w:b w:val="0"/>
                <w:sz w:val="16"/>
              </w:rPr>
              <w:t>D Drive (GB)</w:t>
            </w:r>
          </w:p>
        </w:tc>
      </w:tr>
      <w:tr>
        <w:tc>
          <w:tcPr>
            <w:tcW w:type="dxa" w:w="10348"/>
            <w:gridSpan w:val="8"/>
          </w:tcPr>
          <w:p>
            <w:pPr>
              <w:spacing w:before="0" w:after="0" w:line="240" w:lineRule="auto"/>
              <w:jc w:val="center"/>
            </w:pPr>
            <w:r>
              <w:rPr>
                <w:b/>
                <w:sz w:val="16"/>
              </w:rPr>
              <w:t>Production</w:t>
            </w:r>
          </w:p>
        </w:tc>
      </w:tr>
      <w:tr>
        <w:tc>
          <w:tcPr>
            <w:tcW w:type="dxa" w:w="700"/>
          </w:tcPr>
          <w:p>
            <w:pPr>
              <w:spacing w:before="0" w:after="0" w:line="240" w:lineRule="auto"/>
            </w:pPr>
            <w:r>
              <w:rPr>
                <w:b w:val="0"/>
                <w:sz w:val="16"/>
              </w:rPr>
              <w:t>VM‑1</w:t>
            </w:r>
          </w:p>
        </w:tc>
        <w:tc>
          <w:tcPr>
            <w:tcW w:type="dxa" w:w="2100"/>
          </w:tcPr>
          <w:p>
            <w:pPr>
              <w:spacing w:before="0" w:after="0" w:line="240" w:lineRule="auto"/>
            </w:pPr>
            <w:r>
              <w:rPr>
                <w:b w:val="0"/>
                <w:sz w:val="16"/>
              </w:rPr>
              <w:t>TBM‑FF APP</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VM‑2</w:t>
            </w:r>
          </w:p>
        </w:tc>
        <w:tc>
          <w:tcPr>
            <w:tcW w:type="dxa" w:w="2100"/>
          </w:tcPr>
          <w:p>
            <w:pPr>
              <w:spacing w:before="0" w:after="0" w:line="240" w:lineRule="auto"/>
            </w:pPr>
            <w:r>
              <w:rPr>
                <w:b w:val="0"/>
                <w:sz w:val="16"/>
              </w:rPr>
              <w:t>Testing VM (UAT)</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8</w:t>
            </w:r>
          </w:p>
        </w:tc>
        <w:tc>
          <w:tcPr>
            <w:tcW w:type="dxa" w:w="900"/>
          </w:tcPr>
          <w:p>
            <w:pPr>
              <w:spacing w:before="0" w:after="0" w:line="240" w:lineRule="auto"/>
            </w:pPr>
            <w:r>
              <w:rPr>
                <w:b w:val="0"/>
                <w:sz w:val="16"/>
              </w:rPr>
              <w:t>48</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VM‑3</w:t>
            </w:r>
          </w:p>
        </w:tc>
        <w:tc>
          <w:tcPr>
            <w:tcW w:type="dxa" w:w="2100"/>
          </w:tcPr>
          <w:p>
            <w:pPr>
              <w:spacing w:before="0" w:after="0" w:line="240" w:lineRule="auto"/>
            </w:pPr>
            <w:r>
              <w:rPr>
                <w:b w:val="0"/>
                <w:sz w:val="16"/>
              </w:rPr>
              <w:t>DB VM</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16</w:t>
            </w:r>
          </w:p>
        </w:tc>
        <w:tc>
          <w:tcPr>
            <w:tcW w:type="dxa" w:w="900"/>
          </w:tcPr>
          <w:p>
            <w:pPr>
              <w:spacing w:before="0" w:after="0" w:line="240" w:lineRule="auto"/>
            </w:pPr>
            <w:r>
              <w:rPr>
                <w:b w:val="0"/>
                <w:sz w:val="16"/>
              </w:rPr>
              <w:t>192</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2048</w:t>
            </w:r>
          </w:p>
        </w:tc>
      </w:tr>
      <w:tr>
        <w:tc>
          <w:tcPr>
            <w:tcW w:type="dxa" w:w="700"/>
          </w:tcPr>
          <w:p>
            <w:pPr>
              <w:spacing w:before="0" w:after="0" w:line="240" w:lineRule="auto"/>
            </w:pPr>
            <w:r>
              <w:rPr>
                <w:b w:val="0"/>
                <w:sz w:val="16"/>
              </w:rPr>
              <w:t>VM‑4</w:t>
            </w:r>
          </w:p>
        </w:tc>
        <w:tc>
          <w:tcPr>
            <w:tcW w:type="dxa" w:w="2100"/>
          </w:tcPr>
          <w:p>
            <w:pPr>
              <w:spacing w:before="0" w:after="0" w:line="240" w:lineRule="auto"/>
            </w:pPr>
            <w:r>
              <w:rPr>
                <w:b w:val="0"/>
                <w:sz w:val="16"/>
              </w:rPr>
              <w:t>RMS‑TBM (Future)</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10 % additional compute for future enhancement</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Required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48</w:t>
            </w:r>
          </w:p>
        </w:tc>
        <w:tc>
          <w:tcPr>
            <w:tcW w:type="dxa" w:w="900"/>
          </w:tcPr>
          <w:p>
            <w:pPr>
              <w:spacing w:before="0" w:after="0" w:line="240" w:lineRule="auto"/>
            </w:pPr>
            <w:r>
              <w:rPr>
                <w:b/>
                <w:sz w:val="16"/>
              </w:rPr>
              <w:t>368</w:t>
            </w:r>
          </w:p>
        </w:tc>
        <w:tc>
          <w:tcPr>
            <w:tcW w:type="dxa" w:w="1300"/>
          </w:tcPr>
          <w:p>
            <w:pPr>
              <w:spacing w:before="0" w:after="0" w:line="240" w:lineRule="auto"/>
            </w:pPr>
            <w:r>
              <w:rPr>
                <w:b/>
                <w:sz w:val="16"/>
              </w:rPr>
              <w:t>1024</w:t>
            </w:r>
          </w:p>
        </w:tc>
        <w:tc>
          <w:tcPr>
            <w:tcW w:type="dxa" w:w="1448"/>
          </w:tcPr>
          <w:p>
            <w:pPr>
              <w:spacing w:before="0" w:after="0" w:line="240" w:lineRule="auto"/>
            </w:pPr>
            <w:r>
              <w:rPr>
                <w:b/>
                <w:sz w:val="16"/>
              </w:rPr>
              <w:t>3584</w:t>
            </w:r>
          </w:p>
        </w:tc>
      </w:tr>
      <w:tr>
        <w:tc>
          <w:tcPr>
            <w:tcW w:type="dxa" w:w="10348"/>
            <w:gridSpan w:val="8"/>
          </w:tcPr>
          <w:p>
            <w:pPr>
              <w:spacing w:before="0" w:after="0" w:line="240" w:lineRule="auto"/>
              <w:jc w:val="center"/>
            </w:pPr>
            <w:r>
              <w:rPr>
                <w:b/>
                <w:sz w:val="16"/>
              </w:rPr>
              <w:t>DR</w:t>
            </w:r>
          </w:p>
        </w:tc>
      </w:tr>
      <w:tr>
        <w:tc>
          <w:tcPr>
            <w:tcW w:type="dxa" w:w="700"/>
          </w:tcPr>
          <w:p>
            <w:pPr>
              <w:spacing w:before="0" w:after="0" w:line="240" w:lineRule="auto"/>
            </w:pPr>
            <w:r>
              <w:rPr>
                <w:b w:val="0"/>
                <w:sz w:val="16"/>
              </w:rPr>
              <w:t>VM‑1</w:t>
            </w:r>
          </w:p>
        </w:tc>
        <w:tc>
          <w:tcPr>
            <w:tcW w:type="dxa" w:w="2100"/>
          </w:tcPr>
          <w:p>
            <w:pPr>
              <w:spacing w:before="0" w:after="0" w:line="240" w:lineRule="auto"/>
            </w:pPr>
            <w:r>
              <w:rPr>
                <w:b w:val="0"/>
                <w:sz w:val="16"/>
              </w:rPr>
              <w:t>TBM‑FF APP</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VM‑2</w:t>
            </w:r>
          </w:p>
        </w:tc>
        <w:tc>
          <w:tcPr>
            <w:tcW w:type="dxa" w:w="2100"/>
          </w:tcPr>
          <w:p>
            <w:pPr>
              <w:spacing w:before="0" w:after="0" w:line="240" w:lineRule="auto"/>
            </w:pPr>
            <w:r>
              <w:rPr>
                <w:b w:val="0"/>
                <w:sz w:val="16"/>
              </w:rPr>
              <w:t>Testing VM (UAT)</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8</w:t>
            </w:r>
          </w:p>
        </w:tc>
        <w:tc>
          <w:tcPr>
            <w:tcW w:type="dxa" w:w="900"/>
          </w:tcPr>
          <w:p>
            <w:pPr>
              <w:spacing w:before="0" w:after="0" w:line="240" w:lineRule="auto"/>
            </w:pPr>
            <w:r>
              <w:rPr>
                <w:b w:val="0"/>
                <w:sz w:val="16"/>
              </w:rPr>
              <w:t>48</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val="0"/>
                <w:sz w:val="16"/>
              </w:rPr>
              <w:t>VM‑3</w:t>
            </w:r>
          </w:p>
        </w:tc>
        <w:tc>
          <w:tcPr>
            <w:tcW w:type="dxa" w:w="2100"/>
          </w:tcPr>
          <w:p>
            <w:pPr>
              <w:spacing w:before="0" w:after="0" w:line="240" w:lineRule="auto"/>
            </w:pPr>
            <w:r>
              <w:rPr>
                <w:b w:val="0"/>
                <w:sz w:val="16"/>
              </w:rPr>
              <w:t>DB VM</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16</w:t>
            </w:r>
          </w:p>
        </w:tc>
        <w:tc>
          <w:tcPr>
            <w:tcW w:type="dxa" w:w="900"/>
          </w:tcPr>
          <w:p>
            <w:pPr>
              <w:spacing w:before="0" w:after="0" w:line="240" w:lineRule="auto"/>
            </w:pPr>
            <w:r>
              <w:rPr>
                <w:b w:val="0"/>
                <w:sz w:val="16"/>
              </w:rPr>
              <w:t>192</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2048</w:t>
            </w:r>
          </w:p>
        </w:tc>
      </w:tr>
      <w:tr>
        <w:tc>
          <w:tcPr>
            <w:tcW w:type="dxa" w:w="700"/>
          </w:tcPr>
          <w:p>
            <w:pPr>
              <w:spacing w:before="0" w:after="0" w:line="240" w:lineRule="auto"/>
            </w:pPr>
            <w:r>
              <w:rPr>
                <w:b w:val="0"/>
                <w:sz w:val="16"/>
              </w:rPr>
              <w:t>VM‑4</w:t>
            </w:r>
          </w:p>
        </w:tc>
        <w:tc>
          <w:tcPr>
            <w:tcW w:type="dxa" w:w="2100"/>
          </w:tcPr>
          <w:p>
            <w:pPr>
              <w:spacing w:before="0" w:after="0" w:line="240" w:lineRule="auto"/>
            </w:pPr>
            <w:r>
              <w:rPr>
                <w:b w:val="0"/>
                <w:sz w:val="16"/>
              </w:rPr>
              <w:t>RMS‑TBM (Future)</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10 % additional compute for future enhancement</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Required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48</w:t>
            </w:r>
          </w:p>
        </w:tc>
        <w:tc>
          <w:tcPr>
            <w:tcW w:type="dxa" w:w="900"/>
          </w:tcPr>
          <w:p>
            <w:pPr>
              <w:spacing w:before="0" w:after="0" w:line="240" w:lineRule="auto"/>
            </w:pPr>
            <w:r>
              <w:rPr>
                <w:b/>
                <w:sz w:val="16"/>
              </w:rPr>
              <w:t>368</w:t>
            </w:r>
          </w:p>
        </w:tc>
        <w:tc>
          <w:tcPr>
            <w:tcW w:type="dxa" w:w="1300"/>
          </w:tcPr>
          <w:p>
            <w:pPr>
              <w:spacing w:before="0" w:after="0" w:line="240" w:lineRule="auto"/>
            </w:pPr>
            <w:r>
              <w:rPr>
                <w:b/>
                <w:sz w:val="16"/>
              </w:rPr>
              <w:t>1024</w:t>
            </w:r>
          </w:p>
        </w:tc>
        <w:tc>
          <w:tcPr>
            <w:tcW w:type="dxa" w:w="1448"/>
          </w:tcPr>
          <w:p>
            <w:pPr>
              <w:spacing w:before="0" w:after="0" w:line="240" w:lineRule="auto"/>
            </w:pPr>
            <w:r>
              <w:rPr>
                <w:b/>
                <w:sz w:val="16"/>
              </w:rPr>
              <w:t>3584</w:t>
            </w:r>
          </w:p>
        </w:tc>
      </w:tr>
    </w:tbl>
    <w:p>
      <w:pPr>
        <w:pStyle w:val="Caption"/>
      </w:pPr>
      <w:r>
        <w:rPr>
          <w:b w:val="0"/>
        </w:rPr>
        <w:t>Table: Existing virtual machine estate – Production and DR</w:t>
      </w:r>
    </w:p>
    <w:p>
      <w:pPr/>
      <w:r>
        <w:rPr>
          <w:b w:val="0"/>
        </w:rPr>
        <w:t>This project requires one additional application virtual machine, of the same specification as the existing application VM (VM‑1), to host SmartMES and the Kepware OPC Server for Unit‑2 and Unit‑4. The DR environment mirrors Production, so the same virtual machine is required in each.</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2100"/>
        <w:gridCol w:w="900"/>
        <w:gridCol w:w="1900"/>
        <w:gridCol w:w="1100"/>
        <w:gridCol w:w="900"/>
        <w:gridCol w:w="1300"/>
        <w:gridCol w:w="1448"/>
      </w:tblGrid>
      <w:tr>
        <w:trPr>
          <w:tblHeader/>
        </w:trPr>
        <w:tc>
          <w:tcPr>
            <w:tcW w:type="dxa" w:w="700"/>
          </w:tcPr>
          <w:p>
            <w:pPr>
              <w:spacing w:before="0" w:after="0" w:line="240" w:lineRule="auto"/>
            </w:pPr>
            <w:r>
              <w:rPr>
                <w:b w:val="0"/>
                <w:sz w:val="16"/>
              </w:rPr>
              <w:t>VM</w:t>
            </w:r>
          </w:p>
        </w:tc>
        <w:tc>
          <w:tcPr>
            <w:tcW w:type="dxa" w:w="2100"/>
          </w:tcPr>
          <w:p>
            <w:pPr>
              <w:spacing w:before="0" w:after="0" w:line="240" w:lineRule="auto"/>
            </w:pPr>
            <w:r>
              <w:rPr>
                <w:b w:val="0"/>
                <w:sz w:val="16"/>
              </w:rPr>
              <w:t>Purpose</w:t>
            </w:r>
          </w:p>
        </w:tc>
        <w:tc>
          <w:tcPr>
            <w:tcW w:type="dxa" w:w="900"/>
          </w:tcPr>
          <w:p>
            <w:pPr>
              <w:spacing w:before="0" w:after="0" w:line="240" w:lineRule="auto"/>
            </w:pPr>
            <w:r>
              <w:rPr>
                <w:b w:val="0"/>
                <w:sz w:val="16"/>
              </w:rPr>
              <w:t>Server Type</w:t>
            </w:r>
          </w:p>
        </w:tc>
        <w:tc>
          <w:tcPr>
            <w:tcW w:type="dxa" w:w="1900"/>
          </w:tcPr>
          <w:p>
            <w:pPr>
              <w:spacing w:before="0" w:after="0" w:line="240" w:lineRule="auto"/>
            </w:pPr>
            <w:r>
              <w:rPr>
                <w:b w:val="0"/>
                <w:sz w:val="16"/>
              </w:rPr>
              <w:t>OS</w:t>
            </w:r>
          </w:p>
        </w:tc>
        <w:tc>
          <w:tcPr>
            <w:tcW w:type="dxa" w:w="1100"/>
          </w:tcPr>
          <w:p>
            <w:pPr>
              <w:spacing w:before="0" w:after="0" w:line="240" w:lineRule="auto"/>
            </w:pPr>
            <w:r>
              <w:rPr>
                <w:b w:val="0"/>
                <w:sz w:val="16"/>
              </w:rPr>
              <w:t>vCPU (2.4 GHz or above)</w:t>
            </w:r>
          </w:p>
        </w:tc>
        <w:tc>
          <w:tcPr>
            <w:tcW w:type="dxa" w:w="900"/>
          </w:tcPr>
          <w:p>
            <w:pPr>
              <w:spacing w:before="0" w:after="0" w:line="240" w:lineRule="auto"/>
            </w:pPr>
            <w:r>
              <w:rPr>
                <w:b w:val="0"/>
                <w:sz w:val="16"/>
              </w:rPr>
              <w:t>RAM (GB)</w:t>
            </w:r>
          </w:p>
        </w:tc>
        <w:tc>
          <w:tcPr>
            <w:tcW w:type="dxa" w:w="1300"/>
          </w:tcPr>
          <w:p>
            <w:pPr>
              <w:spacing w:before="0" w:after="0" w:line="240" w:lineRule="auto"/>
            </w:pPr>
            <w:r>
              <w:rPr>
                <w:b w:val="0"/>
                <w:sz w:val="16"/>
              </w:rPr>
              <w:t>C Drive (GB)</w:t>
            </w:r>
          </w:p>
        </w:tc>
        <w:tc>
          <w:tcPr>
            <w:tcW w:type="dxa" w:w="1448"/>
          </w:tcPr>
          <w:p>
            <w:pPr>
              <w:spacing w:before="0" w:after="0" w:line="240" w:lineRule="auto"/>
            </w:pPr>
            <w:r>
              <w:rPr>
                <w:b w:val="0"/>
                <w:sz w:val="16"/>
              </w:rPr>
              <w:t>D Drive (GB)</w:t>
            </w:r>
          </w:p>
        </w:tc>
      </w:tr>
      <w:tr>
        <w:tc>
          <w:tcPr>
            <w:tcW w:type="dxa" w:w="10348"/>
            <w:gridSpan w:val="8"/>
          </w:tcPr>
          <w:p>
            <w:pPr>
              <w:spacing w:before="0" w:after="0" w:line="240" w:lineRule="auto"/>
              <w:jc w:val="center"/>
            </w:pPr>
            <w:r>
              <w:rPr>
                <w:b/>
                <w:sz w:val="16"/>
              </w:rPr>
              <w:t>Production</w:t>
            </w:r>
          </w:p>
        </w:tc>
      </w:tr>
      <w:tr>
        <w:tc>
          <w:tcPr>
            <w:tcW w:type="dxa" w:w="700"/>
          </w:tcPr>
          <w:p>
            <w:pPr>
              <w:spacing w:before="0" w:after="0" w:line="240" w:lineRule="auto"/>
            </w:pPr>
            <w:r>
              <w:rPr>
                <w:b w:val="0"/>
                <w:sz w:val="16"/>
              </w:rPr>
              <w:t>VM‑5</w:t>
            </w:r>
          </w:p>
        </w:tc>
        <w:tc>
          <w:tcPr>
            <w:tcW w:type="dxa" w:w="2100"/>
          </w:tcPr>
          <w:p>
            <w:pPr>
              <w:spacing w:before="0" w:after="0" w:line="240" w:lineRule="auto"/>
            </w:pPr>
            <w:r>
              <w:rPr>
                <w:b w:val="0"/>
                <w:sz w:val="16"/>
              </w:rPr>
              <w:t>SmartMES Application &amp; Kepware OPC Server</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10348"/>
            <w:gridSpan w:val="8"/>
          </w:tcPr>
          <w:p>
            <w:pPr>
              <w:spacing w:before="0" w:after="0" w:line="240" w:lineRule="auto"/>
              <w:jc w:val="center"/>
            </w:pPr>
            <w:r>
              <w:rPr>
                <w:b/>
                <w:sz w:val="16"/>
              </w:rPr>
              <w:t>DR</w:t>
            </w:r>
          </w:p>
        </w:tc>
      </w:tr>
      <w:tr>
        <w:tc>
          <w:tcPr>
            <w:tcW w:type="dxa" w:w="700"/>
          </w:tcPr>
          <w:p>
            <w:pPr>
              <w:spacing w:before="0" w:after="0" w:line="240" w:lineRule="auto"/>
            </w:pPr>
            <w:r>
              <w:rPr>
                <w:b w:val="0"/>
                <w:sz w:val="16"/>
              </w:rPr>
              <w:t>VM‑5</w:t>
            </w:r>
          </w:p>
        </w:tc>
        <w:tc>
          <w:tcPr>
            <w:tcW w:type="dxa" w:w="2100"/>
          </w:tcPr>
          <w:p>
            <w:pPr>
              <w:spacing w:before="0" w:after="0" w:line="240" w:lineRule="auto"/>
            </w:pPr>
            <w:r>
              <w:rPr>
                <w:b w:val="0"/>
                <w:sz w:val="16"/>
              </w:rPr>
              <w:t>SmartMES Application &amp; Kepware OPC Server</w:t>
            </w:r>
          </w:p>
        </w:tc>
        <w:tc>
          <w:tcPr>
            <w:tcW w:type="dxa" w:w="900"/>
          </w:tcPr>
          <w:p>
            <w:pPr>
              <w:spacing w:before="0" w:after="0" w:line="240" w:lineRule="auto"/>
            </w:pPr>
            <w:r>
              <w:rPr>
                <w:b w:val="0"/>
                <w:sz w:val="16"/>
              </w:rPr>
              <w:t>VM</w:t>
            </w:r>
          </w:p>
        </w:tc>
        <w:tc>
          <w:tcPr>
            <w:tcW w:type="dxa" w:w="1900"/>
          </w:tcPr>
          <w:p>
            <w:pPr>
              <w:spacing w:before="0" w:after="0" w:line="240" w:lineRule="auto"/>
            </w:pPr>
            <w:r>
              <w:rPr>
                <w:b w:val="0"/>
                <w:sz w:val="16"/>
              </w:rPr>
              <w:t>Windows Server 2022</w:t>
            </w:r>
          </w:p>
        </w:tc>
        <w:tc>
          <w:tcPr>
            <w:tcW w:type="dxa" w:w="1100"/>
          </w:tcPr>
          <w:p>
            <w:pPr>
              <w:spacing w:before="0" w:after="0" w:line="240" w:lineRule="auto"/>
            </w:pPr>
            <w:r>
              <w:rPr>
                <w:b w:val="0"/>
                <w:sz w:val="16"/>
              </w:rPr>
              <w:t>12</w:t>
            </w:r>
          </w:p>
        </w:tc>
        <w:tc>
          <w:tcPr>
            <w:tcW w:type="dxa" w:w="900"/>
          </w:tcPr>
          <w:p>
            <w:pPr>
              <w:spacing w:before="0" w:after="0" w:line="240" w:lineRule="auto"/>
            </w:pPr>
            <w:r>
              <w:rPr>
                <w:b w:val="0"/>
                <w:sz w:val="16"/>
              </w:rPr>
              <w:t>64</w:t>
            </w:r>
          </w:p>
        </w:tc>
        <w:tc>
          <w:tcPr>
            <w:tcW w:type="dxa" w:w="1300"/>
          </w:tcPr>
          <w:p>
            <w:pPr>
              <w:spacing w:before="0" w:after="0" w:line="240" w:lineRule="auto"/>
            </w:pPr>
            <w:r>
              <w:rPr>
                <w:b w:val="0"/>
                <w:sz w:val="16"/>
              </w:rPr>
              <w:t>256</w:t>
            </w:r>
          </w:p>
        </w:tc>
        <w:tc>
          <w:tcPr>
            <w:tcW w:type="dxa" w:w="1448"/>
          </w:tcPr>
          <w:p>
            <w:pPr>
              <w:spacing w:before="0" w:after="0" w:line="240" w:lineRule="auto"/>
            </w:pPr>
            <w:r>
              <w:rPr>
                <w:b w:val="0"/>
                <w:sz w:val="16"/>
              </w:rPr>
              <w:t>512</w:t>
            </w:r>
          </w:p>
        </w:tc>
      </w:tr>
      <w:tr>
        <w:tc>
          <w:tcPr>
            <w:tcW w:type="dxa" w:w="700"/>
          </w:tcPr>
          <w:p>
            <w:pPr>
              <w:spacing w:before="0" w:after="0" w:line="240" w:lineRule="auto"/>
            </w:pPr>
            <w:r>
              <w:rPr>
                <w:b/>
                <w:sz w:val="16"/>
              </w:rPr>
            </w:r>
          </w:p>
        </w:tc>
        <w:tc>
          <w:tcPr>
            <w:tcW w:type="dxa" w:w="2100"/>
          </w:tcPr>
          <w:p>
            <w:pPr>
              <w:spacing w:before="0" w:after="0" w:line="240" w:lineRule="auto"/>
            </w:pPr>
            <w:r>
              <w:rPr>
                <w:b/>
                <w:sz w:val="16"/>
              </w:rPr>
              <w:t>Overall Additional Resources</w:t>
            </w:r>
          </w:p>
        </w:tc>
        <w:tc>
          <w:tcPr>
            <w:tcW w:type="dxa" w:w="900"/>
          </w:tcPr>
          <w:p>
            <w:pPr>
              <w:spacing w:before="0" w:after="0" w:line="240" w:lineRule="auto"/>
            </w:pPr>
            <w:r>
              <w:rPr>
                <w:b/>
                <w:sz w:val="16"/>
              </w:rPr>
            </w:r>
          </w:p>
        </w:tc>
        <w:tc>
          <w:tcPr>
            <w:tcW w:type="dxa" w:w="1900"/>
          </w:tcPr>
          <w:p>
            <w:pPr>
              <w:spacing w:before="0" w:after="0" w:line="240" w:lineRule="auto"/>
            </w:pPr>
            <w:r>
              <w:rPr>
                <w:b/>
                <w:sz w:val="16"/>
              </w:rPr>
            </w:r>
          </w:p>
        </w:tc>
        <w:tc>
          <w:tcPr>
            <w:tcW w:type="dxa" w:w="1100"/>
          </w:tcPr>
          <w:p>
            <w:pPr>
              <w:spacing w:before="0" w:after="0" w:line="240" w:lineRule="auto"/>
            </w:pPr>
            <w:r>
              <w:rPr>
                <w:b/>
                <w:sz w:val="16"/>
              </w:rPr>
              <w:t>24</w:t>
            </w:r>
          </w:p>
        </w:tc>
        <w:tc>
          <w:tcPr>
            <w:tcW w:type="dxa" w:w="900"/>
          </w:tcPr>
          <w:p>
            <w:pPr>
              <w:spacing w:before="0" w:after="0" w:line="240" w:lineRule="auto"/>
            </w:pPr>
            <w:r>
              <w:rPr>
                <w:b/>
                <w:sz w:val="16"/>
              </w:rPr>
              <w:t>128</w:t>
            </w:r>
          </w:p>
        </w:tc>
        <w:tc>
          <w:tcPr>
            <w:tcW w:type="dxa" w:w="1300"/>
          </w:tcPr>
          <w:p>
            <w:pPr>
              <w:spacing w:before="0" w:after="0" w:line="240" w:lineRule="auto"/>
            </w:pPr>
            <w:r>
              <w:rPr>
                <w:b/>
                <w:sz w:val="16"/>
              </w:rPr>
              <w:t>512</w:t>
            </w:r>
          </w:p>
        </w:tc>
        <w:tc>
          <w:tcPr>
            <w:tcW w:type="dxa" w:w="1448"/>
          </w:tcPr>
          <w:p>
            <w:pPr>
              <w:spacing w:before="0" w:after="0" w:line="240" w:lineRule="auto"/>
            </w:pPr>
            <w:r>
              <w:rPr>
                <w:b/>
                <w:sz w:val="16"/>
              </w:rPr>
              <w:t>1024</w:t>
            </w:r>
          </w:p>
        </w:tc>
      </w:tr>
    </w:tbl>
    <w:p>
      <w:pPr>
        <w:pStyle w:val="Caption"/>
      </w:pPr>
      <w:r>
        <w:rPr>
          <w:b w:val="0"/>
        </w:rPr>
        <w:t>Table: Additional virtual machines required for this project</w:t>
      </w:r>
    </w:p>
    <w:p>
      <w:pPr/>
      <w:r>
        <w:rPr>
          <w:b/>
        </w:rPr>
        <w:t>Notes:</w:t>
      </w:r>
    </w:p>
    <w:p>
      <w:pPr>
        <w:pStyle w:val="ListParagraph"/>
        <w:numPr>
          <w:ilvl w:val="0"/>
          <w:numId w:val="46"/>
        </w:numPr>
      </w:pPr>
      <w:r>
        <w:rPr>
          <w:b w:val="0"/>
        </w:rPr>
        <w:t>The additional virtual machine is to be provided by the customer, in line with the infrastructure responsibilities set out in the Roles and Responsibilities section of this document.</w:t>
      </w:r>
    </w:p>
    <w:p>
      <w:pPr>
        <w:pStyle w:val="ListParagraph"/>
        <w:numPr>
          <w:ilvl w:val="0"/>
          <w:numId w:val="46"/>
        </w:numPr>
      </w:pPr>
      <w:r>
        <w:rPr>
          <w:b w:val="0"/>
        </w:rPr>
        <w:t>The Kepware OPC Server runs on this same application virtual machine; no separate virtual machine is required for it. As the machine carries both SmartMES and the OPC server polling the interfaced machines, its sizing is to be reviewed against the final tag count during Functional Design.</w:t>
      </w:r>
    </w:p>
    <w:p>
      <w:pPr>
        <w:pStyle w:val="ListParagraph"/>
        <w:numPr>
          <w:ilvl w:val="0"/>
          <w:numId w:val="46"/>
        </w:numPr>
      </w:pPr>
      <w:r>
        <w:rPr>
          <w:b w:val="0"/>
        </w:rPr>
        <w:t>With the additional virtual machine in place, the resource required in each environment becomes 60 vCPU, 432 GB RAM, 1280 GB of C drive and 4096 GB of D drive, and 120 vCPU, 864 GB RAM, 2560 GB of C drive and 8192 GB of D drive across Production and DR together.</w:t>
      </w:r>
    </w:p>
    <w:p>
      <w:pPr>
        <w:pStyle w:val="ListParagraph"/>
        <w:numPr>
          <w:ilvl w:val="0"/>
          <w:numId w:val="46"/>
        </w:numPr>
      </w:pPr>
      <w:r>
        <w:rPr>
          <w:b w:val="0"/>
        </w:rPr>
        <w:t>The existing Testing VM (UAT) and DB VM are assumed to be shared with this project rather than duplicated. Database sizing for SmartMES is to be reassessed against the existing DB VM after Functional Design sign off.</w:t>
      </w:r>
    </w:p>
    <w:p>
      <w:pPr>
        <w:pStyle w:val="ListParagraph"/>
        <w:numPr>
          <w:ilvl w:val="0"/>
          <w:numId w:val="46"/>
        </w:numPr>
      </w:pPr>
      <w:r>
        <w:rPr>
          <w:b w:val="0"/>
        </w:rPr>
        <w:t>Server sizing shall be reviewed once the machine count, tag count and data retention period are frozen during the Requirement Freeze and Functional Design phases.</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pPr/>
      <w:r>
        <w:rPr>
          <w:b w:val="0"/>
        </w:rPr>
        <w:t>The interfacing hardware quantities below follow from the machine lists and the recommended interfacing hardware of the Machine Details section, with industrial NAT devices provided one per machine. Quantities are to be confirmed against a site survey of the installed hardware configuration before order placement.</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2600"/>
        <w:gridCol w:w="2400"/>
        <w:gridCol w:w="800"/>
        <w:gridCol w:w="800"/>
        <w:gridCol w:w="800"/>
        <w:gridCol w:w="2448"/>
      </w:tblGrid>
      <w:tr>
        <w:trPr>
          <w:tblHeader/>
        </w:trPr>
        <w:tc>
          <w:tcPr>
            <w:tcW w:type="dxa" w:w="500"/>
          </w:tcPr>
          <w:p>
            <w:pPr>
              <w:spacing w:before="0" w:after="0" w:line="240" w:lineRule="auto"/>
            </w:pPr>
            <w:r>
              <w:rPr>
                <w:sz w:val="16"/>
              </w:rPr>
              <w:t>S.No</w:t>
            </w:r>
          </w:p>
        </w:tc>
        <w:tc>
          <w:tcPr>
            <w:tcW w:type="dxa" w:w="2600"/>
          </w:tcPr>
          <w:p>
            <w:pPr>
              <w:spacing w:before="0" w:after="0" w:line="240" w:lineRule="auto"/>
            </w:pPr>
            <w:r>
              <w:rPr>
                <w:sz w:val="16"/>
              </w:rPr>
              <w:t>Item</w:t>
            </w:r>
          </w:p>
        </w:tc>
        <w:tc>
          <w:tcPr>
            <w:tcW w:type="dxa" w:w="2400"/>
          </w:tcPr>
          <w:p>
            <w:pPr>
              <w:spacing w:before="0" w:after="0" w:line="240" w:lineRule="auto"/>
            </w:pPr>
            <w:r>
              <w:rPr>
                <w:sz w:val="16"/>
              </w:rPr>
              <w:t>Manufacturer Part No.</w:t>
            </w:r>
          </w:p>
        </w:tc>
        <w:tc>
          <w:tcPr>
            <w:tcW w:type="dxa" w:w="800"/>
          </w:tcPr>
          <w:p>
            <w:pPr>
              <w:spacing w:before="0" w:after="0" w:line="240" w:lineRule="auto"/>
            </w:pPr>
            <w:r>
              <w:rPr>
                <w:sz w:val="16"/>
              </w:rPr>
              <w:t>Unit‑2</w:t>
            </w:r>
          </w:p>
        </w:tc>
        <w:tc>
          <w:tcPr>
            <w:tcW w:type="dxa" w:w="800"/>
          </w:tcPr>
          <w:p>
            <w:pPr>
              <w:spacing w:before="0" w:after="0" w:line="240" w:lineRule="auto"/>
            </w:pPr>
            <w:r>
              <w:rPr>
                <w:sz w:val="16"/>
              </w:rPr>
              <w:t>Unit‑4</w:t>
            </w:r>
          </w:p>
        </w:tc>
        <w:tc>
          <w:tcPr>
            <w:tcW w:type="dxa" w:w="800"/>
          </w:tcPr>
          <w:p>
            <w:pPr>
              <w:spacing w:before="0" w:after="0" w:line="240" w:lineRule="auto"/>
            </w:pPr>
            <w:r>
              <w:rPr>
                <w:sz w:val="16"/>
              </w:rPr>
              <w:t>Total</w:t>
            </w:r>
          </w:p>
        </w:tc>
        <w:tc>
          <w:tcPr>
            <w:tcW w:type="dxa" w:w="2448"/>
          </w:tcPr>
          <w:p>
            <w:pPr>
              <w:spacing w:before="0" w:after="0" w:line="240" w:lineRule="auto"/>
            </w:pPr>
            <w:r>
              <w:rPr>
                <w:sz w:val="16"/>
              </w:rPr>
              <w:t>Remarks</w:t>
            </w:r>
          </w:p>
        </w:tc>
      </w:tr>
      <w:tr>
        <w:tc>
          <w:tcPr>
            <w:tcW w:type="dxa" w:w="500"/>
          </w:tcPr>
          <w:p>
            <w:pPr>
              <w:spacing w:before="0" w:after="0" w:line="240" w:lineRule="auto"/>
            </w:pPr>
            <w:r>
              <w:rPr>
                <w:sz w:val="16"/>
              </w:rPr>
              <w:t>1</w:t>
            </w:r>
          </w:p>
        </w:tc>
        <w:tc>
          <w:tcPr>
            <w:tcW w:type="dxa" w:w="2600"/>
          </w:tcPr>
          <w:p>
            <w:pPr>
              <w:spacing w:before="0" w:after="0" w:line="240" w:lineRule="auto"/>
            </w:pPr>
            <w:r>
              <w:rPr>
                <w:sz w:val="16"/>
              </w:rPr>
              <w:t>Ethernet communication adapter – Mitsubishi FX2N</w:t>
            </w:r>
          </w:p>
        </w:tc>
        <w:tc>
          <w:tcPr>
            <w:tcW w:type="dxa" w:w="2400"/>
          </w:tcPr>
          <w:p>
            <w:pPr>
              <w:spacing w:before="0" w:after="0" w:line="240" w:lineRule="auto"/>
            </w:pPr>
            <w:r>
              <w:rPr>
                <w:sz w:val="16"/>
              </w:rPr>
              <w:t>FX2NC‑ENET‑ADP (or Mitsubishi‑supported equivalent)</w:t>
            </w:r>
          </w:p>
        </w:tc>
        <w:tc>
          <w:tcPr>
            <w:tcW w:type="dxa" w:w="800"/>
          </w:tcPr>
          <w:p>
            <w:pPr>
              <w:spacing w:before="0" w:after="0" w:line="240" w:lineRule="auto"/>
            </w:pPr>
            <w:r>
              <w:rPr>
                <w:sz w:val="16"/>
              </w:rPr>
              <w:t>39</w:t>
            </w:r>
          </w:p>
        </w:tc>
        <w:tc>
          <w:tcPr>
            <w:tcW w:type="dxa" w:w="800"/>
          </w:tcPr>
          <w:p>
            <w:pPr>
              <w:spacing w:before="0" w:after="0" w:line="240" w:lineRule="auto"/>
            </w:pPr>
            <w:r>
              <w:rPr>
                <w:sz w:val="16"/>
              </w:rPr>
              <w:t>31</w:t>
            </w:r>
          </w:p>
        </w:tc>
        <w:tc>
          <w:tcPr>
            <w:tcW w:type="dxa" w:w="800"/>
          </w:tcPr>
          <w:p>
            <w:pPr>
              <w:spacing w:before="0" w:after="0" w:line="240" w:lineRule="auto"/>
            </w:pPr>
            <w:r>
              <w:rPr>
                <w:sz w:val="16"/>
              </w:rPr>
              <w:t>70</w:t>
            </w:r>
          </w:p>
        </w:tc>
        <w:tc>
          <w:tcPr>
            <w:tcW w:type="dxa" w:w="2448"/>
          </w:tcPr>
          <w:p>
            <w:pPr>
              <w:spacing w:before="0" w:after="0" w:line="240" w:lineRule="auto"/>
            </w:pPr>
            <w:r>
              <w:rPr>
                <w:sz w:val="16"/>
              </w:rPr>
              <w:t>Compatibility with the installed FX2N configuration to be verified per machine.</w:t>
            </w:r>
          </w:p>
        </w:tc>
      </w:tr>
      <w:tr>
        <w:tc>
          <w:tcPr>
            <w:tcW w:type="dxa" w:w="500"/>
          </w:tcPr>
          <w:p>
            <w:pPr>
              <w:spacing w:before="0" w:after="0" w:line="240" w:lineRule="auto"/>
            </w:pPr>
            <w:r>
              <w:rPr>
                <w:sz w:val="16"/>
              </w:rPr>
              <w:t>2</w:t>
            </w:r>
          </w:p>
        </w:tc>
        <w:tc>
          <w:tcPr>
            <w:tcW w:type="dxa" w:w="2600"/>
          </w:tcPr>
          <w:p>
            <w:pPr>
              <w:spacing w:before="0" w:after="0" w:line="240" w:lineRule="auto"/>
            </w:pPr>
            <w:r>
              <w:rPr>
                <w:sz w:val="16"/>
              </w:rPr>
              <w:t>Ethernet adapter – Mitsubishi FX3U and FX3G</w:t>
            </w:r>
          </w:p>
        </w:tc>
        <w:tc>
          <w:tcPr>
            <w:tcW w:type="dxa" w:w="2400"/>
          </w:tcPr>
          <w:p>
            <w:pPr>
              <w:spacing w:before="0" w:after="0" w:line="240" w:lineRule="auto"/>
            </w:pPr>
            <w:r>
              <w:rPr>
                <w:sz w:val="16"/>
              </w:rPr>
              <w:t>FX3U‑ENET‑ADP</w:t>
            </w:r>
          </w:p>
        </w:tc>
        <w:tc>
          <w:tcPr>
            <w:tcW w:type="dxa" w:w="800"/>
          </w:tcPr>
          <w:p>
            <w:pPr>
              <w:spacing w:before="0" w:after="0" w:line="240" w:lineRule="auto"/>
            </w:pPr>
            <w:r>
              <w:rPr>
                <w:sz w:val="16"/>
              </w:rPr>
              <w:t>–</w:t>
            </w:r>
          </w:p>
        </w:tc>
        <w:tc>
          <w:tcPr>
            <w:tcW w:type="dxa" w:w="800"/>
          </w:tcPr>
          <w:p>
            <w:pPr>
              <w:spacing w:before="0" w:after="0" w:line="240" w:lineRule="auto"/>
            </w:pPr>
            <w:r>
              <w:rPr>
                <w:sz w:val="16"/>
              </w:rPr>
              <w:t>5</w:t>
            </w:r>
          </w:p>
        </w:tc>
        <w:tc>
          <w:tcPr>
            <w:tcW w:type="dxa" w:w="800"/>
          </w:tcPr>
          <w:p>
            <w:pPr>
              <w:spacing w:before="0" w:after="0" w:line="240" w:lineRule="auto"/>
            </w:pPr>
            <w:r>
              <w:rPr>
                <w:sz w:val="16"/>
              </w:rPr>
              <w:t>5</w:t>
            </w:r>
          </w:p>
        </w:tc>
        <w:tc>
          <w:tcPr>
            <w:tcW w:type="dxa" w:w="2448"/>
          </w:tcPr>
          <w:p>
            <w:pPr>
              <w:spacing w:before="0" w:after="0" w:line="240" w:lineRule="auto"/>
            </w:pPr>
            <w:r>
              <w:rPr>
                <w:sz w:val="16"/>
              </w:rPr>
              <w:t>FX3G applicability subject to the installed configuration.</w:t>
            </w:r>
          </w:p>
        </w:tc>
      </w:tr>
      <w:tr>
        <w:tc>
          <w:tcPr>
            <w:tcW w:type="dxa" w:w="500"/>
          </w:tcPr>
          <w:p>
            <w:pPr>
              <w:spacing w:before="0" w:after="0" w:line="240" w:lineRule="auto"/>
            </w:pPr>
            <w:r>
              <w:rPr>
                <w:sz w:val="16"/>
              </w:rPr>
              <w:t>3</w:t>
            </w:r>
          </w:p>
        </w:tc>
        <w:tc>
          <w:tcPr>
            <w:tcW w:type="dxa" w:w="2600"/>
          </w:tcPr>
          <w:p>
            <w:pPr>
              <w:spacing w:before="0" w:after="0" w:line="240" w:lineRule="auto"/>
            </w:pPr>
            <w:r>
              <w:rPr>
                <w:sz w:val="16"/>
              </w:rPr>
              <w:t>Ethernet communication processor – Siemens S7‑300</w:t>
            </w:r>
          </w:p>
        </w:tc>
        <w:tc>
          <w:tcPr>
            <w:tcW w:type="dxa" w:w="2400"/>
          </w:tcPr>
          <w:p>
            <w:pPr>
              <w:spacing w:before="0" w:after="0" w:line="240" w:lineRule="auto"/>
            </w:pPr>
            <w:r>
              <w:rPr>
                <w:sz w:val="16"/>
              </w:rPr>
              <w:t>CP 343‑1 Lean (6GK7343‑1CX10‑0XE0)</w:t>
            </w:r>
          </w:p>
        </w:tc>
        <w:tc>
          <w:tcPr>
            <w:tcW w:type="dxa" w:w="800"/>
          </w:tcPr>
          <w:p>
            <w:pPr>
              <w:spacing w:before="0" w:after="0" w:line="240" w:lineRule="auto"/>
            </w:pPr>
            <w:r>
              <w:rPr>
                <w:sz w:val="16"/>
              </w:rPr>
              <w:t>–</w:t>
            </w:r>
          </w:p>
        </w:tc>
        <w:tc>
          <w:tcPr>
            <w:tcW w:type="dxa" w:w="800"/>
          </w:tcPr>
          <w:p>
            <w:pPr>
              <w:spacing w:before="0" w:after="0" w:line="240" w:lineRule="auto"/>
            </w:pPr>
            <w:r>
              <w:rPr>
                <w:sz w:val="16"/>
              </w:rPr>
              <w:t>12</w:t>
            </w:r>
          </w:p>
        </w:tc>
        <w:tc>
          <w:tcPr>
            <w:tcW w:type="dxa" w:w="800"/>
          </w:tcPr>
          <w:p>
            <w:pPr>
              <w:spacing w:before="0" w:after="0" w:line="240" w:lineRule="auto"/>
            </w:pPr>
            <w:r>
              <w:rPr>
                <w:sz w:val="16"/>
              </w:rPr>
              <w:t>12</w:t>
            </w:r>
          </w:p>
        </w:tc>
        <w:tc>
          <w:tcPr>
            <w:tcW w:type="dxa" w:w="2448"/>
          </w:tcPr>
          <w:p>
            <w:pPr>
              <w:spacing w:before="0" w:after="0" w:line="240" w:lineRule="auto"/>
            </w:pPr>
            <w:r>
              <w:rPr>
                <w:sz w:val="16"/>
              </w:rPr>
              <w:t>Subject to the S7‑300 reconciliation; the equipment list shows 13 machines.</w:t>
            </w:r>
          </w:p>
        </w:tc>
      </w:tr>
      <w:tr>
        <w:tc>
          <w:tcPr>
            <w:tcW w:type="dxa" w:w="500"/>
          </w:tcPr>
          <w:p>
            <w:pPr>
              <w:spacing w:before="0" w:after="0" w:line="240" w:lineRule="auto"/>
            </w:pPr>
            <w:r>
              <w:rPr>
                <w:sz w:val="16"/>
              </w:rPr>
              <w:t>4</w:t>
            </w:r>
          </w:p>
        </w:tc>
        <w:tc>
          <w:tcPr>
            <w:tcW w:type="dxa" w:w="2600"/>
          </w:tcPr>
          <w:p>
            <w:pPr>
              <w:spacing w:before="0" w:after="0" w:line="240" w:lineRule="auto"/>
            </w:pPr>
            <w:r>
              <w:rPr>
                <w:sz w:val="16"/>
              </w:rPr>
              <w:t>Ethernet module – Siemens S7‑200</w:t>
            </w:r>
          </w:p>
        </w:tc>
        <w:tc>
          <w:tcPr>
            <w:tcW w:type="dxa" w:w="2400"/>
          </w:tcPr>
          <w:p>
            <w:pPr>
              <w:spacing w:before="0" w:after="0" w:line="240" w:lineRule="auto"/>
            </w:pPr>
            <w:r>
              <w:rPr>
                <w:sz w:val="16"/>
              </w:rPr>
              <w:t>CP243‑1 (6GK7243‑1EX01‑0XE0)</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5</w:t>
            </w:r>
          </w:p>
        </w:tc>
        <w:tc>
          <w:tcPr>
            <w:tcW w:type="dxa" w:w="2600"/>
          </w:tcPr>
          <w:p>
            <w:pPr>
              <w:spacing w:before="0" w:after="0" w:line="240" w:lineRule="auto"/>
            </w:pPr>
            <w:r>
              <w:rPr>
                <w:sz w:val="16"/>
              </w:rPr>
              <w:t>EtherNet/IP adapter – Allen‑Bradley SLC500</w:t>
            </w:r>
          </w:p>
        </w:tc>
        <w:tc>
          <w:tcPr>
            <w:tcW w:type="dxa" w:w="2400"/>
          </w:tcPr>
          <w:p>
            <w:pPr>
              <w:spacing w:before="0" w:after="0" w:line="240" w:lineRule="auto"/>
            </w:pPr>
            <w:r>
              <w:rPr>
                <w:sz w:val="16"/>
              </w:rPr>
              <w:t>1747‑AENTR</w:t>
            </w:r>
          </w:p>
        </w:tc>
        <w:tc>
          <w:tcPr>
            <w:tcW w:type="dxa" w:w="800"/>
          </w:tcPr>
          <w:p>
            <w:pPr>
              <w:spacing w:before="0" w:after="0" w:line="240" w:lineRule="auto"/>
            </w:pPr>
            <w:r>
              <w:rPr>
                <w:sz w:val="16"/>
              </w:rPr>
              <w:t>1</w:t>
            </w:r>
          </w:p>
        </w:tc>
        <w:tc>
          <w:tcPr>
            <w:tcW w:type="dxa" w:w="800"/>
          </w:tcPr>
          <w:p>
            <w:pPr>
              <w:spacing w:before="0" w:after="0" w:line="240" w:lineRule="auto"/>
            </w:pPr>
            <w:r>
              <w:rPr>
                <w:sz w:val="16"/>
              </w:rPr>
              <w:t>–</w:t>
            </w:r>
          </w:p>
        </w:tc>
        <w:tc>
          <w:tcPr>
            <w:tcW w:type="dxa" w:w="800"/>
          </w:tcPr>
          <w:p>
            <w:pPr>
              <w:spacing w:before="0" w:after="0" w:line="240" w:lineRule="auto"/>
            </w:pPr>
            <w:r>
              <w:rPr>
                <w:sz w:val="16"/>
              </w:rPr>
              <w:t>1</w:t>
            </w:r>
          </w:p>
        </w:tc>
        <w:tc>
          <w:tcPr>
            <w:tcW w:type="dxa" w:w="2448"/>
          </w:tcPr>
          <w:p>
            <w:pPr>
              <w:spacing w:before="0" w:after="0" w:line="240" w:lineRule="auto"/>
            </w:pPr>
            <w:r>
              <w:rPr>
                <w:sz w:val="16"/>
              </w:rPr>
            </w:r>
          </w:p>
        </w:tc>
      </w:tr>
      <w:tr>
        <w:tc>
          <w:tcPr>
            <w:tcW w:type="dxa" w:w="500"/>
          </w:tcPr>
          <w:p>
            <w:pPr>
              <w:spacing w:before="0" w:after="0" w:line="240" w:lineRule="auto"/>
            </w:pPr>
            <w:r>
              <w:rPr>
                <w:sz w:val="16"/>
              </w:rPr>
              <w:t>6</w:t>
            </w:r>
          </w:p>
        </w:tc>
        <w:tc>
          <w:tcPr>
            <w:tcW w:type="dxa" w:w="2600"/>
          </w:tcPr>
          <w:p>
            <w:pPr>
              <w:spacing w:before="0" w:after="0" w:line="240" w:lineRule="auto"/>
            </w:pPr>
            <w:r>
              <w:rPr>
                <w:sz w:val="16"/>
              </w:rPr>
              <w:t>Industrial NAT device</w:t>
            </w:r>
          </w:p>
        </w:tc>
        <w:tc>
          <w:tcPr>
            <w:tcW w:type="dxa" w:w="2400"/>
          </w:tcPr>
          <w:p>
            <w:pPr>
              <w:spacing w:before="0" w:after="0" w:line="240" w:lineRule="auto"/>
            </w:pPr>
            <w:r>
              <w:rPr>
                <w:sz w:val="16"/>
              </w:rPr>
              <w:t>Moxa NAT‑102 or Hirschmann EAGLE One</w:t>
            </w:r>
          </w:p>
        </w:tc>
        <w:tc>
          <w:tcPr>
            <w:tcW w:type="dxa" w:w="800"/>
          </w:tcPr>
          <w:p>
            <w:pPr>
              <w:spacing w:before="0" w:after="0" w:line="240" w:lineRule="auto"/>
            </w:pPr>
            <w:r>
              <w:rPr>
                <w:sz w:val="16"/>
              </w:rPr>
              <w:t>2</w:t>
            </w:r>
          </w:p>
        </w:tc>
        <w:tc>
          <w:tcPr>
            <w:tcW w:type="dxa" w:w="800"/>
          </w:tcPr>
          <w:p>
            <w:pPr>
              <w:spacing w:before="0" w:after="0" w:line="240" w:lineRule="auto"/>
            </w:pPr>
            <w:r>
              <w:rPr>
                <w:sz w:val="16"/>
              </w:rPr>
              <w:t>23</w:t>
            </w:r>
          </w:p>
        </w:tc>
        <w:tc>
          <w:tcPr>
            <w:tcW w:type="dxa" w:w="800"/>
          </w:tcPr>
          <w:p>
            <w:pPr>
              <w:spacing w:before="0" w:after="0" w:line="240" w:lineRule="auto"/>
            </w:pPr>
            <w:r>
              <w:rPr>
                <w:sz w:val="16"/>
              </w:rPr>
              <w:t>25</w:t>
            </w:r>
          </w:p>
        </w:tc>
        <w:tc>
          <w:tcPr>
            <w:tcW w:type="dxa" w:w="2448"/>
          </w:tcPr>
          <w:p>
            <w:pPr>
              <w:spacing w:before="0" w:after="0" w:line="240" w:lineRule="auto"/>
            </w:pPr>
            <w:r>
              <w:rPr>
                <w:sz w:val="16"/>
              </w:rPr>
              <w:t>One per machine using its built‑in Ethernet port. A further unit is required if the S7‑1500 on 2 Roll Calender ‑2 is confirmed.</w:t>
            </w:r>
          </w:p>
        </w:tc>
      </w:tr>
      <w:tr>
        <w:tc>
          <w:tcPr>
            <w:tcW w:type="dxa" w:w="500"/>
          </w:tcPr>
          <w:p>
            <w:pPr>
              <w:spacing w:before="0" w:after="0" w:line="240" w:lineRule="auto"/>
            </w:pPr>
            <w:r>
              <w:rPr>
                <w:sz w:val="16"/>
              </w:rPr>
              <w:t>7</w:t>
            </w:r>
          </w:p>
        </w:tc>
        <w:tc>
          <w:tcPr>
            <w:tcW w:type="dxa" w:w="2600"/>
          </w:tcPr>
          <w:p>
            <w:pPr>
              <w:spacing w:before="0" w:after="0" w:line="240" w:lineRule="auto"/>
            </w:pPr>
            <w:r>
              <w:rPr>
                <w:sz w:val="16"/>
              </w:rPr>
              <w:t>Kepware OPC Server licence</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Drivers required: Mitsubishi Ethernet, Allen‑Bradley Ethernet and ControlLogix/CompactLogix, Siemens TCP/IP Ethernet, Siemens S7‑200, Omron NJ.</w:t>
            </w:r>
          </w:p>
        </w:tc>
      </w:tr>
      <w:tr>
        <w:tc>
          <w:tcPr>
            <w:tcW w:type="dxa" w:w="500"/>
          </w:tcPr>
          <w:p>
            <w:pPr>
              <w:spacing w:before="0" w:after="0" w:line="240" w:lineRule="auto"/>
            </w:pPr>
            <w:r>
              <w:rPr>
                <w:sz w:val="16"/>
              </w:rPr>
              <w:t>8</w:t>
            </w:r>
          </w:p>
        </w:tc>
        <w:tc>
          <w:tcPr>
            <w:tcW w:type="dxa" w:w="2600"/>
          </w:tcPr>
          <w:p>
            <w:pPr>
              <w:spacing w:before="0" w:after="0" w:line="240" w:lineRule="auto"/>
            </w:pPr>
            <w:r>
              <w:rPr>
                <w:sz w:val="16"/>
              </w:rPr>
              <w:t>Industrial OT network switches</w:t>
            </w:r>
          </w:p>
        </w:tc>
        <w:tc>
          <w:tcPr>
            <w:tcW w:type="dxa" w:w="2400"/>
          </w:tcPr>
          <w:p>
            <w:pPr>
              <w:spacing w:before="0" w:after="0" w:line="240" w:lineRule="auto"/>
            </w:pPr>
            <w:r>
              <w:rPr>
                <w:sz w:val="16"/>
              </w:rPr>
              <w:t>To be confirmed</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800"/>
          </w:tcPr>
          <w:p>
            <w:pPr>
              <w:spacing w:before="0" w:after="0" w:line="240" w:lineRule="auto"/>
            </w:pPr>
            <w:r>
              <w:rPr>
                <w:sz w:val="16"/>
              </w:rPr>
              <w:t>TBC</w:t>
            </w:r>
          </w:p>
        </w:tc>
        <w:tc>
          <w:tcPr>
            <w:tcW w:type="dxa" w:w="2448"/>
          </w:tcPr>
          <w:p>
            <w:pPr>
              <w:spacing w:before="0" w:after="0" w:line="240" w:lineRule="auto"/>
            </w:pPr>
            <w:r>
              <w:rPr>
                <w:sz w:val="16"/>
              </w:rPr>
              <w:t>Quantity subject to the OT network design and panel locations.</w:t>
            </w:r>
          </w:p>
        </w:tc>
      </w:tr>
    </w:tbl>
    <w:p>
      <w:pPr>
        <w:pStyle w:val="Caption"/>
      </w:pPr>
      <w:r>
        <w:rPr>
          <w:b w:val="0"/>
        </w:rPr>
        <w:t>Table: Interfacing hardware bill of material</w:t>
      </w:r>
    </w:p>
    <w:p>
      <w:pPr/>
      <w:r>
        <w:rPr>
          <w:b/>
        </w:rPr>
        <w:t>Basis and exclusions:</w:t>
      </w:r>
    </w:p>
    <w:p>
      <w:pPr>
        <w:pStyle w:val="ListParagraph"/>
        <w:numPr>
          <w:ilvl w:val="0"/>
          <w:numId w:val="45"/>
        </w:numPr>
      </w:pPr>
      <w:r>
        <w:rPr>
          <w:b w:val="0"/>
        </w:rPr>
        <w:t>The quantities cover the 114 machines that carry an existing controller – 42 in Unit‑2 and 72 in Unit‑4 – of which 89 take a communication module or adapter and 25 use their built‑in Ethernet port behind a NAT device.</w:t>
      </w:r>
    </w:p>
    <w:p>
      <w:pPr>
        <w:pStyle w:val="ListParagraph"/>
        <w:numPr>
          <w:ilvl w:val="0"/>
          <w:numId w:val="45"/>
        </w:numPr>
      </w:pPr>
      <w:r>
        <w:rPr>
          <w:b w:val="0"/>
        </w:rPr>
        <w:t>The 14 new machines in Unit‑4 are excluded, as their controllers are not yet known. Interfacing hardware for these machines is to be included in the respective OEM purchase specification, or added by change request once the details are available.</w:t>
      </w:r>
    </w:p>
    <w:p>
      <w:pPr>
        <w:pStyle w:val="ListParagraph"/>
        <w:numPr>
          <w:ilvl w:val="0"/>
          <w:numId w:val="45"/>
        </w:numPr>
      </w:pPr>
      <w:r>
        <w:rPr>
          <w:b w:val="0"/>
        </w:rPr>
        <w:t>RB1‑1 to RB1‑6 in Unit‑4 have no PLC and are excluded. The data capture method for these machines is to be agreed.</w:t>
      </w:r>
    </w:p>
    <w:p>
      <w:pPr>
        <w:pStyle w:val="ListParagraph"/>
        <w:numPr>
          <w:ilvl w:val="0"/>
          <w:numId w:val="45"/>
        </w:numPr>
      </w:pPr>
      <w:r>
        <w:rPr>
          <w:b w:val="0"/>
        </w:rPr>
        <w:t>The 9 2nd Line Inspection machines held under future planning are excluded.</w:t>
      </w:r>
    </w:p>
    <w:p>
      <w:pPr>
        <w:pStyle w:val="ListParagraph"/>
        <w:numPr>
          <w:ilvl w:val="0"/>
          <w:numId w:val="45"/>
        </w:numPr>
      </w:pPr>
      <w:r>
        <w:rPr>
          <w:b w:val="0"/>
        </w:rPr>
        <w:t>Installation of this hardware on existing machines, and any consequent PLC programme change, is presently listed under Exclusions in this document and is to be agreed before the offer is finalised.</w:t>
      </w:r>
    </w:p>
    <w:p>
      <w:pPr>
        <w:pStyle w:val="ListParagraph"/>
        <w:numPr>
          <w:ilvl w:val="0"/>
          <w:numId w:val="45"/>
        </w:numPr>
      </w:pPr>
      <w:r>
        <w:rPr>
          <w:b w:val="0"/>
        </w:rPr>
        <w:t>Server, storage, operating system, database and other infrastructure items are listed against the customer in the Roles and Responsibilities section and are not part of this bill of material.</w:t>
      </w:r>
    </w:p>
    <w:p>
      <w:pPr/>
      <w:r>
        <w:rPr>
          <w:b w:val="0"/>
        </w:rPr>
        <w:t>In addition to the interfacing hardware above, shopfloor data capture devices are required at the machines where operators book material and production against the MES. Tyre building machines take one MES HMI and one Bluetooth scanner each; curing machines take a Bluetooth scanner. The quantities are set out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900"/>
        <w:gridCol w:w="2400"/>
        <w:gridCol w:w="1100"/>
        <w:gridCol w:w="1000"/>
        <w:gridCol w:w="1400"/>
        <w:gridCol w:w="2998"/>
      </w:tblGrid>
      <w:tr>
        <w:trPr>
          <w:tblHeader/>
        </w:trPr>
        <w:tc>
          <w:tcPr>
            <w:tcW w:type="dxa" w:w="550"/>
          </w:tcPr>
          <w:p>
            <w:pPr>
              <w:spacing w:before="0" w:after="0" w:line="240" w:lineRule="auto"/>
            </w:pPr>
            <w:r>
              <w:rPr>
                <w:b w:val="0"/>
                <w:sz w:val="16"/>
              </w:rPr>
              <w:t>S.No</w:t>
            </w:r>
          </w:p>
        </w:tc>
        <w:tc>
          <w:tcPr>
            <w:tcW w:type="dxa" w:w="900"/>
          </w:tcPr>
          <w:p>
            <w:pPr>
              <w:spacing w:before="0" w:after="0" w:line="240" w:lineRule="auto"/>
            </w:pPr>
            <w:r>
              <w:rPr>
                <w:b w:val="0"/>
                <w:sz w:val="16"/>
              </w:rPr>
              <w:t>Unit</w:t>
            </w:r>
          </w:p>
        </w:tc>
        <w:tc>
          <w:tcPr>
            <w:tcW w:type="dxa" w:w="2400"/>
          </w:tcPr>
          <w:p>
            <w:pPr>
              <w:spacing w:before="0" w:after="0" w:line="240" w:lineRule="auto"/>
            </w:pPr>
            <w:r>
              <w:rPr>
                <w:b w:val="0"/>
                <w:sz w:val="16"/>
              </w:rPr>
              <w:t>Process Area</w:t>
            </w:r>
          </w:p>
        </w:tc>
        <w:tc>
          <w:tcPr>
            <w:tcW w:type="dxa" w:w="1100"/>
          </w:tcPr>
          <w:p>
            <w:pPr>
              <w:spacing w:before="0" w:after="0" w:line="240" w:lineRule="auto"/>
            </w:pPr>
            <w:r>
              <w:rPr>
                <w:b w:val="0"/>
                <w:sz w:val="16"/>
              </w:rPr>
              <w:t>Machines</w:t>
            </w:r>
          </w:p>
        </w:tc>
        <w:tc>
          <w:tcPr>
            <w:tcW w:type="dxa" w:w="1000"/>
          </w:tcPr>
          <w:p>
            <w:pPr>
              <w:spacing w:before="0" w:after="0" w:line="240" w:lineRule="auto"/>
            </w:pPr>
            <w:r>
              <w:rPr>
                <w:b w:val="0"/>
                <w:sz w:val="16"/>
              </w:rPr>
              <w:t>MES HMI</w:t>
            </w:r>
          </w:p>
        </w:tc>
        <w:tc>
          <w:tcPr>
            <w:tcW w:type="dxa" w:w="1400"/>
          </w:tcPr>
          <w:p>
            <w:pPr>
              <w:spacing w:before="0" w:after="0" w:line="240" w:lineRule="auto"/>
            </w:pPr>
            <w:r>
              <w:rPr>
                <w:b w:val="0"/>
                <w:sz w:val="16"/>
              </w:rPr>
              <w:t>Bluetooth Scanner</w:t>
            </w:r>
          </w:p>
        </w:tc>
        <w:tc>
          <w:tcPr>
            <w:tcW w:type="dxa" w:w="2998"/>
          </w:tcPr>
          <w:p>
            <w:pPr>
              <w:spacing w:before="0" w:after="0" w:line="240" w:lineRule="auto"/>
            </w:pPr>
            <w:r>
              <w:rPr>
                <w:b w:val="0"/>
                <w:sz w:val="16"/>
              </w:rPr>
              <w:t>Remarks</w:t>
            </w:r>
          </w:p>
        </w:tc>
      </w:tr>
      <w:tr>
        <w:tc>
          <w:tcPr>
            <w:tcW w:type="dxa" w:w="550"/>
          </w:tcPr>
          <w:p>
            <w:pPr>
              <w:spacing w:before="0" w:after="0" w:line="240" w:lineRule="auto"/>
            </w:pPr>
            <w:r>
              <w:rPr>
                <w:b w:val="0"/>
                <w:sz w:val="16"/>
              </w:rPr>
              <w:t>1</w:t>
            </w:r>
          </w:p>
        </w:tc>
        <w:tc>
          <w:tcPr>
            <w:tcW w:type="dxa" w:w="900"/>
          </w:tcPr>
          <w:p>
            <w:pPr>
              <w:spacing w:before="0" w:after="0" w:line="240" w:lineRule="auto"/>
            </w:pPr>
            <w:r>
              <w:rPr>
                <w:b w:val="0"/>
                <w:sz w:val="16"/>
              </w:rPr>
              <w:t>Unit‑2</w:t>
            </w:r>
          </w:p>
        </w:tc>
        <w:tc>
          <w:tcPr>
            <w:tcW w:type="dxa" w:w="2400"/>
          </w:tcPr>
          <w:p>
            <w:pPr>
              <w:spacing w:before="0" w:after="0" w:line="240" w:lineRule="auto"/>
            </w:pPr>
            <w:r>
              <w:rPr>
                <w:b w:val="0"/>
                <w:sz w:val="16"/>
              </w:rPr>
              <w:t>TBB Tyre Building</w:t>
            </w:r>
          </w:p>
        </w:tc>
        <w:tc>
          <w:tcPr>
            <w:tcW w:type="dxa" w:w="1100"/>
          </w:tcPr>
          <w:p>
            <w:pPr>
              <w:spacing w:before="0" w:after="0" w:line="240" w:lineRule="auto"/>
            </w:pPr>
            <w:r>
              <w:rPr>
                <w:b w:val="0"/>
                <w:sz w:val="16"/>
              </w:rPr>
              <w:t>29</w:t>
            </w:r>
          </w:p>
        </w:tc>
        <w:tc>
          <w:tcPr>
            <w:tcW w:type="dxa" w:w="1000"/>
          </w:tcPr>
          <w:p>
            <w:pPr>
              <w:spacing w:before="0" w:after="0" w:line="240" w:lineRule="auto"/>
            </w:pPr>
            <w:r>
              <w:rPr>
                <w:b w:val="0"/>
                <w:sz w:val="16"/>
              </w:rPr>
              <w:t>29</w:t>
            </w:r>
          </w:p>
        </w:tc>
        <w:tc>
          <w:tcPr>
            <w:tcW w:type="dxa" w:w="1400"/>
          </w:tcPr>
          <w:p>
            <w:pPr>
              <w:spacing w:before="0" w:after="0" w:line="240" w:lineRule="auto"/>
            </w:pPr>
            <w:r>
              <w:rPr>
                <w:b w:val="0"/>
                <w:sz w:val="16"/>
              </w:rPr>
              <w:t>29</w:t>
            </w:r>
          </w:p>
        </w:tc>
        <w:tc>
          <w:tcPr>
            <w:tcW w:type="dxa" w:w="2998"/>
          </w:tcPr>
          <w:p>
            <w:pPr>
              <w:spacing w:before="0" w:after="0" w:line="240" w:lineRule="auto"/>
            </w:pPr>
            <w:r>
              <w:rPr>
                <w:b w:val="0"/>
                <w:sz w:val="16"/>
              </w:rPr>
              <w:t>One MES HMI and one Bluetooth scanner per tyre building machine.</w:t>
            </w:r>
          </w:p>
        </w:tc>
      </w:tr>
      <w:tr>
        <w:tc>
          <w:tcPr>
            <w:tcW w:type="dxa" w:w="550"/>
          </w:tcPr>
          <w:p>
            <w:pPr>
              <w:spacing w:before="0" w:after="0" w:line="240" w:lineRule="auto"/>
            </w:pPr>
            <w:r>
              <w:rPr>
                <w:b w:val="0"/>
                <w:sz w:val="16"/>
              </w:rPr>
              <w:t>2</w:t>
            </w:r>
          </w:p>
        </w:tc>
        <w:tc>
          <w:tcPr>
            <w:tcW w:type="dxa" w:w="900"/>
          </w:tcPr>
          <w:p>
            <w:pPr>
              <w:spacing w:before="0" w:after="0" w:line="240" w:lineRule="auto"/>
            </w:pPr>
            <w:r>
              <w:rPr>
                <w:b w:val="0"/>
                <w:sz w:val="16"/>
              </w:rPr>
              <w:t>Unit‑2</w:t>
            </w:r>
          </w:p>
        </w:tc>
        <w:tc>
          <w:tcPr>
            <w:tcW w:type="dxa" w:w="2400"/>
          </w:tcPr>
          <w:p>
            <w:pPr>
              <w:spacing w:before="0" w:after="0" w:line="240" w:lineRule="auto"/>
            </w:pPr>
            <w:r>
              <w:rPr>
                <w:b w:val="0"/>
                <w:sz w:val="16"/>
              </w:rPr>
              <w:t>LCV Tyre Building</w:t>
            </w:r>
          </w:p>
        </w:tc>
        <w:tc>
          <w:tcPr>
            <w:tcW w:type="dxa" w:w="1100"/>
          </w:tcPr>
          <w:p>
            <w:pPr>
              <w:spacing w:before="0" w:after="0" w:line="240" w:lineRule="auto"/>
            </w:pPr>
            <w:r>
              <w:rPr>
                <w:b w:val="0"/>
                <w:sz w:val="16"/>
              </w:rPr>
              <w:t>13</w:t>
            </w:r>
          </w:p>
        </w:tc>
        <w:tc>
          <w:tcPr>
            <w:tcW w:type="dxa" w:w="1000"/>
          </w:tcPr>
          <w:p>
            <w:pPr>
              <w:spacing w:before="0" w:after="0" w:line="240" w:lineRule="auto"/>
            </w:pPr>
            <w:r>
              <w:rPr>
                <w:b w:val="0"/>
                <w:sz w:val="16"/>
              </w:rPr>
              <w:t>13</w:t>
            </w:r>
          </w:p>
        </w:tc>
        <w:tc>
          <w:tcPr>
            <w:tcW w:type="dxa" w:w="1400"/>
          </w:tcPr>
          <w:p>
            <w:pPr>
              <w:spacing w:before="0" w:after="0" w:line="240" w:lineRule="auto"/>
            </w:pPr>
            <w:r>
              <w:rPr>
                <w:b w:val="0"/>
                <w:sz w:val="16"/>
              </w:rPr>
              <w:t>13</w:t>
            </w:r>
          </w:p>
        </w:tc>
        <w:tc>
          <w:tcPr>
            <w:tcW w:type="dxa" w:w="2998"/>
          </w:tcPr>
          <w:p>
            <w:pPr>
              <w:spacing w:before="0" w:after="0" w:line="240" w:lineRule="auto"/>
            </w:pPr>
            <w:r>
              <w:rPr>
                <w:b w:val="0"/>
                <w:sz w:val="16"/>
              </w:rPr>
              <w:t>One MES HMI and one Bluetooth scanner per tyre building machine.</w:t>
            </w:r>
          </w:p>
        </w:tc>
      </w:tr>
      <w:tr>
        <w:tc>
          <w:tcPr>
            <w:tcW w:type="dxa" w:w="550"/>
          </w:tcPr>
          <w:p>
            <w:pPr>
              <w:spacing w:before="0" w:after="0" w:line="240" w:lineRule="auto"/>
            </w:pPr>
            <w:r>
              <w:rPr>
                <w:b w:val="0"/>
                <w:sz w:val="16"/>
              </w:rPr>
              <w:t>3</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Building (tyre building machines)</w:t>
            </w:r>
          </w:p>
        </w:tc>
        <w:tc>
          <w:tcPr>
            <w:tcW w:type="dxa" w:w="1100"/>
          </w:tcPr>
          <w:p>
            <w:pPr>
              <w:spacing w:before="0" w:after="0" w:line="240" w:lineRule="auto"/>
            </w:pPr>
            <w:r>
              <w:rPr>
                <w:b w:val="0"/>
                <w:sz w:val="16"/>
              </w:rPr>
              <w:t>45</w:t>
            </w:r>
          </w:p>
        </w:tc>
        <w:tc>
          <w:tcPr>
            <w:tcW w:type="dxa" w:w="1000"/>
          </w:tcPr>
          <w:p>
            <w:pPr>
              <w:spacing w:before="0" w:after="0" w:line="240" w:lineRule="auto"/>
            </w:pPr>
            <w:r>
              <w:rPr>
                <w:b w:val="0"/>
                <w:sz w:val="16"/>
              </w:rPr>
              <w:t>45</w:t>
            </w:r>
          </w:p>
        </w:tc>
        <w:tc>
          <w:tcPr>
            <w:tcW w:type="dxa" w:w="1400"/>
          </w:tcPr>
          <w:p>
            <w:pPr>
              <w:spacing w:before="0" w:after="0" w:line="240" w:lineRule="auto"/>
            </w:pPr>
            <w:r>
              <w:rPr>
                <w:b w:val="0"/>
                <w:sz w:val="16"/>
              </w:rPr>
              <w:t>45</w:t>
            </w:r>
          </w:p>
        </w:tc>
        <w:tc>
          <w:tcPr>
            <w:tcW w:type="dxa" w:w="2998"/>
          </w:tcPr>
          <w:p>
            <w:pPr>
              <w:spacing w:before="0" w:after="0" w:line="240" w:lineRule="auto"/>
            </w:pPr>
            <w:r>
              <w:rPr>
                <w:b w:val="0"/>
                <w:sz w:val="16"/>
              </w:rPr>
              <w:t>One MES HMI and one Bluetooth scanner per tyre building machine. Includes STU‑35, STU‑36 and RB1‑7 to RB1‑9.</w:t>
            </w:r>
          </w:p>
        </w:tc>
      </w:tr>
      <w:tr>
        <w:tc>
          <w:tcPr>
            <w:tcW w:type="dxa" w:w="550"/>
          </w:tcPr>
          <w:p>
            <w:pPr>
              <w:spacing w:before="0" w:after="0" w:line="240" w:lineRule="auto"/>
            </w:pPr>
            <w:r>
              <w:rPr>
                <w:b w:val="0"/>
                <w:sz w:val="16"/>
              </w:rPr>
              <w:t>4</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Curing</w:t>
            </w:r>
          </w:p>
        </w:tc>
        <w:tc>
          <w:tcPr>
            <w:tcW w:type="dxa" w:w="1100"/>
          </w:tcPr>
          <w:p>
            <w:pPr>
              <w:spacing w:before="0" w:after="0" w:line="240" w:lineRule="auto"/>
            </w:pPr>
            <w:r>
              <w:rPr>
                <w:b w:val="0"/>
                <w:sz w:val="16"/>
              </w:rPr>
              <w:t>8</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8</w:t>
            </w:r>
          </w:p>
        </w:tc>
        <w:tc>
          <w:tcPr>
            <w:tcW w:type="dxa" w:w="2998"/>
          </w:tcPr>
          <w:p>
            <w:pPr>
              <w:spacing w:before="0" w:after="0" w:line="240" w:lineRule="auto"/>
            </w:pPr>
            <w:r>
              <w:rPr>
                <w:b w:val="0"/>
                <w:sz w:val="16"/>
              </w:rPr>
              <w:t>Bluetooth scanner only. Host device for these scanners to be confirmed.</w:t>
            </w:r>
          </w:p>
        </w:tc>
      </w:tr>
      <w:tr>
        <w:tc>
          <w:tcPr>
            <w:tcW w:type="dxa" w:w="550"/>
          </w:tcPr>
          <w:p>
            <w:pPr>
              <w:spacing w:before="0" w:after="0" w:line="240" w:lineRule="auto"/>
            </w:pPr>
            <w:r>
              <w:rPr>
                <w:b w:val="0"/>
                <w:sz w:val="16"/>
              </w:rPr>
              <w:t>5</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CFE 1 and CFE 2</w:t>
            </w:r>
          </w:p>
        </w:tc>
        <w:tc>
          <w:tcPr>
            <w:tcW w:type="dxa" w:w="1100"/>
          </w:tcPr>
          <w:p>
            <w:pPr>
              <w:spacing w:before="0" w:after="0" w:line="240" w:lineRule="auto"/>
            </w:pPr>
            <w:r>
              <w:rPr>
                <w:b w:val="0"/>
                <w:sz w:val="16"/>
              </w:rPr>
              <w:t>7</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6</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2 Roll and 3 Roll Calenders</w:t>
            </w:r>
          </w:p>
        </w:tc>
        <w:tc>
          <w:tcPr>
            <w:tcW w:type="dxa" w:w="1100"/>
          </w:tcPr>
          <w:p>
            <w:pPr>
              <w:spacing w:before="0" w:after="0" w:line="240" w:lineRule="auto"/>
            </w:pPr>
            <w:r>
              <w:rPr>
                <w:b w:val="0"/>
                <w:sz w:val="16"/>
              </w:rPr>
              <w:t>5</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7</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Bias Cutter</w:t>
            </w:r>
          </w:p>
        </w:tc>
        <w:tc>
          <w:tcPr>
            <w:tcW w:type="dxa" w:w="1100"/>
          </w:tcPr>
          <w:p>
            <w:pPr>
              <w:spacing w:before="0" w:after="0" w:line="240" w:lineRule="auto"/>
            </w:pPr>
            <w:r>
              <w:rPr>
                <w:b w:val="0"/>
                <w:sz w:val="16"/>
              </w:rPr>
              <w:t>3</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8</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Bead Winding</w:t>
            </w:r>
          </w:p>
        </w:tc>
        <w:tc>
          <w:tcPr>
            <w:tcW w:type="dxa" w:w="1100"/>
          </w:tcPr>
          <w:p>
            <w:pPr>
              <w:spacing w:before="0" w:after="0" w:line="240" w:lineRule="auto"/>
            </w:pPr>
            <w:r>
              <w:rPr>
                <w:b w:val="0"/>
                <w:sz w:val="16"/>
              </w:rPr>
              <w:t>2</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9</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Fabric Cutter</w:t>
            </w:r>
          </w:p>
        </w:tc>
        <w:tc>
          <w:tcPr>
            <w:tcW w:type="dxa" w:w="1100"/>
          </w:tcPr>
          <w:p>
            <w:pPr>
              <w:spacing w:before="0" w:after="0" w:line="240" w:lineRule="auto"/>
            </w:pPr>
            <w:r>
              <w:rPr>
                <w:b w:val="0"/>
                <w:sz w:val="16"/>
              </w:rPr>
              <w:t>3</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10</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Balancing</w:t>
            </w:r>
          </w:p>
        </w:tc>
        <w:tc>
          <w:tcPr>
            <w:tcW w:type="dxa" w:w="1100"/>
          </w:tcPr>
          <w:p>
            <w:pPr>
              <w:spacing w:before="0" w:after="0" w:line="240" w:lineRule="auto"/>
            </w:pPr>
            <w:r>
              <w:rPr>
                <w:b w:val="0"/>
                <w:sz w:val="16"/>
              </w:rPr>
              <w:t>10</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11</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Runout</w:t>
            </w:r>
          </w:p>
        </w:tc>
        <w:tc>
          <w:tcPr>
            <w:tcW w:type="dxa" w:w="1100"/>
          </w:tcPr>
          <w:p>
            <w:pPr>
              <w:spacing w:before="0" w:after="0" w:line="240" w:lineRule="auto"/>
            </w:pPr>
            <w:r>
              <w:rPr>
                <w:b w:val="0"/>
                <w:sz w:val="16"/>
              </w:rPr>
              <w:t>11</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Not included in the current scope.</w:t>
            </w:r>
          </w:p>
        </w:tc>
      </w:tr>
      <w:tr>
        <w:tc>
          <w:tcPr>
            <w:tcW w:type="dxa" w:w="550"/>
          </w:tcPr>
          <w:p>
            <w:pPr>
              <w:spacing w:before="0" w:after="0" w:line="240" w:lineRule="auto"/>
            </w:pPr>
            <w:r>
              <w:rPr>
                <w:b w:val="0"/>
                <w:sz w:val="16"/>
              </w:rPr>
              <w:t>12</w:t>
            </w:r>
          </w:p>
        </w:tc>
        <w:tc>
          <w:tcPr>
            <w:tcW w:type="dxa" w:w="900"/>
          </w:tcPr>
          <w:p>
            <w:pPr>
              <w:spacing w:before="0" w:after="0" w:line="240" w:lineRule="auto"/>
            </w:pPr>
            <w:r>
              <w:rPr>
                <w:b w:val="0"/>
                <w:sz w:val="16"/>
              </w:rPr>
              <w:t>Unit‑4</w:t>
            </w:r>
          </w:p>
        </w:tc>
        <w:tc>
          <w:tcPr>
            <w:tcW w:type="dxa" w:w="2400"/>
          </w:tcPr>
          <w:p>
            <w:pPr>
              <w:spacing w:before="0" w:after="0" w:line="240" w:lineRule="auto"/>
            </w:pPr>
            <w:r>
              <w:rPr>
                <w:b w:val="0"/>
                <w:sz w:val="16"/>
              </w:rPr>
              <w:t>2nd Line Inspection</w:t>
            </w:r>
          </w:p>
        </w:tc>
        <w:tc>
          <w:tcPr>
            <w:tcW w:type="dxa" w:w="1100"/>
          </w:tcPr>
          <w:p>
            <w:pPr>
              <w:spacing w:before="0" w:after="0" w:line="240" w:lineRule="auto"/>
            </w:pPr>
            <w:r>
              <w:rPr>
                <w:b w:val="0"/>
                <w:sz w:val="16"/>
              </w:rPr>
              <w:t>9</w:t>
            </w:r>
          </w:p>
        </w:tc>
        <w:tc>
          <w:tcPr>
            <w:tcW w:type="dxa" w:w="1000"/>
          </w:tcPr>
          <w:p>
            <w:pPr>
              <w:spacing w:before="0" w:after="0" w:line="240" w:lineRule="auto"/>
            </w:pPr>
            <w:r>
              <w:rPr>
                <w:b w:val="0"/>
                <w:sz w:val="16"/>
              </w:rPr>
              <w:t>–</w:t>
            </w:r>
          </w:p>
        </w:tc>
        <w:tc>
          <w:tcPr>
            <w:tcW w:type="dxa" w:w="1400"/>
          </w:tcPr>
          <w:p>
            <w:pPr>
              <w:spacing w:before="0" w:after="0" w:line="240" w:lineRule="auto"/>
            </w:pPr>
            <w:r>
              <w:rPr>
                <w:b w:val="0"/>
                <w:sz w:val="16"/>
              </w:rPr>
              <w:t>–</w:t>
            </w:r>
          </w:p>
        </w:tc>
        <w:tc>
          <w:tcPr>
            <w:tcW w:type="dxa" w:w="2998"/>
          </w:tcPr>
          <w:p>
            <w:pPr>
              <w:spacing w:before="0" w:after="0" w:line="240" w:lineRule="auto"/>
            </w:pPr>
            <w:r>
              <w:rPr>
                <w:b w:val="0"/>
                <w:sz w:val="16"/>
              </w:rPr>
              <w:t>Future planning; not considered in the current scope.</w:t>
            </w:r>
          </w:p>
        </w:tc>
      </w:tr>
      <w:tr>
        <w:tc>
          <w:tcPr>
            <w:tcW w:type="dxa" w:w="550"/>
          </w:tcPr>
          <w:p>
            <w:pPr>
              <w:spacing w:before="0" w:after="0" w:line="240" w:lineRule="auto"/>
            </w:pPr>
            <w:r>
              <w:rPr>
                <w:b/>
                <w:sz w:val="16"/>
              </w:rPr>
            </w:r>
          </w:p>
        </w:tc>
        <w:tc>
          <w:tcPr>
            <w:tcW w:type="dxa" w:w="900"/>
          </w:tcPr>
          <w:p>
            <w:pPr>
              <w:spacing w:before="0" w:after="0" w:line="240" w:lineRule="auto"/>
            </w:pPr>
            <w:r>
              <w:rPr>
                <w:b/>
                <w:sz w:val="16"/>
              </w:rPr>
              <w:t>Total</w:t>
            </w:r>
          </w:p>
        </w:tc>
        <w:tc>
          <w:tcPr>
            <w:tcW w:type="dxa" w:w="2400"/>
          </w:tcPr>
          <w:p>
            <w:pPr>
              <w:spacing w:before="0" w:after="0" w:line="240" w:lineRule="auto"/>
            </w:pPr>
            <w:r>
              <w:rPr>
                <w:b/>
                <w:sz w:val="16"/>
              </w:rPr>
            </w:r>
          </w:p>
        </w:tc>
        <w:tc>
          <w:tcPr>
            <w:tcW w:type="dxa" w:w="1100"/>
          </w:tcPr>
          <w:p>
            <w:pPr>
              <w:spacing w:before="0" w:after="0" w:line="240" w:lineRule="auto"/>
            </w:pPr>
            <w:r>
              <w:rPr>
                <w:b/>
                <w:sz w:val="16"/>
              </w:rPr>
              <w:t>145</w:t>
            </w:r>
          </w:p>
        </w:tc>
        <w:tc>
          <w:tcPr>
            <w:tcW w:type="dxa" w:w="1000"/>
          </w:tcPr>
          <w:p>
            <w:pPr>
              <w:spacing w:before="0" w:after="0" w:line="240" w:lineRule="auto"/>
            </w:pPr>
            <w:r>
              <w:rPr>
                <w:b/>
                <w:sz w:val="16"/>
              </w:rPr>
              <w:t>87</w:t>
            </w:r>
          </w:p>
        </w:tc>
        <w:tc>
          <w:tcPr>
            <w:tcW w:type="dxa" w:w="1400"/>
          </w:tcPr>
          <w:p>
            <w:pPr>
              <w:spacing w:before="0" w:after="0" w:line="240" w:lineRule="auto"/>
            </w:pPr>
            <w:r>
              <w:rPr>
                <w:b/>
                <w:sz w:val="16"/>
              </w:rPr>
              <w:t>95</w:t>
            </w:r>
          </w:p>
        </w:tc>
        <w:tc>
          <w:tcPr>
            <w:tcW w:type="dxa" w:w="2998"/>
          </w:tcPr>
          <w:p>
            <w:pPr>
              <w:spacing w:before="0" w:after="0" w:line="240" w:lineRule="auto"/>
            </w:pPr>
            <w:r>
              <w:rPr>
                <w:b/>
                <w:sz w:val="16"/>
              </w:rPr>
            </w:r>
          </w:p>
        </w:tc>
      </w:tr>
    </w:tbl>
    <w:p>
      <w:pPr>
        <w:pStyle w:val="Caption"/>
      </w:pPr>
      <w:r>
        <w:rPr>
          <w:b w:val="0"/>
        </w:rPr>
        <w:t>Table: Shopfloor data capture hardware requirement</w:t>
      </w:r>
    </w:p>
    <w:p>
      <w:pPr/>
      <w:r>
        <w:rPr>
          <w:b/>
        </w:rPr>
        <w:t>Basis and open points:</w:t>
      </w:r>
    </w:p>
    <w:p>
      <w:pPr>
        <w:pStyle w:val="ListParagraph"/>
        <w:numPr>
          <w:ilvl w:val="0"/>
          <w:numId w:val="47"/>
        </w:numPr>
      </w:pPr>
      <w:r>
        <w:rPr>
          <w:b w:val="0"/>
        </w:rPr>
        <w:t>Quantities follow the requirement that tyre building machines carry an MES HMI and a Bluetooth scanner, and curing machines carry a Bluetooth scanner. Tyre building covers TBB and LCV Tyre Building in Unit‑2 and the Building area in Unit‑4, 87 machines in total.</w:t>
      </w:r>
    </w:p>
    <w:p>
      <w:pPr>
        <w:pStyle w:val="ListParagraph"/>
        <w:numPr>
          <w:ilvl w:val="0"/>
          <w:numId w:val="47"/>
        </w:numPr>
      </w:pPr>
      <w:r>
        <w:rPr>
          <w:b w:val="0"/>
        </w:rPr>
        <w:t>MES HMI and AIDC devices are listed against the customer in the Roles and Responsibilities section of this document and are not part of the Smart Controls scope of supply.</w:t>
      </w:r>
    </w:p>
    <w:p>
      <w:pPr>
        <w:pStyle w:val="ListParagraph"/>
        <w:numPr>
          <w:ilvl w:val="0"/>
          <w:numId w:val="47"/>
        </w:numPr>
      </w:pPr>
      <w:r>
        <w:rPr>
          <w:b w:val="0"/>
        </w:rPr>
        <w:t>The curing machines carry a scanner without an MES HMI. Whether these scanners pair to a shared HMI, a handheld terminal or an existing station is to be confirmed, as it affects both the device count and the booking workflow.</w:t>
      </w:r>
    </w:p>
    <w:p>
      <w:pPr>
        <w:pStyle w:val="ListParagraph"/>
        <w:numPr>
          <w:ilvl w:val="0"/>
          <w:numId w:val="47"/>
        </w:numPr>
      </w:pPr>
      <w:r>
        <w:rPr>
          <w:b w:val="0"/>
        </w:rPr>
        <w:t>RB1‑1 to RB1‑6 in Unit‑4 have no PLC. The MES HMI at these machines provides the manual data capture referred to in the Machine Details section.</w:t>
      </w:r>
    </w:p>
    <w:p>
      <w:pPr>
        <w:pStyle w:val="ListParagraph"/>
        <w:numPr>
          <w:ilvl w:val="0"/>
          <w:numId w:val="47"/>
        </w:numPr>
      </w:pPr>
      <w:r>
        <w:rPr>
          <w:b w:val="0"/>
        </w:rPr>
        <w:t>The process areas shown at nil above are not included in the current scope. If material tracking is required at extrusion, calendering, component preparation or finishing, the device count is to be extended by change request.</w:t>
      </w:r>
    </w:p>
    <w:p>
      <w:pPr>
        <w:pStyle w:val="ListParagraph"/>
        <w:numPr>
          <w:ilvl w:val="0"/>
          <w:numId w:val="47"/>
        </w:numPr>
      </w:pPr>
      <w:r>
        <w:rPr>
          <w:b w:val="0"/>
        </w:rPr>
        <w:t>Scanner model, HMI specification, mounting, power and wireless coverage are to be agreed during the Functional Design phase. Wireless access point coverage across the shopfloor is a customer responsibility.</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pPr/>
      <w:r>
        <w:rPr>
          <w:b w:val="0"/>
        </w:rPr>
        <w:t>The project is planned over 39 weeks, that is 9 months from kick‑off. The schedule below shows the service and supply streams against month bands M1 to M9, with the start week and duration of each activity.</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900"/>
        <w:gridCol w:w="2250"/>
        <w:gridCol w:w="600"/>
        <w:gridCol w:w="600"/>
        <w:gridCol w:w="605"/>
        <w:gridCol w:w="605"/>
        <w:gridCol w:w="605"/>
        <w:gridCol w:w="605"/>
        <w:gridCol w:w="605"/>
        <w:gridCol w:w="605"/>
        <w:gridCol w:w="605"/>
        <w:gridCol w:w="605"/>
        <w:gridCol w:w="608"/>
      </w:tblGrid>
      <w:tr>
        <w:trPr>
          <w:tblHeader/>
        </w:trPr>
        <w:tc>
          <w:tcPr>
            <w:tcW w:w="550" w:type="dxa"/>
          </w:tcPr>
          <w:p>
            <w:pPr>
              <w:spacing w:before="0" w:after="0" w:line="240" w:lineRule="auto"/>
            </w:pPr>
            <w:r>
              <w:rPr>
                <w:sz w:val="16"/>
              </w:rPr>
              <w:t>S.No</w:t>
            </w:r>
          </w:p>
        </w:tc>
        <w:tc>
          <w:tcPr>
            <w:tcW w:w="900" w:type="dxa"/>
          </w:tcPr>
          <w:p>
            <w:pPr>
              <w:spacing w:before="0" w:after="0" w:line="240" w:lineRule="auto"/>
            </w:pPr>
            <w:r>
              <w:rPr>
                <w:sz w:val="16"/>
              </w:rPr>
              <w:t>Scope</w:t>
            </w:r>
          </w:p>
        </w:tc>
        <w:tc>
          <w:tcPr>
            <w:tcW w:w="2250" w:type="dxa"/>
          </w:tcPr>
          <w:p>
            <w:pPr>
              <w:spacing w:before="0" w:after="0" w:line="240" w:lineRule="auto"/>
            </w:pPr>
            <w:r>
              <w:rPr>
                <w:sz w:val="16"/>
              </w:rPr>
              <w:t>Activity</w:t>
            </w:r>
          </w:p>
        </w:tc>
        <w:tc>
          <w:tcPr>
            <w:tcW w:w="600" w:type="dxa"/>
          </w:tcPr>
          <w:p>
            <w:pPr>
              <w:spacing w:before="0" w:after="0" w:line="240" w:lineRule="auto"/>
            </w:pPr>
            <w:r>
              <w:rPr>
                <w:sz w:val="16"/>
              </w:rPr>
              <w:t>Start Wk</w:t>
            </w:r>
          </w:p>
        </w:tc>
        <w:tc>
          <w:tcPr>
            <w:tcW w:w="600" w:type="dxa"/>
          </w:tcPr>
          <w:p>
            <w:pPr>
              <w:spacing w:before="0" w:after="0" w:line="240" w:lineRule="auto"/>
            </w:pPr>
            <w:r>
              <w:rPr>
                <w:sz w:val="16"/>
              </w:rPr>
              <w:t>Dur. Wk</w:t>
            </w:r>
          </w:p>
        </w:tc>
        <w:tc>
          <w:tcPr>
            <w:tcW w:w="605" w:type="dxa"/>
          </w:tcPr>
          <w:p>
            <w:pPr>
              <w:spacing w:before="0" w:after="0" w:line="240" w:lineRule="auto"/>
              <w:jc w:val="center"/>
            </w:pPr>
            <w:r>
              <w:rPr>
                <w:sz w:val="16"/>
              </w:rPr>
              <w:t>M1</w:t>
            </w:r>
          </w:p>
        </w:tc>
        <w:tc>
          <w:tcPr>
            <w:tcW w:w="605" w:type="dxa"/>
          </w:tcPr>
          <w:p>
            <w:pPr>
              <w:spacing w:before="0" w:after="0" w:line="240" w:lineRule="auto"/>
              <w:jc w:val="center"/>
            </w:pPr>
            <w:r>
              <w:rPr>
                <w:sz w:val="16"/>
              </w:rPr>
              <w:t>M2</w:t>
            </w:r>
          </w:p>
        </w:tc>
        <w:tc>
          <w:tcPr>
            <w:tcW w:w="605" w:type="dxa"/>
          </w:tcPr>
          <w:p>
            <w:pPr>
              <w:spacing w:before="0" w:after="0" w:line="240" w:lineRule="auto"/>
              <w:jc w:val="center"/>
            </w:pPr>
            <w:r>
              <w:rPr>
                <w:sz w:val="16"/>
              </w:rPr>
              <w:t>M3</w:t>
            </w:r>
          </w:p>
        </w:tc>
        <w:tc>
          <w:tcPr>
            <w:tcW w:w="605" w:type="dxa"/>
          </w:tcPr>
          <w:p>
            <w:pPr>
              <w:spacing w:before="0" w:after="0" w:line="240" w:lineRule="auto"/>
              <w:jc w:val="center"/>
            </w:pPr>
            <w:r>
              <w:rPr>
                <w:sz w:val="16"/>
              </w:rPr>
              <w:t>M4</w:t>
            </w:r>
          </w:p>
        </w:tc>
        <w:tc>
          <w:tcPr>
            <w:tcW w:w="605" w:type="dxa"/>
          </w:tcPr>
          <w:p>
            <w:pPr>
              <w:spacing w:before="0" w:after="0" w:line="240" w:lineRule="auto"/>
              <w:jc w:val="center"/>
            </w:pPr>
            <w:r>
              <w:rPr>
                <w:sz w:val="16"/>
              </w:rPr>
              <w:t>M5</w:t>
            </w:r>
          </w:p>
        </w:tc>
        <w:tc>
          <w:tcPr>
            <w:tcW w:w="605" w:type="dxa"/>
          </w:tcPr>
          <w:p>
            <w:pPr>
              <w:spacing w:before="0" w:after="0" w:line="240" w:lineRule="auto"/>
              <w:jc w:val="center"/>
            </w:pPr>
            <w:r>
              <w:rPr>
                <w:sz w:val="16"/>
              </w:rPr>
              <w:t>M6</w:t>
            </w:r>
          </w:p>
        </w:tc>
        <w:tc>
          <w:tcPr>
            <w:tcW w:w="605" w:type="dxa"/>
          </w:tcPr>
          <w:p>
            <w:pPr>
              <w:spacing w:before="0" w:after="0" w:line="240" w:lineRule="auto"/>
              <w:jc w:val="center"/>
            </w:pPr>
            <w:r>
              <w:rPr>
                <w:sz w:val="16"/>
              </w:rPr>
              <w:t>M7</w:t>
            </w:r>
          </w:p>
        </w:tc>
        <w:tc>
          <w:tcPr>
            <w:tcW w:w="605" w:type="dxa"/>
          </w:tcPr>
          <w:p>
            <w:pPr>
              <w:spacing w:before="0" w:after="0" w:line="240" w:lineRule="auto"/>
              <w:jc w:val="center"/>
            </w:pPr>
            <w:r>
              <w:rPr>
                <w:sz w:val="16"/>
              </w:rPr>
              <w:t>M8</w:t>
            </w:r>
          </w:p>
        </w:tc>
        <w:tc>
          <w:tcPr>
            <w:tcW w:w="608" w:type="dxa"/>
          </w:tcPr>
          <w:p>
            <w:pPr>
              <w:spacing w:before="0" w:after="0" w:line="240" w:lineRule="auto"/>
              <w:jc w:val="center"/>
            </w:pPr>
            <w:r>
              <w:rPr>
                <w:sz w:val="16"/>
              </w:rPr>
              <w:t>M9</w:t>
            </w:r>
          </w:p>
        </w:tc>
      </w:tr>
      <w:tr>
        <w:tc>
          <w:tcPr>
            <w:tcW w:w="550" w:type="dxa"/>
          </w:tcPr>
          <w:p>
            <w:pPr>
              <w:spacing w:before="0" w:after="0" w:line="240" w:lineRule="auto"/>
            </w:pPr>
            <w:r>
              <w:rPr>
                <w:sz w:val="16"/>
              </w:rPr>
              <w:t>1</w:t>
            </w:r>
          </w:p>
        </w:tc>
        <w:tc>
          <w:tcPr>
            <w:tcW w:w="900" w:type="dxa"/>
            <w:vMerge w:val="restart"/>
          </w:tcPr>
          <w:p>
            <w:pPr>
              <w:spacing w:before="0" w:after="0" w:line="240" w:lineRule="auto"/>
            </w:pPr>
            <w:r>
              <w:rPr>
                <w:b/>
                <w:sz w:val="16"/>
              </w:rPr>
              <w:t>Service</w:t>
            </w:r>
          </w:p>
        </w:tc>
        <w:tc>
          <w:tcPr>
            <w:tcW w:w="2250" w:type="dxa"/>
          </w:tcPr>
          <w:p>
            <w:pPr>
              <w:spacing w:before="0" w:after="0" w:line="240" w:lineRule="auto"/>
            </w:pPr>
            <w:r>
              <w:rPr>
                <w:sz w:val="16"/>
              </w:rPr>
              <w:t>Requirement Workshop and Business Requirement Document (BRD)</w:t>
            </w:r>
          </w:p>
        </w:tc>
        <w:tc>
          <w:tcPr>
            <w:tcW w:w="600" w:type="dxa"/>
          </w:tcPr>
          <w:p>
            <w:pPr>
              <w:spacing w:before="0" w:after="0" w:line="240" w:lineRule="auto"/>
              <w:jc w:val="center"/>
            </w:pPr>
            <w:r>
              <w:rPr>
                <w:sz w:val="16"/>
              </w:rPr>
              <w:t>1</w:t>
            </w:r>
          </w:p>
        </w:tc>
        <w:tc>
          <w:tcPr>
            <w:tcW w:w="600" w:type="dxa"/>
          </w:tcPr>
          <w:p>
            <w:pPr>
              <w:spacing w:before="0" w:after="0" w:line="240" w:lineRule="auto"/>
              <w:jc w:val="center"/>
            </w:pPr>
            <w:r>
              <w:rPr>
                <w:sz w:val="16"/>
              </w:rPr>
              <w:t>3</w:t>
            </w:r>
          </w:p>
        </w:tc>
        <w:tc>
          <w:tcPr>
            <w:tcW w:w="605" w:type="dxa"/>
            <w:shd w:val="clear" w:color="auto" w:fill="27166F"/>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2</w:t>
            </w:r>
          </w:p>
        </w:tc>
        <w:tc>
          <w:tcPr>
            <w:tcW w:w="900" w:type="dxa"/>
            <w:vMerge/>
          </w:tcPr>
          <w:p>
            <w:pPr>
              <w:spacing w:before="0" w:after="0" w:line="240" w:lineRule="auto"/>
            </w:pPr>
          </w:p>
        </w:tc>
        <w:tc>
          <w:tcPr>
            <w:tcW w:w="2250" w:type="dxa"/>
          </w:tcPr>
          <w:p>
            <w:pPr>
              <w:spacing w:before="0" w:after="0" w:line="240" w:lineRule="auto"/>
            </w:pPr>
            <w:r>
              <w:rPr>
                <w:sz w:val="16"/>
              </w:rPr>
              <w:t>Solution Designing – Functional Design Specification (FDS)</w:t>
            </w:r>
          </w:p>
        </w:tc>
        <w:tc>
          <w:tcPr>
            <w:tcW w:w="600" w:type="dxa"/>
          </w:tcPr>
          <w:p>
            <w:pPr>
              <w:spacing w:before="0" w:after="0" w:line="240" w:lineRule="auto"/>
              <w:jc w:val="center"/>
            </w:pPr>
            <w:r>
              <w:rPr>
                <w:sz w:val="16"/>
              </w:rPr>
              <w:t>4</w:t>
            </w:r>
          </w:p>
        </w:tc>
        <w:tc>
          <w:tcPr>
            <w:tcW w:w="600" w:type="dxa"/>
          </w:tcPr>
          <w:p>
            <w:pPr>
              <w:spacing w:before="0" w:after="0" w:line="240" w:lineRule="auto"/>
              <w:jc w:val="center"/>
            </w:pPr>
            <w:r>
              <w:rPr>
                <w:sz w:val="16"/>
              </w:rPr>
              <w:t>5</w:t>
            </w: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3</w:t>
            </w:r>
          </w:p>
        </w:tc>
        <w:tc>
          <w:tcPr>
            <w:tcW w:w="900" w:type="dxa"/>
            <w:vMerge/>
          </w:tcPr>
          <w:p>
            <w:pPr>
              <w:spacing w:before="0" w:after="0" w:line="240" w:lineRule="auto"/>
            </w:pPr>
          </w:p>
        </w:tc>
        <w:tc>
          <w:tcPr>
            <w:tcW w:w="2250" w:type="dxa"/>
          </w:tcPr>
          <w:p>
            <w:pPr>
              <w:spacing w:before="0" w:after="0" w:line="240" w:lineRule="auto"/>
            </w:pPr>
            <w:r>
              <w:rPr>
                <w:sz w:val="16"/>
              </w:rPr>
              <w:t>Interface Designing – Interface Control Document (ICD)</w:t>
            </w:r>
          </w:p>
        </w:tc>
        <w:tc>
          <w:tcPr>
            <w:tcW w:w="600" w:type="dxa"/>
          </w:tcPr>
          <w:p>
            <w:pPr>
              <w:spacing w:before="0" w:after="0" w:line="240" w:lineRule="auto"/>
              <w:jc w:val="center"/>
            </w:pPr>
            <w:r>
              <w:rPr>
                <w:sz w:val="16"/>
              </w:rPr>
              <w:t>5</w:t>
            </w:r>
          </w:p>
        </w:tc>
        <w:tc>
          <w:tcPr>
            <w:tcW w:w="600" w:type="dxa"/>
          </w:tcPr>
          <w:p>
            <w:pPr>
              <w:spacing w:before="0" w:after="0" w:line="240" w:lineRule="auto"/>
              <w:jc w:val="center"/>
            </w:pPr>
            <w:r>
              <w:rPr>
                <w:sz w:val="16"/>
              </w:rPr>
              <w:t>4</w:t>
            </w:r>
          </w:p>
        </w:tc>
        <w:tc>
          <w:tcPr>
            <w:tcW w:w="605" w:type="dxa"/>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4</w:t>
            </w:r>
          </w:p>
        </w:tc>
        <w:tc>
          <w:tcPr>
            <w:tcW w:w="900" w:type="dxa"/>
            <w:vMerge/>
          </w:tcPr>
          <w:p>
            <w:pPr>
              <w:spacing w:before="0" w:after="0" w:line="240" w:lineRule="auto"/>
            </w:pPr>
          </w:p>
        </w:tc>
        <w:tc>
          <w:tcPr>
            <w:tcW w:w="2250" w:type="dxa"/>
          </w:tcPr>
          <w:p>
            <w:pPr>
              <w:spacing w:before="0" w:after="0" w:line="240" w:lineRule="auto"/>
            </w:pPr>
            <w:r>
              <w:rPr>
                <w:sz w:val="16"/>
              </w:rPr>
              <w:t>Solution Development and Demonstration (DEMO)</w:t>
            </w:r>
          </w:p>
        </w:tc>
        <w:tc>
          <w:tcPr>
            <w:tcW w:w="600" w:type="dxa"/>
          </w:tcPr>
          <w:p>
            <w:pPr>
              <w:spacing w:before="0" w:after="0" w:line="240" w:lineRule="auto"/>
              <w:jc w:val="center"/>
            </w:pPr>
            <w:r>
              <w:rPr>
                <w:sz w:val="16"/>
              </w:rPr>
              <w:t>9</w:t>
            </w:r>
          </w:p>
        </w:tc>
        <w:tc>
          <w:tcPr>
            <w:tcW w:w="600" w:type="dxa"/>
          </w:tcPr>
          <w:p>
            <w:pPr>
              <w:spacing w:before="0" w:after="0" w:line="240" w:lineRule="auto"/>
              <w:jc w:val="center"/>
            </w:pPr>
            <w:r>
              <w:rPr>
                <w:sz w:val="16"/>
              </w:rPr>
              <w:t>12</w:t>
            </w:r>
          </w:p>
        </w:tc>
        <w:tc>
          <w:tcPr>
            <w:tcW w:w="605" w:type="dxa"/>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5</w:t>
            </w:r>
          </w:p>
        </w:tc>
        <w:tc>
          <w:tcPr>
            <w:tcW w:w="900" w:type="dxa"/>
            <w:vMerge/>
          </w:tcPr>
          <w:p>
            <w:pPr>
              <w:spacing w:before="0" w:after="0" w:line="240" w:lineRule="auto"/>
            </w:pPr>
          </w:p>
        </w:tc>
        <w:tc>
          <w:tcPr>
            <w:tcW w:w="2250" w:type="dxa"/>
          </w:tcPr>
          <w:p>
            <w:pPr>
              <w:spacing w:before="0" w:after="0" w:line="240" w:lineRule="auto"/>
            </w:pPr>
            <w:r>
              <w:rPr>
                <w:sz w:val="16"/>
              </w:rPr>
              <w:t>System Integration Testing (SIT)</w:t>
            </w:r>
          </w:p>
        </w:tc>
        <w:tc>
          <w:tcPr>
            <w:tcW w:w="600" w:type="dxa"/>
          </w:tcPr>
          <w:p>
            <w:pPr>
              <w:spacing w:before="0" w:after="0" w:line="240" w:lineRule="auto"/>
              <w:jc w:val="center"/>
            </w:pPr>
            <w:r>
              <w:rPr>
                <w:sz w:val="16"/>
              </w:rPr>
              <w:t>19</w:t>
            </w:r>
          </w:p>
        </w:tc>
        <w:tc>
          <w:tcPr>
            <w:tcW w:w="600" w:type="dxa"/>
          </w:tcPr>
          <w:p>
            <w:pPr>
              <w:spacing w:before="0" w:after="0" w:line="240" w:lineRule="auto"/>
              <w:jc w:val="center"/>
            </w:pPr>
            <w:r>
              <w:rPr>
                <w:sz w:val="16"/>
              </w:rPr>
              <w:t>5</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6</w:t>
            </w:r>
          </w:p>
        </w:tc>
        <w:tc>
          <w:tcPr>
            <w:tcW w:w="900" w:type="dxa"/>
            <w:vMerge/>
          </w:tcPr>
          <w:p>
            <w:pPr>
              <w:spacing w:before="0" w:after="0" w:line="240" w:lineRule="auto"/>
            </w:pPr>
          </w:p>
        </w:tc>
        <w:tc>
          <w:tcPr>
            <w:tcW w:w="2250" w:type="dxa"/>
          </w:tcPr>
          <w:p>
            <w:pPr>
              <w:spacing w:before="0" w:after="0" w:line="240" w:lineRule="auto"/>
            </w:pPr>
            <w:r>
              <w:rPr>
                <w:sz w:val="16"/>
              </w:rPr>
              <w:t>User Acceptance Testing (UAT)</w:t>
            </w:r>
          </w:p>
        </w:tc>
        <w:tc>
          <w:tcPr>
            <w:tcW w:w="600" w:type="dxa"/>
          </w:tcPr>
          <w:p>
            <w:pPr>
              <w:spacing w:before="0" w:after="0" w:line="240" w:lineRule="auto"/>
              <w:jc w:val="center"/>
            </w:pPr>
            <w:r>
              <w:rPr>
                <w:sz w:val="16"/>
              </w:rPr>
              <w:t>24</w:t>
            </w:r>
          </w:p>
        </w:tc>
        <w:tc>
          <w:tcPr>
            <w:tcW w:w="600" w:type="dxa"/>
          </w:tcPr>
          <w:p>
            <w:pPr>
              <w:spacing w:before="0" w:after="0" w:line="240" w:lineRule="auto"/>
              <w:jc w:val="center"/>
            </w:pPr>
            <w:r>
              <w:rPr>
                <w:sz w:val="16"/>
              </w:rPr>
              <w:t>5</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7</w:t>
            </w:r>
          </w:p>
        </w:tc>
        <w:tc>
          <w:tcPr>
            <w:tcW w:w="900" w:type="dxa"/>
            <w:vMerge/>
          </w:tcPr>
          <w:p>
            <w:pPr>
              <w:spacing w:before="0" w:after="0" w:line="240" w:lineRule="auto"/>
            </w:pPr>
          </w:p>
        </w:tc>
        <w:tc>
          <w:tcPr>
            <w:tcW w:w="2250" w:type="dxa"/>
          </w:tcPr>
          <w:p>
            <w:pPr>
              <w:spacing w:before="0" w:after="0" w:line="240" w:lineRule="auto"/>
            </w:pPr>
            <w:r>
              <w:rPr>
                <w:sz w:val="16"/>
              </w:rPr>
              <w:t>Commissioning and Go Live</w:t>
            </w:r>
          </w:p>
        </w:tc>
        <w:tc>
          <w:tcPr>
            <w:tcW w:w="600" w:type="dxa"/>
          </w:tcPr>
          <w:p>
            <w:pPr>
              <w:spacing w:before="0" w:after="0" w:line="240" w:lineRule="auto"/>
              <w:jc w:val="center"/>
            </w:pPr>
            <w:r>
              <w:rPr>
                <w:sz w:val="16"/>
              </w:rPr>
              <w:t>29</w:t>
            </w:r>
          </w:p>
        </w:tc>
        <w:tc>
          <w:tcPr>
            <w:tcW w:w="600" w:type="dxa"/>
          </w:tcPr>
          <w:p>
            <w:pPr>
              <w:spacing w:before="0" w:after="0" w:line="240" w:lineRule="auto"/>
              <w:jc w:val="center"/>
            </w:pPr>
            <w:r>
              <w:rPr>
                <w:sz w:val="16"/>
              </w:rPr>
              <w:t>3</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shd w:val="clear" w:color="auto" w:fill="27166F"/>
          </w:tcPr>
          <w:p>
            <w:pPr>
              <w:spacing w:before="0" w:after="0" w:line="240" w:lineRule="auto"/>
              <w:jc w:val="center"/>
            </w:pPr>
          </w:p>
        </w:tc>
        <w:tc>
          <w:tcPr>
            <w:tcW w:w="605" w:type="dxa"/>
            <w:shd w:val="clear" w:color="auto" w:fill="27166F"/>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8</w:t>
            </w:r>
          </w:p>
        </w:tc>
        <w:tc>
          <w:tcPr>
            <w:tcW w:w="900" w:type="dxa"/>
            <w:vMerge/>
          </w:tcPr>
          <w:p>
            <w:pPr>
              <w:spacing w:before="0" w:after="0" w:line="240" w:lineRule="auto"/>
            </w:pPr>
          </w:p>
        </w:tc>
        <w:tc>
          <w:tcPr>
            <w:tcW w:w="2250" w:type="dxa"/>
          </w:tcPr>
          <w:p>
            <w:pPr>
              <w:spacing w:before="0" w:after="0" w:line="240" w:lineRule="auto"/>
            </w:pPr>
            <w:r>
              <w:rPr>
                <w:sz w:val="16"/>
              </w:rPr>
              <w:t>Hyper Care</w:t>
            </w:r>
          </w:p>
        </w:tc>
        <w:tc>
          <w:tcPr>
            <w:tcW w:w="600" w:type="dxa"/>
          </w:tcPr>
          <w:p>
            <w:pPr>
              <w:spacing w:before="0" w:after="0" w:line="240" w:lineRule="auto"/>
              <w:jc w:val="center"/>
            </w:pPr>
            <w:r>
              <w:rPr>
                <w:sz w:val="16"/>
              </w:rPr>
              <w:t>32</w:t>
            </w:r>
          </w:p>
        </w:tc>
        <w:tc>
          <w:tcPr>
            <w:tcW w:w="600" w:type="dxa"/>
          </w:tcPr>
          <w:p>
            <w:pPr>
              <w:spacing w:before="0" w:after="0" w:line="240" w:lineRule="auto"/>
              <w:jc w:val="center"/>
            </w:pPr>
            <w:r>
              <w:rPr>
                <w:sz w:val="16"/>
              </w:rPr>
              <w:t>6</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shd w:val="clear" w:color="auto" w:fill="27166F"/>
          </w:tcPr>
          <w:p>
            <w:pPr>
              <w:spacing w:before="0" w:after="0" w:line="240" w:lineRule="auto"/>
              <w:jc w:val="center"/>
            </w:pPr>
          </w:p>
        </w:tc>
        <w:tc>
          <w:tcPr>
            <w:tcW w:w="608" w:type="dxa"/>
            <w:shd w:val="clear" w:color="auto" w:fill="27166F"/>
          </w:tcPr>
          <w:p>
            <w:pPr>
              <w:spacing w:before="0" w:after="0" w:line="240" w:lineRule="auto"/>
              <w:jc w:val="center"/>
            </w:pPr>
          </w:p>
        </w:tc>
      </w:tr>
      <w:tr>
        <w:tc>
          <w:tcPr>
            <w:tcW w:w="550" w:type="dxa"/>
          </w:tcPr>
          <w:p>
            <w:pPr>
              <w:spacing w:before="0" w:after="0" w:line="240" w:lineRule="auto"/>
            </w:pPr>
            <w:r>
              <w:rPr>
                <w:sz w:val="16"/>
              </w:rPr>
              <w:t>9</w:t>
            </w:r>
          </w:p>
        </w:tc>
        <w:tc>
          <w:tcPr>
            <w:tcW w:w="900" w:type="dxa"/>
            <w:vMerge/>
          </w:tcPr>
          <w:p>
            <w:pPr>
              <w:spacing w:before="0" w:after="0" w:line="240" w:lineRule="auto"/>
            </w:pPr>
          </w:p>
        </w:tc>
        <w:tc>
          <w:tcPr>
            <w:tcW w:w="2250" w:type="dxa"/>
          </w:tcPr>
          <w:p>
            <w:pPr>
              <w:spacing w:before="0" w:after="0" w:line="240" w:lineRule="auto"/>
            </w:pPr>
            <w:r>
              <w:rPr>
                <w:sz w:val="16"/>
              </w:rPr>
              <w:t>Project Handover</w:t>
            </w:r>
          </w:p>
        </w:tc>
        <w:tc>
          <w:tcPr>
            <w:tcW w:w="600" w:type="dxa"/>
          </w:tcPr>
          <w:p>
            <w:pPr>
              <w:spacing w:before="0" w:after="0" w:line="240" w:lineRule="auto"/>
              <w:jc w:val="center"/>
            </w:pPr>
            <w:r>
              <w:rPr>
                <w:sz w:val="16"/>
              </w:rPr>
              <w:t>38</w:t>
            </w:r>
          </w:p>
        </w:tc>
        <w:tc>
          <w:tcPr>
            <w:tcW w:w="600" w:type="dxa"/>
          </w:tcPr>
          <w:p>
            <w:pPr>
              <w:spacing w:before="0" w:after="0" w:line="240" w:lineRule="auto"/>
              <w:jc w:val="center"/>
            </w:pPr>
            <w:r>
              <w:rPr>
                <w:sz w:val="16"/>
              </w:rPr>
              <w:t>2</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shd w:val="clear" w:color="auto" w:fill="27166F"/>
          </w:tcPr>
          <w:p>
            <w:pPr>
              <w:spacing w:before="0" w:after="0" w:line="240" w:lineRule="auto"/>
              <w:jc w:val="center"/>
            </w:pPr>
          </w:p>
        </w:tc>
      </w:tr>
      <w:tr>
        <w:tc>
          <w:tcPr>
            <w:tcW w:w="550" w:type="dxa"/>
          </w:tcPr>
          <w:p>
            <w:pPr>
              <w:spacing w:before="0" w:after="0" w:line="240" w:lineRule="auto"/>
            </w:pPr>
            <w:r>
              <w:rPr>
                <w:sz w:val="16"/>
              </w:rPr>
              <w:t>10</w:t>
            </w:r>
          </w:p>
        </w:tc>
        <w:tc>
          <w:tcPr>
            <w:tcW w:w="900" w:type="dxa"/>
            <w:vMerge w:val="restart"/>
          </w:tcPr>
          <w:p>
            <w:pPr>
              <w:spacing w:before="0" w:after="0" w:line="240" w:lineRule="auto"/>
            </w:pPr>
            <w:r>
              <w:rPr>
                <w:b/>
                <w:sz w:val="16"/>
              </w:rPr>
              <w:t>Supply</w:t>
            </w:r>
          </w:p>
        </w:tc>
        <w:tc>
          <w:tcPr>
            <w:tcW w:w="2250" w:type="dxa"/>
          </w:tcPr>
          <w:p>
            <w:pPr>
              <w:spacing w:before="0" w:after="0" w:line="240" w:lineRule="auto"/>
            </w:pPr>
            <w:r>
              <w:rPr>
                <w:sz w:val="16"/>
              </w:rPr>
              <w:t>Bill of Material finalisation and procurement</w:t>
            </w:r>
          </w:p>
        </w:tc>
        <w:tc>
          <w:tcPr>
            <w:tcW w:w="600" w:type="dxa"/>
          </w:tcPr>
          <w:p>
            <w:pPr>
              <w:spacing w:before="0" w:after="0" w:line="240" w:lineRule="auto"/>
              <w:jc w:val="center"/>
            </w:pPr>
            <w:r>
              <w:rPr>
                <w:sz w:val="16"/>
              </w:rPr>
              <w:t>2</w:t>
            </w:r>
          </w:p>
        </w:tc>
        <w:tc>
          <w:tcPr>
            <w:tcW w:w="600" w:type="dxa"/>
          </w:tcPr>
          <w:p>
            <w:pPr>
              <w:spacing w:before="0" w:after="0" w:line="240" w:lineRule="auto"/>
              <w:jc w:val="center"/>
            </w:pPr>
            <w:r>
              <w:rPr>
                <w:sz w:val="16"/>
              </w:rPr>
              <w:t>2</w:t>
            </w:r>
          </w:p>
        </w:tc>
        <w:tc>
          <w:tcPr>
            <w:tcW w:w="605" w:type="dxa"/>
            <w:shd w:val="clear" w:color="auto" w:fill="9B8FC4"/>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11</w:t>
            </w:r>
          </w:p>
        </w:tc>
        <w:tc>
          <w:tcPr>
            <w:tcW w:w="900" w:type="dxa"/>
            <w:vMerge/>
          </w:tcPr>
          <w:p>
            <w:pPr>
              <w:spacing w:before="0" w:after="0" w:line="240" w:lineRule="auto"/>
            </w:pPr>
          </w:p>
        </w:tc>
        <w:tc>
          <w:tcPr>
            <w:tcW w:w="2250" w:type="dxa"/>
          </w:tcPr>
          <w:p>
            <w:pPr>
              <w:spacing w:before="0" w:after="0" w:line="240" w:lineRule="auto"/>
            </w:pPr>
            <w:r>
              <w:rPr>
                <w:sz w:val="16"/>
              </w:rPr>
              <w:t>Material delivery</w:t>
            </w:r>
          </w:p>
        </w:tc>
        <w:tc>
          <w:tcPr>
            <w:tcW w:w="600" w:type="dxa"/>
          </w:tcPr>
          <w:p>
            <w:pPr>
              <w:spacing w:before="0" w:after="0" w:line="240" w:lineRule="auto"/>
              <w:jc w:val="center"/>
            </w:pPr>
            <w:r>
              <w:rPr>
                <w:sz w:val="16"/>
              </w:rPr>
              <w:t>4</w:t>
            </w:r>
          </w:p>
        </w:tc>
        <w:tc>
          <w:tcPr>
            <w:tcW w:w="600" w:type="dxa"/>
          </w:tcPr>
          <w:p>
            <w:pPr>
              <w:spacing w:before="0" w:after="0" w:line="240" w:lineRule="auto"/>
              <w:jc w:val="center"/>
            </w:pPr>
            <w:r>
              <w:rPr>
                <w:sz w:val="16"/>
              </w:rPr>
              <w:t>6</w:t>
            </w:r>
          </w:p>
        </w:tc>
        <w:tc>
          <w:tcPr>
            <w:tcW w:w="605" w:type="dxa"/>
            <w:shd w:val="clear" w:color="auto" w:fill="9B8FC4"/>
          </w:tcPr>
          <w:p>
            <w:pPr>
              <w:spacing w:before="0" w:after="0" w:line="240" w:lineRule="auto"/>
              <w:jc w:val="center"/>
            </w:pPr>
          </w:p>
        </w:tc>
        <w:tc>
          <w:tcPr>
            <w:tcW w:w="605" w:type="dxa"/>
            <w:shd w:val="clear" w:color="auto" w:fill="9B8FC4"/>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12</w:t>
            </w:r>
          </w:p>
        </w:tc>
        <w:tc>
          <w:tcPr>
            <w:tcW w:w="900" w:type="dxa"/>
            <w:vMerge/>
          </w:tcPr>
          <w:p>
            <w:pPr>
              <w:spacing w:before="0" w:after="0" w:line="240" w:lineRule="auto"/>
            </w:pPr>
          </w:p>
        </w:tc>
        <w:tc>
          <w:tcPr>
            <w:tcW w:w="2250" w:type="dxa"/>
          </w:tcPr>
          <w:p>
            <w:pPr>
              <w:spacing w:before="0" w:after="0" w:line="240" w:lineRule="auto"/>
            </w:pPr>
            <w:r>
              <w:rPr>
                <w:sz w:val="16"/>
              </w:rPr>
              <w:t>Material readiness and staging</w:t>
            </w:r>
          </w:p>
        </w:tc>
        <w:tc>
          <w:tcPr>
            <w:tcW w:w="600" w:type="dxa"/>
          </w:tcPr>
          <w:p>
            <w:pPr>
              <w:spacing w:before="0" w:after="0" w:line="240" w:lineRule="auto"/>
              <w:jc w:val="center"/>
            </w:pPr>
            <w:r>
              <w:rPr>
                <w:sz w:val="16"/>
              </w:rPr>
              <w:t>10</w:t>
            </w:r>
          </w:p>
        </w:tc>
        <w:tc>
          <w:tcPr>
            <w:tcW w:w="600" w:type="dxa"/>
          </w:tcPr>
          <w:p>
            <w:pPr>
              <w:spacing w:before="0" w:after="0" w:line="240" w:lineRule="auto"/>
              <w:jc w:val="center"/>
            </w:pPr>
            <w:r>
              <w:rPr>
                <w:sz w:val="16"/>
              </w:rPr>
              <w:t>4</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shd w:val="clear" w:color="auto" w:fill="9B8FC4"/>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r>
        <w:tc>
          <w:tcPr>
            <w:tcW w:w="550" w:type="dxa"/>
          </w:tcPr>
          <w:p>
            <w:pPr>
              <w:spacing w:before="0" w:after="0" w:line="240" w:lineRule="auto"/>
            </w:pPr>
            <w:r>
              <w:rPr>
                <w:sz w:val="16"/>
              </w:rPr>
              <w:t>13</w:t>
            </w:r>
          </w:p>
        </w:tc>
        <w:tc>
          <w:tcPr>
            <w:tcW w:w="900" w:type="dxa"/>
            <w:vMerge/>
          </w:tcPr>
          <w:p>
            <w:pPr>
              <w:spacing w:before="0" w:after="0" w:line="240" w:lineRule="auto"/>
            </w:pPr>
          </w:p>
        </w:tc>
        <w:tc>
          <w:tcPr>
            <w:tcW w:w="2250" w:type="dxa"/>
          </w:tcPr>
          <w:p>
            <w:pPr>
              <w:spacing w:before="0" w:after="0" w:line="240" w:lineRule="auto"/>
            </w:pPr>
            <w:r>
              <w:rPr>
                <w:sz w:val="16"/>
              </w:rPr>
              <w:t>Interfacing hardware installation and commissioning</w:t>
            </w:r>
          </w:p>
        </w:tc>
        <w:tc>
          <w:tcPr>
            <w:tcW w:w="600" w:type="dxa"/>
          </w:tcPr>
          <w:p>
            <w:pPr>
              <w:spacing w:before="0" w:after="0" w:line="240" w:lineRule="auto"/>
              <w:jc w:val="center"/>
            </w:pPr>
            <w:r>
              <w:rPr>
                <w:sz w:val="16"/>
              </w:rPr>
              <w:t>14</w:t>
            </w:r>
          </w:p>
        </w:tc>
        <w:tc>
          <w:tcPr>
            <w:tcW w:w="600" w:type="dxa"/>
          </w:tcPr>
          <w:p>
            <w:pPr>
              <w:spacing w:before="0" w:after="0" w:line="240" w:lineRule="auto"/>
              <w:jc w:val="center"/>
            </w:pPr>
            <w:r>
              <w:rPr>
                <w:sz w:val="16"/>
              </w:rPr>
              <w:t>8</w:t>
            </w: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shd w:val="clear" w:color="auto" w:fill="9B8FC4"/>
          </w:tcPr>
          <w:p>
            <w:pPr>
              <w:spacing w:before="0" w:after="0" w:line="240" w:lineRule="auto"/>
              <w:jc w:val="center"/>
            </w:pPr>
          </w:p>
        </w:tc>
        <w:tc>
          <w:tcPr>
            <w:tcW w:w="605" w:type="dxa"/>
            <w:shd w:val="clear" w:color="auto" w:fill="9B8FC4"/>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5" w:type="dxa"/>
          </w:tcPr>
          <w:p>
            <w:pPr>
              <w:spacing w:before="0" w:after="0" w:line="240" w:lineRule="auto"/>
              <w:jc w:val="center"/>
            </w:pPr>
          </w:p>
        </w:tc>
        <w:tc>
          <w:tcPr>
            <w:tcW w:w="608" w:type="dxa"/>
          </w:tcPr>
          <w:p>
            <w:pPr>
              <w:spacing w:before="0" w:after="0" w:line="240" w:lineRule="auto"/>
              <w:jc w:val="center"/>
            </w:pPr>
          </w:p>
        </w:tc>
      </w:tr>
    </w:tbl>
    <w:p>
      <w:pPr>
        <w:pStyle w:val="Caption"/>
      </w:pPr>
      <w:r>
        <w:rPr>
          <w:b w:val="0"/>
        </w:rPr>
        <w:t>Table: Project timeline – 9 months from kick‑off</w:t>
      </w:r>
    </w:p>
    <w:p>
      <w:pPr/>
      <w:r>
        <w:rPr>
          <w:b/>
        </w:rPr>
        <w:t>Basis of the schedule:</w:t>
      </w:r>
    </w:p>
    <w:p>
      <w:pPr>
        <w:pStyle w:val="ListParagraph"/>
        <w:numPr>
          <w:ilvl w:val="0"/>
          <w:numId w:val="48"/>
        </w:numPr>
      </w:pPr>
      <w:r>
        <w:rPr>
          <w:b w:val="0"/>
        </w:rPr>
        <w:t>Week 1 is the project kick‑off week. All dates are working weeks and assume the customer stakeholders, third party OEMs and site access are available as set out in the Roles and Responsibilities section.</w:t>
      </w:r>
    </w:p>
    <w:p>
      <w:pPr>
        <w:pStyle w:val="ListParagraph"/>
        <w:numPr>
          <w:ilvl w:val="0"/>
          <w:numId w:val="48"/>
        </w:numPr>
      </w:pPr>
      <w:r>
        <w:rPr>
          <w:b w:val="0"/>
        </w:rPr>
        <w:t>The schedule is driven by the sign off checkpoints. BRD sign off at the end of week 3, FDS and ICD sign off at the end of week 8, and UAT sign off at the end of week 28 are the gates for the following phase. A delay at any gate moves the remaining schedule by the same period.</w:t>
      </w:r>
    </w:p>
    <w:p>
      <w:pPr>
        <w:pStyle w:val="ListParagraph"/>
        <w:numPr>
          <w:ilvl w:val="0"/>
          <w:numId w:val="48"/>
        </w:numPr>
      </w:pPr>
      <w:r>
        <w:rPr>
          <w:b w:val="0"/>
        </w:rPr>
        <w:t>Interfacing hardware is procured and delivered in parallel with design and development, and is installed and commissioned between weeks 14 and 21, so that machine data is available before User Acceptance Testing begins in week 24.</w:t>
      </w:r>
    </w:p>
    <w:p>
      <w:pPr>
        <w:pStyle w:val="ListParagraph"/>
        <w:numPr>
          <w:ilvl w:val="0"/>
          <w:numId w:val="48"/>
        </w:numPr>
      </w:pPr>
      <w:r>
        <w:rPr>
          <w:b w:val="0"/>
        </w:rPr>
        <w:t>Material delivery of 6 weeks assumes the interfacing hardware in the Bill of Material is available on standard lead times. Imported items on extended lead times would move the commissioning window and, with it, the testing phases.</w:t>
      </w:r>
    </w:p>
    <w:p>
      <w:pPr>
        <w:pStyle w:val="ListParagraph"/>
        <w:numPr>
          <w:ilvl w:val="0"/>
          <w:numId w:val="48"/>
        </w:numPr>
      </w:pPr>
      <w:r>
        <w:rPr>
          <w:b w:val="0"/>
        </w:rPr>
        <w:t>Machines that are new or under refurbishment, and the machines still to be reconciled in Unit‑4, are to be available for interfacing before the commissioning window closes. Machines handed over later are addressed by change request.</w:t>
      </w:r>
    </w:p>
    <w:p>
      <w:pPr>
        <w:pStyle w:val="ListParagraph"/>
        <w:numPr>
          <w:ilvl w:val="0"/>
          <w:numId w:val="48"/>
        </w:numPr>
      </w:pPr>
      <w:r>
        <w:rPr>
          <w:b w:val="0"/>
        </w:rPr>
        <w:t>Hyper Care runs for 6 weeks after Go Live, followed by handover. A longer hyper care or an extended support period can be offered separately.</w:t>
      </w:r>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 w:numId="44">
    <w:abstractNumId w:val="6"/>
    <w:lvlOverride w:ilvl="0">
      <w:startOverride w:val="1"/>
    </w:lvlOverride>
  </w:num>
  <w:num w:numId="45">
    <w:abstractNumId w:val="6"/>
    <w:lvlOverride w:ilvl="0">
      <w:startOverride w:val="1"/>
    </w:lvlOverride>
  </w:num>
  <w:num w:numId="46">
    <w:abstractNumId w:val="6"/>
    <w:lvlOverride w:ilvl="0">
      <w:startOverride w:val="1"/>
    </w:lvlOverride>
  </w:num>
  <w:num w:numId="47">
    <w:abstractNumId w:val="6"/>
    <w:lvlOverride w:ilvl="0">
      <w:startOverride w:val="1"/>
    </w:lvlOverride>
  </w:num>
  <w:num w:numId="48">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