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r>
        <w:rPr>
          <w:b w:val="0"/>
        </w:rPr>
        <w:t>The interfacing approach recommended for each controller family in Unit‑4 is given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450"/>
        <w:gridCol w:w="1400"/>
        <w:gridCol w:w="1800"/>
        <w:gridCol w:w="1600"/>
        <w:gridCol w:w="1498"/>
      </w:tblGrid>
      <w:tr>
        <w:trPr>
          <w:tblHeader/>
        </w:trPr>
        <w:tc>
          <w:tcPr>
            <w:tcW w:type="dxa" w:w="1700"/>
          </w:tcPr>
          <w:p>
            <w:pPr>
              <w:spacing w:before="0" w:after="0" w:line="240" w:lineRule="auto"/>
            </w:pPr>
            <w:r>
              <w:rPr>
                <w:b w:val="0"/>
                <w:i w:val="0"/>
                <w:sz w:val="16"/>
              </w:rPr>
              <w:t>PLC Family</w:t>
            </w:r>
          </w:p>
        </w:tc>
        <w:tc>
          <w:tcPr>
            <w:tcW w:type="dxa" w:w="1900"/>
          </w:tcPr>
          <w:p>
            <w:pPr>
              <w:spacing w:before="0" w:after="0" w:line="240" w:lineRule="auto"/>
            </w:pPr>
            <w:r>
              <w:rPr>
                <w:b w:val="0"/>
                <w:i w:val="0"/>
                <w:sz w:val="16"/>
              </w:rPr>
              <w:t>Machines</w:t>
            </w:r>
          </w:p>
        </w:tc>
        <w:tc>
          <w:tcPr>
            <w:tcW w:type="dxa" w:w="450"/>
          </w:tcPr>
          <w:p>
            <w:pPr>
              <w:spacing w:before="0" w:after="0" w:line="240" w:lineRule="auto"/>
            </w:pPr>
            <w:r>
              <w:rPr>
                <w:b w:val="0"/>
                <w:i w:val="0"/>
                <w:sz w:val="16"/>
              </w:rPr>
              <w:t>Qty</w:t>
            </w:r>
          </w:p>
        </w:tc>
        <w:tc>
          <w:tcPr>
            <w:tcW w:type="dxa" w:w="1400"/>
          </w:tcPr>
          <w:p>
            <w:pPr>
              <w:spacing w:before="0" w:after="0" w:line="240" w:lineRule="auto"/>
            </w:pPr>
            <w:r>
              <w:rPr>
                <w:b w:val="0"/>
                <w:i w:val="0"/>
                <w:sz w:val="16"/>
              </w:rPr>
              <w:t>Existing Communication</w:t>
            </w:r>
          </w:p>
        </w:tc>
        <w:tc>
          <w:tcPr>
            <w:tcW w:type="dxa" w:w="1800"/>
          </w:tcPr>
          <w:p>
            <w:pPr>
              <w:spacing w:before="0" w:after="0" w:line="240" w:lineRule="auto"/>
            </w:pPr>
            <w:r>
              <w:rPr>
                <w:b w:val="0"/>
                <w:i w:val="0"/>
                <w:sz w:val="16"/>
              </w:rPr>
              <w:t>Recommended Hardware</w:t>
            </w:r>
          </w:p>
        </w:tc>
        <w:tc>
          <w:tcPr>
            <w:tcW w:type="dxa" w:w="1600"/>
          </w:tcPr>
          <w:p>
            <w:pPr>
              <w:spacing w:before="0" w:after="0" w:line="240" w:lineRule="auto"/>
            </w:pPr>
            <w:r>
              <w:rPr>
                <w:b w:val="0"/>
                <w:i w:val="0"/>
                <w:sz w:val="16"/>
              </w:rPr>
              <w:t>Kepware Driver</w:t>
            </w:r>
          </w:p>
        </w:tc>
        <w:tc>
          <w:tcPr>
            <w:tcW w:type="dxa" w:w="1498"/>
          </w:tcPr>
          <w:p>
            <w:pPr>
              <w:spacing w:before="0" w:after="0" w:line="240" w:lineRule="auto"/>
            </w:pPr>
            <w:r>
              <w:rPr>
                <w:b w:val="0"/>
                <w:i w:val="0"/>
                <w:sz w:val="16"/>
              </w:rPr>
              <w:t>Remarks</w:t>
            </w:r>
          </w:p>
        </w:tc>
      </w:tr>
      <w:tr>
        <w:tc>
          <w:tcPr>
            <w:tcW w:type="dxa" w:w="1700"/>
          </w:tcPr>
          <w:p>
            <w:pPr>
              <w:spacing w:before="0" w:after="0" w:line="240" w:lineRule="auto"/>
            </w:pPr>
            <w:r>
              <w:rPr>
                <w:b w:val="0"/>
                <w:i w:val="0"/>
                <w:sz w:val="16"/>
              </w:rPr>
              <w:t>Siemens S7‑300 (CPU 313C‑2DP, 315‑2DP)</w:t>
            </w:r>
          </w:p>
        </w:tc>
        <w:tc>
          <w:tcPr>
            <w:tcW w:type="dxa" w:w="1900"/>
          </w:tcPr>
          <w:p>
            <w:pPr>
              <w:spacing w:before="0" w:after="0" w:line="240" w:lineRule="auto"/>
            </w:pPr>
            <w:r>
              <w:rPr>
                <w:b w:val="0"/>
                <w:i w:val="0"/>
                <w:sz w:val="16"/>
              </w:rPr>
              <w:t>CFE‑1, CFE‑2, 2 Roll Calender, Bias Cutter</w:t>
            </w:r>
          </w:p>
        </w:tc>
        <w:tc>
          <w:tcPr>
            <w:tcW w:type="dxa" w:w="450"/>
          </w:tcPr>
          <w:p>
            <w:pPr>
              <w:spacing w:before="0" w:after="0" w:line="240" w:lineRule="auto"/>
            </w:pPr>
            <w:r>
              <w:rPr>
                <w:b w:val="0"/>
                <w:i w:val="0"/>
                <w:sz w:val="16"/>
              </w:rPr>
              <w:t>12</w:t>
            </w:r>
          </w:p>
        </w:tc>
        <w:tc>
          <w:tcPr>
            <w:tcW w:type="dxa" w:w="1400"/>
          </w:tcPr>
          <w:p>
            <w:pPr>
              <w:spacing w:before="0" w:after="0" w:line="240" w:lineRule="auto"/>
            </w:pPr>
            <w:r>
              <w:rPr>
                <w:b w:val="0"/>
                <w:i w:val="0"/>
                <w:sz w:val="16"/>
              </w:rPr>
              <w:t>MPI / Profibus DP</w:t>
            </w:r>
          </w:p>
        </w:tc>
        <w:tc>
          <w:tcPr>
            <w:tcW w:type="dxa" w:w="1800"/>
          </w:tcPr>
          <w:p>
            <w:pPr>
              <w:spacing w:before="0" w:after="0" w:line="240" w:lineRule="auto"/>
            </w:pPr>
            <w:r>
              <w:rPr>
                <w:b/>
                <w:i w:val="0"/>
                <w:sz w:val="16"/>
              </w:rPr>
              <w:t>CP343‑1 Ethernet Communication Processor</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Preferred OEM Ethernet interface for S7‑300.</w:t>
            </w:r>
          </w:p>
        </w:tc>
      </w:tr>
      <w:tr>
        <w:tc>
          <w:tcPr>
            <w:tcW w:type="dxa" w:w="1700"/>
          </w:tcPr>
          <w:p>
            <w:pPr>
              <w:spacing w:before="0" w:after="0" w:line="240" w:lineRule="auto"/>
            </w:pPr>
            <w:r>
              <w:rPr>
                <w:b w:val="0"/>
                <w:i w:val="0"/>
                <w:sz w:val="16"/>
              </w:rPr>
              <w:t>Siemens S7‑1200 (CPU 1214C)</w:t>
            </w:r>
          </w:p>
        </w:tc>
        <w:tc>
          <w:tcPr>
            <w:tcW w:type="dxa" w:w="1900"/>
          </w:tcPr>
          <w:p>
            <w:pPr>
              <w:spacing w:before="0" w:after="0" w:line="240" w:lineRule="auto"/>
            </w:pPr>
            <w:r>
              <w:rPr>
                <w:b w:val="0"/>
                <w:i w:val="0"/>
                <w:sz w:val="16"/>
              </w:rPr>
              <w:t>STU‑32, STU‑33, STU‑34, CFE‑2 (1214PN)</w:t>
            </w:r>
          </w:p>
        </w:tc>
        <w:tc>
          <w:tcPr>
            <w:tcW w:type="dxa" w:w="450"/>
          </w:tcPr>
          <w:p>
            <w:pPr>
              <w:spacing w:before="0" w:after="0" w:line="240" w:lineRule="auto"/>
            </w:pPr>
            <w:r>
              <w:rPr>
                <w:b w:val="0"/>
                <w:i w:val="0"/>
                <w:sz w:val="16"/>
              </w:rPr>
              <w:t>4</w:t>
            </w:r>
          </w:p>
        </w:tc>
        <w:tc>
          <w:tcPr>
            <w:tcW w:type="dxa" w:w="1400"/>
          </w:tcPr>
          <w:p>
            <w:pPr>
              <w:spacing w:before="0" w:after="0" w:line="240" w:lineRule="auto"/>
            </w:pPr>
            <w:r>
              <w:rPr>
                <w:b w:val="0"/>
                <w:i w:val="0"/>
                <w:sz w:val="16"/>
              </w:rPr>
              <w:t>Built‑in Ethernet (Profinet)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Use built‑in Ethernet. NAT provides network isolation and avoids IP conflicts.</w:t>
            </w:r>
          </w:p>
        </w:tc>
      </w:tr>
      <w:tr>
        <w:tc>
          <w:tcPr>
            <w:tcW w:type="dxa" w:w="1700"/>
          </w:tcPr>
          <w:p>
            <w:pPr>
              <w:spacing w:before="0" w:after="0" w:line="240" w:lineRule="auto"/>
            </w:pPr>
            <w:r>
              <w:rPr>
                <w:b w:val="0"/>
                <w:i w:val="0"/>
                <w:sz w:val="16"/>
              </w:rPr>
              <w:t>Siemens S7‑200 (CPU 224 DC/DC/DC)</w:t>
            </w:r>
          </w:p>
        </w:tc>
        <w:tc>
          <w:tcPr>
            <w:tcW w:type="dxa" w:w="1900"/>
          </w:tcPr>
          <w:p>
            <w:pPr>
              <w:spacing w:before="0" w:after="0" w:line="240" w:lineRule="auto"/>
            </w:pPr>
            <w:r>
              <w:rPr>
                <w:b w:val="0"/>
                <w:i w:val="0"/>
                <w:sz w:val="16"/>
              </w:rPr>
              <w:t>Fabric Cutter (Multislitter)</w:t>
            </w:r>
          </w:p>
        </w:tc>
        <w:tc>
          <w:tcPr>
            <w:tcW w:type="dxa" w:w="450"/>
          </w:tcPr>
          <w:p>
            <w:pPr>
              <w:spacing w:before="0" w:after="0" w:line="240" w:lineRule="auto"/>
            </w:pPr>
            <w:r>
              <w:rPr>
                <w:b w:val="0"/>
                <w:i w:val="0"/>
                <w:sz w:val="16"/>
              </w:rPr>
              <w:t>1</w:t>
            </w:r>
          </w:p>
        </w:tc>
        <w:tc>
          <w:tcPr>
            <w:tcW w:type="dxa" w:w="1400"/>
          </w:tcPr>
          <w:p>
            <w:pPr>
              <w:spacing w:before="0" w:after="0" w:line="240" w:lineRule="auto"/>
            </w:pPr>
            <w:r>
              <w:rPr>
                <w:b w:val="0"/>
                <w:i w:val="0"/>
                <w:sz w:val="16"/>
              </w:rPr>
              <w:t>PPI / RS485</w:t>
            </w:r>
          </w:p>
        </w:tc>
        <w:tc>
          <w:tcPr>
            <w:tcW w:type="dxa" w:w="1800"/>
          </w:tcPr>
          <w:p>
            <w:pPr>
              <w:spacing w:before="0" w:after="0" w:line="240" w:lineRule="auto"/>
            </w:pPr>
            <w:r>
              <w:rPr>
                <w:b/>
                <w:i w:val="0"/>
                <w:sz w:val="16"/>
              </w:rPr>
              <w:t>CP243‑1 Ethernet Module</w:t>
            </w:r>
          </w:p>
        </w:tc>
        <w:tc>
          <w:tcPr>
            <w:tcW w:type="dxa" w:w="1600"/>
          </w:tcPr>
          <w:p>
            <w:pPr>
              <w:spacing w:before="0" w:after="0" w:line="240" w:lineRule="auto"/>
            </w:pPr>
            <w:r>
              <w:rPr>
                <w:b w:val="0"/>
                <w:i w:val="0"/>
                <w:sz w:val="16"/>
              </w:rPr>
              <w:t>Siemens S7‑200 Ethernet Driver</w:t>
            </w:r>
          </w:p>
        </w:tc>
        <w:tc>
          <w:tcPr>
            <w:tcW w:type="dxa" w:w="1498"/>
          </w:tcPr>
          <w:p>
            <w:pPr>
              <w:spacing w:before="0" w:after="0" w:line="240" w:lineRule="auto"/>
            </w:pPr>
            <w:r>
              <w:rPr>
                <w:b w:val="0"/>
                <w:i w:val="0"/>
                <w:sz w:val="16"/>
              </w:rPr>
              <w:t>Preferred OEM Ethernet communication.</w:t>
            </w:r>
          </w:p>
        </w:tc>
      </w:tr>
      <w:tr>
        <w:tc>
          <w:tcPr>
            <w:tcW w:type="dxa" w:w="1700"/>
          </w:tcPr>
          <w:p>
            <w:pPr>
              <w:spacing w:before="0" w:after="0" w:line="240" w:lineRule="auto"/>
            </w:pPr>
            <w:r>
              <w:rPr>
                <w:b w:val="0"/>
                <w:i w:val="0"/>
                <w:sz w:val="16"/>
              </w:rPr>
              <w:t>Mitsubishi FX2N (48MR / 64MR / 84MR)</w:t>
            </w:r>
          </w:p>
        </w:tc>
        <w:tc>
          <w:tcPr>
            <w:tcW w:type="dxa" w:w="1900"/>
          </w:tcPr>
          <w:p>
            <w:pPr>
              <w:spacing w:before="0" w:after="0" w:line="240" w:lineRule="auto"/>
            </w:pPr>
            <w:r>
              <w:rPr>
                <w:b w:val="0"/>
                <w:i w:val="0"/>
                <w:sz w:val="16"/>
              </w:rPr>
              <w:t>Bead Winding‑2, STU‑1, STU‑3 to STU‑31, BTU‑16, BTU‑24 to BTU‑27</w:t>
            </w:r>
          </w:p>
        </w:tc>
        <w:tc>
          <w:tcPr>
            <w:tcW w:type="dxa" w:w="450"/>
          </w:tcPr>
          <w:p>
            <w:pPr>
              <w:spacing w:before="0" w:after="0" w:line="240" w:lineRule="auto"/>
            </w:pPr>
            <w:r>
              <w:rPr>
                <w:b w:val="0"/>
                <w:i w:val="0"/>
                <w:sz w:val="16"/>
              </w:rPr>
              <w:t>31</w:t>
            </w:r>
          </w:p>
        </w:tc>
        <w:tc>
          <w:tcPr>
            <w:tcW w:type="dxa" w:w="1400"/>
          </w:tcPr>
          <w:p>
            <w:pPr>
              <w:spacing w:before="0" w:after="0" w:line="240" w:lineRule="auto"/>
            </w:pPr>
            <w:r>
              <w:rPr>
                <w:b w:val="0"/>
                <w:i w:val="0"/>
                <w:sz w:val="16"/>
              </w:rPr>
              <w:t>RS232</w:t>
            </w:r>
          </w:p>
        </w:tc>
        <w:tc>
          <w:tcPr>
            <w:tcW w:type="dxa" w:w="1800"/>
          </w:tcPr>
          <w:p>
            <w:pPr>
              <w:spacing w:before="0" w:after="0" w:line="240" w:lineRule="auto"/>
            </w:pPr>
            <w:r>
              <w:rPr>
                <w:b/>
                <w:i w:val="0"/>
                <w:sz w:val="16"/>
              </w:rPr>
              <w:t>OEM Ethernet Communication Module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Legacy PLC; Ethernet enablement required.</w:t>
            </w:r>
          </w:p>
        </w:tc>
      </w:tr>
      <w:tr>
        <w:tc>
          <w:tcPr>
            <w:tcW w:type="dxa" w:w="1700"/>
          </w:tcPr>
          <w:p>
            <w:pPr>
              <w:spacing w:before="0" w:after="0" w:line="240" w:lineRule="auto"/>
            </w:pPr>
            <w:r>
              <w:rPr>
                <w:b w:val="0"/>
                <w:i w:val="0"/>
                <w:sz w:val="16"/>
              </w:rPr>
              <w:t>Mitsubishi FX3G</w:t>
            </w:r>
          </w:p>
        </w:tc>
        <w:tc>
          <w:tcPr>
            <w:tcW w:type="dxa" w:w="1900"/>
          </w:tcPr>
          <w:p>
            <w:pPr>
              <w:spacing w:before="0" w:after="0" w:line="240" w:lineRule="auto"/>
            </w:pPr>
            <w:r>
              <w:rPr>
                <w:b w:val="0"/>
                <w:i w:val="0"/>
                <w:sz w:val="16"/>
              </w:rPr>
              <w:t>Long Cutter, Runout‑3</w:t>
            </w:r>
          </w:p>
        </w:tc>
        <w:tc>
          <w:tcPr>
            <w:tcW w:type="dxa" w:w="450"/>
          </w:tcPr>
          <w:p>
            <w:pPr>
              <w:spacing w:before="0" w:after="0" w:line="240" w:lineRule="auto"/>
            </w:pPr>
            <w:r>
              <w:rPr>
                <w:b w:val="0"/>
                <w:i w:val="0"/>
                <w:sz w:val="16"/>
              </w:rPr>
              <w:t>2</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FX3G Ethernet Communication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FX3U</w:t>
            </w:r>
          </w:p>
        </w:tc>
        <w:tc>
          <w:tcPr>
            <w:tcW w:type="dxa" w:w="1900"/>
          </w:tcPr>
          <w:p>
            <w:pPr>
              <w:spacing w:before="0" w:after="0" w:line="240" w:lineRule="auto"/>
            </w:pPr>
            <w:r>
              <w:rPr>
                <w:b w:val="0"/>
                <w:i w:val="0"/>
                <w:sz w:val="16"/>
              </w:rPr>
              <w:t>Bead Winding‑1, Runout‑4, Runout‑5</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FX3U‑ENET Ethernet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FX5U</w:t>
            </w:r>
          </w:p>
        </w:tc>
        <w:tc>
          <w:tcPr>
            <w:tcW w:type="dxa" w:w="1900"/>
          </w:tcPr>
          <w:p>
            <w:pPr>
              <w:spacing w:before="0" w:after="0" w:line="240" w:lineRule="auto"/>
            </w:pPr>
            <w:r>
              <w:rPr>
                <w:b w:val="0"/>
                <w:i w:val="0"/>
                <w:sz w:val="16"/>
              </w:rPr>
              <w:t>STU‑2, Runout‑1, Runout‑2</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Built‑in Ethernet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Built‑in Ethernet retained; NAT for isolation.</w:t>
            </w:r>
          </w:p>
        </w:tc>
      </w:tr>
      <w:tr>
        <w:tc>
          <w:tcPr>
            <w:tcW w:type="dxa" w:w="1700"/>
          </w:tcPr>
          <w:p>
            <w:pPr>
              <w:spacing w:before="0" w:after="0" w:line="240" w:lineRule="auto"/>
            </w:pPr>
            <w:r>
              <w:rPr>
                <w:b w:val="0"/>
                <w:i w:val="0"/>
                <w:sz w:val="16"/>
              </w:rPr>
              <w:t>Allen‑Bradley CompactLogix</w:t>
            </w:r>
          </w:p>
        </w:tc>
        <w:tc>
          <w:tcPr>
            <w:tcW w:type="dxa" w:w="1900"/>
          </w:tcPr>
          <w:p>
            <w:pPr>
              <w:spacing w:before="0" w:after="0" w:line="240" w:lineRule="auto"/>
            </w:pPr>
            <w:r>
              <w:rPr>
                <w:b w:val="0"/>
                <w:i w:val="0"/>
                <w:sz w:val="16"/>
              </w:rPr>
              <w:t>Balancing‑1 to Balancing‑10</w:t>
            </w:r>
          </w:p>
        </w:tc>
        <w:tc>
          <w:tcPr>
            <w:tcW w:type="dxa" w:w="450"/>
          </w:tcPr>
          <w:p>
            <w:pPr>
              <w:spacing w:before="0" w:after="0" w:line="240" w:lineRule="auto"/>
            </w:pPr>
            <w:r>
              <w:rPr>
                <w:b w:val="0"/>
                <w:i w:val="0"/>
                <w:sz w:val="16"/>
              </w:rPr>
              <w:t>10</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Allen‑Bradley ControlLogix / CompactLogix Driver</w:t>
            </w:r>
          </w:p>
        </w:tc>
        <w:tc>
          <w:tcPr>
            <w:tcW w:type="dxa" w:w="1498"/>
          </w:tcPr>
          <w:p>
            <w:pPr>
              <w:spacing w:before="0" w:after="0" w:line="240" w:lineRule="auto"/>
            </w:pPr>
            <w:r>
              <w:rPr>
                <w:b w:val="0"/>
                <w:i w:val="0"/>
                <w:sz w:val="16"/>
              </w:rPr>
              <w:t>No additional PLC module required.</w:t>
            </w:r>
          </w:p>
        </w:tc>
      </w:tr>
      <w:tr>
        <w:tc>
          <w:tcPr>
            <w:tcW w:type="dxa" w:w="1700"/>
          </w:tcPr>
          <w:p>
            <w:pPr>
              <w:spacing w:before="0" w:after="0" w:line="240" w:lineRule="auto"/>
            </w:pPr>
            <w:r>
              <w:rPr>
                <w:b w:val="0"/>
                <w:i w:val="0"/>
                <w:sz w:val="16"/>
              </w:rPr>
              <w:t>Omron NJ101</w:t>
            </w:r>
          </w:p>
        </w:tc>
        <w:tc>
          <w:tcPr>
            <w:tcW w:type="dxa" w:w="1900"/>
          </w:tcPr>
          <w:p>
            <w:pPr>
              <w:spacing w:before="0" w:after="0" w:line="240" w:lineRule="auto"/>
            </w:pPr>
            <w:r>
              <w:rPr>
                <w:b w:val="0"/>
                <w:i w:val="0"/>
                <w:sz w:val="16"/>
              </w:rPr>
              <w:t>Runout‑6 to Runout‑11</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Omron NJ Ethernet Driver</w:t>
            </w:r>
          </w:p>
        </w:tc>
        <w:tc>
          <w:tcPr>
            <w:tcW w:type="dxa" w:w="1498"/>
          </w:tcPr>
          <w:p>
            <w:pPr>
              <w:spacing w:before="0" w:after="0" w:line="240" w:lineRule="auto"/>
            </w:pPr>
            <w:r>
              <w:rPr>
                <w:b w:val="0"/>
                <w:i w:val="0"/>
                <w:sz w:val="16"/>
              </w:rPr>
              <w:t>Use built‑in Ethernet with network isolation.</w:t>
            </w:r>
          </w:p>
        </w:tc>
      </w:tr>
      <w:tr>
        <w:tc>
          <w:tcPr>
            <w:tcW w:type="dxa" w:w="1700"/>
          </w:tcPr>
          <w:p>
            <w:pPr>
              <w:spacing w:before="0" w:after="0" w:line="240" w:lineRule="auto"/>
            </w:pPr>
            <w:r>
              <w:rPr>
                <w:b w:val="0"/>
                <w:i w:val="0"/>
                <w:sz w:val="16"/>
              </w:rPr>
              <w:t>New Machines</w:t>
            </w:r>
          </w:p>
        </w:tc>
        <w:tc>
          <w:tcPr>
            <w:tcW w:type="dxa" w:w="1900"/>
          </w:tcPr>
          <w:p>
            <w:pPr>
              <w:spacing w:before="0" w:after="0" w:line="240" w:lineRule="auto"/>
            </w:pPr>
            <w:r>
              <w:rPr>
                <w:b w:val="0"/>
                <w:i w:val="0"/>
                <w:sz w:val="16"/>
              </w:rPr>
              <w:t>STU‑35, STU‑36, RB1‑7 to RB1‑9, Curing, etc.</w:t>
            </w:r>
          </w:p>
        </w:tc>
        <w:tc>
          <w:tcPr>
            <w:tcW w:type="dxa" w:w="450"/>
          </w:tcPr>
          <w:p>
            <w:pPr>
              <w:spacing w:before="0" w:after="0" w:line="240" w:lineRule="auto"/>
            </w:pPr>
            <w:r>
              <w:rPr>
                <w:b w:val="0"/>
                <w:i w:val="0"/>
                <w:sz w:val="16"/>
              </w:rPr>
              <w:t>11</w:t>
            </w:r>
          </w:p>
        </w:tc>
        <w:tc>
          <w:tcPr>
            <w:tcW w:type="dxa" w:w="1400"/>
          </w:tcPr>
          <w:p>
            <w:pPr>
              <w:spacing w:before="0" w:after="0" w:line="240" w:lineRule="auto"/>
            </w:pPr>
            <w:r>
              <w:rPr>
                <w:b w:val="0"/>
                <w:i w:val="0"/>
                <w:sz w:val="16"/>
              </w:rPr>
              <w:t>TBD</w:t>
            </w:r>
          </w:p>
        </w:tc>
        <w:tc>
          <w:tcPr>
            <w:tcW w:type="dxa" w:w="1800"/>
          </w:tcPr>
          <w:p>
            <w:pPr>
              <w:spacing w:before="0" w:after="0" w:line="240" w:lineRule="auto"/>
            </w:pPr>
            <w:r>
              <w:rPr>
                <w:b w:val="0"/>
                <w:i w:val="0"/>
                <w:sz w:val="16"/>
              </w:rPr>
              <w:t>To be finalised after OEM details</w:t>
            </w:r>
          </w:p>
        </w:tc>
        <w:tc>
          <w:tcPr>
            <w:tcW w:type="dxa" w:w="1600"/>
          </w:tcPr>
          <w:p>
            <w:pPr>
              <w:spacing w:before="0" w:after="0" w:line="240" w:lineRule="auto"/>
            </w:pPr>
            <w:r>
              <w:rPr>
                <w:b w:val="0"/>
                <w:i w:val="0"/>
                <w:sz w:val="16"/>
              </w:rPr>
              <w:t>TBD</w:t>
            </w:r>
          </w:p>
        </w:tc>
        <w:tc>
          <w:tcPr>
            <w:tcW w:type="dxa" w:w="1498"/>
          </w:tcPr>
          <w:p>
            <w:pPr>
              <w:spacing w:before="0" w:after="0" w:line="240" w:lineRule="auto"/>
            </w:pPr>
            <w:r>
              <w:rPr>
                <w:b w:val="0"/>
                <w:i w:val="0"/>
                <w:sz w:val="16"/>
              </w:rPr>
              <w:t>Communication details to be obtained after commissioning.</w:t>
            </w:r>
          </w:p>
        </w:tc>
      </w:tr>
      <w:tr>
        <w:tc>
          <w:tcPr>
            <w:tcW w:type="dxa" w:w="1700"/>
          </w:tcPr>
          <w:p>
            <w:pPr>
              <w:spacing w:before="0" w:after="0" w:line="240" w:lineRule="auto"/>
            </w:pPr>
            <w:r>
              <w:rPr>
                <w:b w:val="0"/>
                <w:i w:val="0"/>
                <w:sz w:val="16"/>
              </w:rPr>
              <w:t>No PLC</w:t>
            </w:r>
          </w:p>
        </w:tc>
        <w:tc>
          <w:tcPr>
            <w:tcW w:type="dxa" w:w="1900"/>
          </w:tcPr>
          <w:p>
            <w:pPr>
              <w:spacing w:before="0" w:after="0" w:line="240" w:lineRule="auto"/>
            </w:pPr>
            <w:r>
              <w:rPr>
                <w:b w:val="0"/>
                <w:i w:val="0"/>
                <w:sz w:val="16"/>
              </w:rPr>
              <w:t>RB1‑1 to RB1‑6</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NA</w:t>
            </w:r>
          </w:p>
        </w:tc>
        <w:tc>
          <w:tcPr>
            <w:tcW w:type="dxa" w:w="1800"/>
          </w:tcPr>
          <w:p>
            <w:pPr>
              <w:spacing w:before="0" w:after="0" w:line="240" w:lineRule="auto"/>
            </w:pPr>
            <w:r>
              <w:rPr>
                <w:b w:val="0"/>
                <w:i w:val="0"/>
                <w:sz w:val="16"/>
              </w:rPr>
              <w:t>Digital I/O or machine retrofit</w:t>
            </w:r>
          </w:p>
        </w:tc>
        <w:tc>
          <w:tcPr>
            <w:tcW w:type="dxa" w:w="1600"/>
          </w:tcPr>
          <w:p>
            <w:pPr>
              <w:spacing w:before="0" w:after="0" w:line="240" w:lineRule="auto"/>
            </w:pPr>
            <w:r>
              <w:rPr>
                <w:b w:val="0"/>
                <w:i w:val="0"/>
                <w:sz w:val="16"/>
              </w:rPr>
              <w:t>NA</w:t>
            </w:r>
          </w:p>
        </w:tc>
        <w:tc>
          <w:tcPr>
            <w:tcW w:type="dxa" w:w="1498"/>
          </w:tcPr>
          <w:p>
            <w:pPr>
              <w:spacing w:before="0" w:after="0" w:line="240" w:lineRule="auto"/>
            </w:pPr>
            <w:r>
              <w:rPr>
                <w:b w:val="0"/>
                <w:i w:val="0"/>
                <w:sz w:val="16"/>
              </w:rPr>
              <w:t>Communication approach depends on machine design.</w:t>
            </w:r>
          </w:p>
        </w:tc>
      </w:tr>
      <w:tr>
        <w:tc>
          <w:tcPr>
            <w:tcW w:type="dxa" w:w="1700"/>
          </w:tcPr>
          <w:p>
            <w:pPr>
              <w:spacing w:before="0" w:after="0" w:line="240" w:lineRule="auto"/>
            </w:pPr>
            <w:r>
              <w:rPr>
                <w:b/>
                <w:i w:val="0"/>
                <w:sz w:val="16"/>
              </w:rPr>
              <w:t>Total</w:t>
            </w:r>
          </w:p>
        </w:tc>
        <w:tc>
          <w:tcPr>
            <w:tcW w:type="dxa" w:w="1900"/>
          </w:tcPr>
          <w:p>
            <w:pPr>
              <w:spacing w:before="0" w:after="0" w:line="240" w:lineRule="auto"/>
            </w:pPr>
            <w:r>
              <w:rPr>
                <w:b/>
                <w:i w:val="0"/>
                <w:sz w:val="16"/>
              </w:rPr>
            </w:r>
          </w:p>
        </w:tc>
        <w:tc>
          <w:tcPr>
            <w:tcW w:type="dxa" w:w="450"/>
          </w:tcPr>
          <w:p>
            <w:pPr>
              <w:spacing w:before="0" w:after="0" w:line="240" w:lineRule="auto"/>
            </w:pPr>
            <w:r>
              <w:rPr>
                <w:b/>
                <w:i w:val="0"/>
                <w:sz w:val="16"/>
              </w:rPr>
              <w:t>89</w:t>
            </w:r>
          </w:p>
        </w:tc>
        <w:tc>
          <w:tcPr>
            <w:tcW w:type="dxa" w:w="1400"/>
          </w:tcPr>
          <w:p>
            <w:pPr>
              <w:spacing w:before="0" w:after="0" w:line="240" w:lineRule="auto"/>
            </w:pPr>
            <w:r>
              <w:rPr>
                <w:b/>
                <w:i w:val="0"/>
                <w:sz w:val="16"/>
              </w:rPr>
            </w:r>
          </w:p>
        </w:tc>
        <w:tc>
          <w:tcPr>
            <w:tcW w:type="dxa" w:w="1800"/>
          </w:tcPr>
          <w:p>
            <w:pPr>
              <w:spacing w:before="0" w:after="0" w:line="240" w:lineRule="auto"/>
            </w:pPr>
            <w:r>
              <w:rPr>
                <w:b/>
                <w:i w:val="0"/>
                <w:sz w:val="16"/>
              </w:rPr>
            </w:r>
          </w:p>
        </w:tc>
        <w:tc>
          <w:tcPr>
            <w:tcW w:type="dxa" w:w="1600"/>
          </w:tcPr>
          <w:p>
            <w:pPr>
              <w:spacing w:before="0" w:after="0" w:line="240" w:lineRule="auto"/>
            </w:pPr>
            <w:r>
              <w:rPr>
                <w:b/>
                <w:i w:val="0"/>
                <w:sz w:val="16"/>
              </w:rPr>
            </w:r>
          </w:p>
        </w:tc>
        <w:tc>
          <w:tcPr>
            <w:tcW w:type="dxa" w:w="1498"/>
          </w:tcPr>
          <w:p>
            <w:pPr>
              <w:spacing w:before="0" w:after="0" w:line="240" w:lineRule="auto"/>
            </w:pPr>
            <w:r>
              <w:rPr>
                <w:b/>
                <w:i w:val="0"/>
                <w:sz w:val="16"/>
              </w:rPr>
            </w:r>
          </w:p>
        </w:tc>
      </w:tr>
    </w:tbl>
    <w:p>
      <w:pPr>
        <w:pStyle w:val="Caption"/>
      </w:pPr>
      <w:r>
        <w:rPr>
          <w:b w:val="0"/>
        </w:rPr>
        <w:t>Table: Unit‑4 recommended interfacing approach by controller family</w:t>
      </w:r>
    </w:p>
    <w:p>
      <w:pPr/>
      <w:r>
        <w:rPr>
          <w:b/>
        </w:rPr>
        <w:t>Reconciliation against the Unit‑4 equipment list:</w:t>
      </w:r>
    </w:p>
    <w:p>
      <w:pPr>
        <w:pStyle w:val="ListParagraph"/>
        <w:numPr>
          <w:ilvl w:val="0"/>
          <w:numId w:val="44"/>
        </w:numPr>
      </w:pPr>
      <w:r>
        <w:rPr>
          <w:b w:val="0"/>
        </w:rPr>
        <w:t>The table above covers 89 machines. Excluding the 9 2nd Line Inspection machines held under future planning, the Unit‑4 list contains 94 machines to be interfaced, so 5 machines are not yet covered by a recommendation.</w:t>
      </w:r>
    </w:p>
    <w:p>
      <w:pPr>
        <w:pStyle w:val="ListParagraph"/>
        <w:numPr>
          <w:ilvl w:val="0"/>
          <w:numId w:val="44"/>
        </w:numPr>
      </w:pPr>
      <w:r>
        <w:rPr>
          <w:b w:val="0"/>
        </w:rPr>
        <w:t>Siemens S7‑300: the equipment list contains 13 machines on CPU 313C‑2DP or 315‑2DP (CFE‑1 ×3, CFE‑2 ×3, 2 Roll Calender ×4, Bias Cutter ×3) against the 12 shown above. One machine is to be identified.</w:t>
      </w:r>
    </w:p>
    <w:p>
      <w:pPr>
        <w:pStyle w:val="ListParagraph"/>
        <w:numPr>
          <w:ilvl w:val="0"/>
          <w:numId w:val="44"/>
        </w:numPr>
      </w:pPr>
      <w:r>
        <w:rPr>
          <w:b w:val="0"/>
        </w:rPr>
        <w:t>Siemens S7‑1500: 2 Roll Calender ‑2 runs a CPU 1515‑2PN, for which no controller family is listed above. Built‑in Profinet with an industrial NAT device is assumed, in line with the S7‑1200 treatment, and is to be confirmed.</w:t>
      </w:r>
    </w:p>
    <w:p>
      <w:pPr>
        <w:pStyle w:val="ListParagraph"/>
        <w:numPr>
          <w:ilvl w:val="0"/>
          <w:numId w:val="44"/>
        </w:numPr>
      </w:pPr>
      <w:r>
        <w:rPr>
          <w:b w:val="0"/>
        </w:rPr>
        <w:t>New machines: the equipment list marks 14 machines as new (Fabric Cutter Multislitter, STU‑35, STU‑36, RB1‑7 to RB1‑9 and the 8 Curing machines) against the 11 shown above.</w:t>
      </w:r>
    </w:p>
    <w:p>
      <w:pPr>
        <w:pStyle w:val="ListParagraph"/>
        <w:numPr>
          <w:ilvl w:val="0"/>
          <w:numId w:val="44"/>
        </w:numPr>
      </w:pPr>
      <w:r>
        <w:rPr>
          <w:b w:val="0"/>
        </w:rPr>
        <w:t>Cold Feed Extruder‑2 (Extruder) is recorded in the equipment list as 313C‑2DP/1214PN and is counted above under S7‑1200. Whether this machine carries one controller or both is to be confirmed.</w:t>
      </w:r>
    </w:p>
    <w:p>
      <w:pPr/>
      <w:r>
        <w:rPr>
          <w:b w:val="0"/>
        </w:rPr>
        <w:t>The manufacturer part numbers proposed against each controller model are given below. Final part selection is subject to survey of the installed hardware configuration of each machine.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0"/>
        <w:gridCol w:w="2000"/>
        <w:gridCol w:w="2100"/>
        <w:gridCol w:w="2398"/>
        <w:gridCol w:w="1100"/>
        <w:gridCol w:w="1500"/>
      </w:tblGrid>
      <w:tr>
        <w:trPr>
          <w:tblHeader/>
        </w:trPr>
        <w:tc>
          <w:tcPr>
            <w:tcW w:type="dxa" w:w="1250"/>
          </w:tcPr>
          <w:p>
            <w:pPr>
              <w:spacing w:before="0" w:after="0" w:line="240" w:lineRule="auto"/>
            </w:pPr>
            <w:r>
              <w:rPr>
                <w:b w:val="0"/>
                <w:i w:val="0"/>
                <w:sz w:val="16"/>
              </w:rPr>
              <w:t>PLC Make</w:t>
            </w:r>
          </w:p>
        </w:tc>
        <w:tc>
          <w:tcPr>
            <w:tcW w:type="dxa" w:w="2000"/>
          </w:tcPr>
          <w:p>
            <w:pPr>
              <w:spacing w:before="0" w:after="0" w:line="240" w:lineRule="auto"/>
            </w:pPr>
            <w:r>
              <w:rPr>
                <w:b w:val="0"/>
                <w:i w:val="0"/>
                <w:sz w:val="16"/>
              </w:rPr>
              <w:t>PLC Model</w:t>
            </w:r>
          </w:p>
        </w:tc>
        <w:tc>
          <w:tcPr>
            <w:tcW w:type="dxa" w:w="2100"/>
          </w:tcPr>
          <w:p>
            <w:pPr>
              <w:spacing w:before="0" w:after="0" w:line="240" w:lineRule="auto"/>
            </w:pPr>
            <w:r>
              <w:rPr>
                <w:b w:val="0"/>
                <w:i w:val="0"/>
                <w:sz w:val="16"/>
              </w:rPr>
              <w:t>Recommended Hardware</w:t>
            </w:r>
          </w:p>
        </w:tc>
        <w:tc>
          <w:tcPr>
            <w:tcW w:type="dxa" w:w="2398"/>
          </w:tcPr>
          <w:p>
            <w:pPr>
              <w:spacing w:before="0" w:after="0" w:line="240" w:lineRule="auto"/>
            </w:pPr>
            <w:r>
              <w:rPr>
                <w:b w:val="0"/>
                <w:i w:val="0"/>
                <w:sz w:val="16"/>
              </w:rPr>
              <w:t>Manufacturer Part No.</w:t>
            </w:r>
          </w:p>
        </w:tc>
        <w:tc>
          <w:tcPr>
            <w:tcW w:type="dxa" w:w="1100"/>
          </w:tcPr>
          <w:p>
            <w:pPr>
              <w:spacing w:before="0" w:after="0" w:line="240" w:lineRule="auto"/>
            </w:pPr>
            <w:r>
              <w:rPr>
                <w:b w:val="0"/>
                <w:i w:val="0"/>
                <w:sz w:val="16"/>
              </w:rPr>
              <w:t>Kepware Support</w:t>
            </w:r>
          </w:p>
        </w:tc>
        <w:tc>
          <w:tcPr>
            <w:tcW w:type="dxa" w:w="1500"/>
          </w:tcPr>
          <w:p>
            <w:pPr>
              <w:spacing w:before="0" w:after="0" w:line="240" w:lineRule="auto"/>
            </w:pPr>
            <w:r>
              <w:rPr>
                <w:b w:val="0"/>
                <w:i w:val="0"/>
                <w:sz w:val="16"/>
              </w:rPr>
              <w:t>Recommendation</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313C‑2DP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315‑2DP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S7‑1200 (1214C / 1214PN)</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r>
              <w:rPr>
                <w:b w:val="0"/>
                <w:i w:val="0"/>
                <w:sz w:val="16"/>
              </w:rPr>
              <w:t xml:space="preserve"> or </w:t>
            </w:r>
            <w:r>
              <w:rPr>
                <w:b/>
                <w:i w:val="0"/>
                <w:sz w:val="16"/>
              </w:rPr>
              <w:t>Hirschmann EAGLE One</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S7‑200 CPU 224</w:t>
            </w:r>
          </w:p>
        </w:tc>
        <w:tc>
          <w:tcPr>
            <w:tcW w:type="dxa" w:w="2100"/>
          </w:tcPr>
          <w:p>
            <w:pPr>
              <w:spacing w:before="0" w:after="0" w:line="240" w:lineRule="auto"/>
            </w:pPr>
            <w:r>
              <w:rPr>
                <w:b w:val="0"/>
                <w:i w:val="0"/>
                <w:sz w:val="16"/>
              </w:rPr>
              <w:t>Ethernet Module</w:t>
            </w:r>
          </w:p>
        </w:tc>
        <w:tc>
          <w:tcPr>
            <w:tcW w:type="dxa" w:w="2398"/>
          </w:tcPr>
          <w:p>
            <w:pPr>
              <w:spacing w:before="0" w:after="0" w:line="240" w:lineRule="auto"/>
            </w:pPr>
            <w:r>
              <w:rPr>
                <w:b/>
                <w:i w:val="0"/>
                <w:sz w:val="16"/>
              </w:rPr>
              <w:t>CP243‑1 (6GK7243‑1EX01‑0XE0)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FX2N‑64MR / FX2N‑84MR</w:t>
            </w:r>
          </w:p>
        </w:tc>
        <w:tc>
          <w:tcPr>
            <w:tcW w:type="dxa" w:w="2100"/>
          </w:tcPr>
          <w:p>
            <w:pPr>
              <w:spacing w:before="0" w:after="0" w:line="240" w:lineRule="auto"/>
            </w:pPr>
            <w:r>
              <w:rPr>
                <w:b w:val="0"/>
                <w:i w:val="0"/>
                <w:sz w:val="16"/>
              </w:rPr>
              <w:t>Ethernet Communication Adapter</w:t>
            </w:r>
          </w:p>
        </w:tc>
        <w:tc>
          <w:tcPr>
            <w:tcW w:type="dxa" w:w="2398"/>
          </w:tcPr>
          <w:p>
            <w:pPr>
              <w:spacing w:before="0" w:after="0" w:line="240" w:lineRule="auto"/>
            </w:pPr>
            <w:r>
              <w:rPr>
                <w:b/>
                <w:i w:val="0"/>
                <w:sz w:val="16"/>
              </w:rPr>
              <w:t>FX2NC‑ENET‑ADP (or Mitsubishi‑supported equivalent)</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FX3U‑64MR</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FX3G‑24M / 60M</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r>
              <w:rPr>
                <w:b w:val="0"/>
                <w:i/>
                <w:sz w:val="16"/>
              </w:rPr>
              <w:t xml:space="preserve"> (if supported by the FX3G configuration)</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FX5U</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Allen‑Bradley</w:t>
            </w:r>
          </w:p>
        </w:tc>
        <w:tc>
          <w:tcPr>
            <w:tcW w:type="dxa" w:w="2000"/>
          </w:tcPr>
          <w:p>
            <w:pPr>
              <w:spacing w:before="0" w:after="0" w:line="240" w:lineRule="auto"/>
            </w:pPr>
            <w:r>
              <w:rPr>
                <w:b w:val="0"/>
                <w:i w:val="0"/>
                <w:sz w:val="16"/>
              </w:rPr>
              <w:t>CompactLogix L18ERM / L27ERM</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Omron</w:t>
            </w:r>
          </w:p>
        </w:tc>
        <w:tc>
          <w:tcPr>
            <w:tcW w:type="dxa" w:w="2000"/>
          </w:tcPr>
          <w:p>
            <w:pPr>
              <w:spacing w:before="0" w:after="0" w:line="240" w:lineRule="auto"/>
            </w:pPr>
            <w:r>
              <w:rPr>
                <w:b w:val="0"/>
                <w:i w:val="0"/>
                <w:sz w:val="16"/>
              </w:rPr>
              <w:t>NJ101</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bl>
    <w:p>
      <w:pPr>
        <w:pStyle w:val="Caption"/>
      </w:pPr>
      <w:r>
        <w:rPr>
          <w:b w:val="0"/>
        </w:rPr>
        <w:t>Table: Unit‑4 proposed interfacing hardware part numbers</w:t>
      </w:r>
    </w:p>
    <w:p>
      <w:pPr/>
      <w:r>
        <w:rPr>
          <w:b w:val="0"/>
        </w:rPr>
        <w:t>Industrial NAT devices are provided one per machine on the controllers that use their built‑in Ethernet port.</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24</w:t>
            </w:r>
          </w:p>
        </w:tc>
        <w:tc>
          <w:tcPr>
            <w:tcW w:type="dxa" w:w="700"/>
          </w:tcPr>
          <w:p>
            <w:r>
              <w:t>26</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50</w:t>
            </w:r>
          </w:p>
        </w:tc>
        <w:tc>
          <w:tcPr>
            <w:tcW w:type="dxa" w:w="700"/>
          </w:tcPr>
          <w:p>
            <w:r>
              <w:t>90</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90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r>
        <w:t>Machine data is acquired by Kepware OPC Server over an isolated industrial OT network and passed to the SmartMES server over OPC UA. Controllers with a built‑in Ethernet port connect directly through an industrial NAT device, which provides isolation and avoids IP conflicts with the existing machine networks. Legacy controllers are brought onto the same network through an OEM Ethernet communication module, as detailed in the Machine Details section.</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FX2N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SLC500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FX5U PLC</w:t>
            </w:r>
          </w:p>
          <w:p>
            <w:pPr>
              <w:spacing w:before="20" w:after="20" w:line="240" w:lineRule="auto"/>
              <w:jc w:val="center"/>
            </w:pPr>
            <w:r>
              <w:rPr>
                <w:b w:val="0"/>
                <w:sz w:val="16"/>
              </w:rPr>
              <w:t>Built‑in Ethernet + NAT Device</w:t>
            </w:r>
          </w:p>
        </w:tc>
      </w:tr>
    </w:tbl>
    <w:p>
      <w:pPr>
        <w:pStyle w:val="Caption"/>
      </w:pPr>
      <w:r>
        <w:t>Figure: Unit‑2 data acquisition architecture</w:t>
      </w:r>
    </w:p>
    <w:tbl>
      <w:tblPr>
        <w:tblW w:w="9360" w:type="dxa"/>
        <w:jc w:val="center"/>
        <w:tblLook w:firstColumn="1" w:firstRow="1" w:lastColumn="0" w:lastRow="0" w:noHBand="0" w:noVBand="1" w:val="04A0"/>
      </w:tblPr>
      <w:tblGrid>
        <w:gridCol w:w="2340"/>
        <w:gridCol w:w="2340"/>
        <w:gridCol w:w="2340"/>
        <w:gridCol w:w="2340"/>
      </w:tblGrid>
      <w:tr>
        <w:tc>
          <w:tcPr>
            <w:tcW w:w="9360" w:type="dxa"/>
            <w:gridSpan w:val="4"/>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Siemens S7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Mitsubishi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Allen‑Bradley CompactLogix</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Omron NJ101</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r>
    </w:tbl>
    <w:p>
      <w:pPr>
        <w:pStyle w:val="Caption"/>
      </w:pPr>
      <w:r>
        <w:t>Figure: Unit‑4 data acquisition architecture</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pPr/>
      <w:r>
        <w:rPr>
          <w:b w:val="0"/>
        </w:rPr>
        <w:t>The virtual machine estate below is already available with the customer, provisioned across a Production and a DR environment. It is reproduced here as the baseline for this offer; no change to the existing virtual machines is required.</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bl>
    <w:p>
      <w:pPr>
        <w:pStyle w:val="Caption"/>
      </w:pPr>
      <w:r>
        <w:rPr>
          <w:b w:val="0"/>
        </w:rPr>
        <w:t>Table: Existing virtual machine estate – Production and DR</w:t>
      </w:r>
    </w:p>
    <w:p>
      <w:pPr/>
      <w:r>
        <w:rPr>
          <w:b w:val="0"/>
        </w:rPr>
        <w:t>This project requires one additional application virtual machine, of the same specification as the existing application VM (VM‑1), to host SmartMES for Unit‑2 and Unit‑4. The DR environment mirrors Production, so the same virtual machine is required in each.</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(Unit‑2 &amp; Unit‑4)</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(Unit‑2 &amp; Unit‑4)</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Additional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24</w:t>
            </w:r>
          </w:p>
        </w:tc>
        <w:tc>
          <w:tcPr>
            <w:tcW w:type="dxa" w:w="900"/>
          </w:tcPr>
          <w:p>
            <w:pPr>
              <w:spacing w:before="0" w:after="0" w:line="240" w:lineRule="auto"/>
            </w:pPr>
            <w:r>
              <w:rPr>
                <w:b/>
                <w:sz w:val="16"/>
              </w:rPr>
              <w:t>128</w:t>
            </w:r>
          </w:p>
        </w:tc>
        <w:tc>
          <w:tcPr>
            <w:tcW w:type="dxa" w:w="1300"/>
          </w:tcPr>
          <w:p>
            <w:pPr>
              <w:spacing w:before="0" w:after="0" w:line="240" w:lineRule="auto"/>
            </w:pPr>
            <w:r>
              <w:rPr>
                <w:b/>
                <w:sz w:val="16"/>
              </w:rPr>
              <w:t>512</w:t>
            </w:r>
          </w:p>
        </w:tc>
        <w:tc>
          <w:tcPr>
            <w:tcW w:type="dxa" w:w="1448"/>
          </w:tcPr>
          <w:p>
            <w:pPr>
              <w:spacing w:before="0" w:after="0" w:line="240" w:lineRule="auto"/>
            </w:pPr>
            <w:r>
              <w:rPr>
                <w:b/>
                <w:sz w:val="16"/>
              </w:rPr>
              <w:t>1024</w:t>
            </w:r>
          </w:p>
        </w:tc>
      </w:tr>
    </w:tbl>
    <w:p>
      <w:pPr>
        <w:pStyle w:val="Caption"/>
      </w:pPr>
      <w:r>
        <w:rPr>
          <w:b w:val="0"/>
        </w:rPr>
        <w:t>Table: Additional virtual machines required for this project</w:t>
      </w:r>
    </w:p>
    <w:p>
      <w:pPr/>
      <w:r>
        <w:rPr>
          <w:b/>
        </w:rPr>
        <w:t>Notes:</w:t>
      </w:r>
    </w:p>
    <w:p>
      <w:pPr>
        <w:pStyle w:val="ListParagraph"/>
        <w:numPr>
          <w:ilvl w:val="0"/>
          <w:numId w:val="46"/>
        </w:numPr>
      </w:pPr>
      <w:r>
        <w:rPr>
          <w:b w:val="0"/>
        </w:rPr>
        <w:t>The additional virtual machine is to be provided by the customer, in line with the infrastructure responsibilities set out in the Roles and Responsibilities section of this document.</w:t>
      </w:r>
    </w:p>
    <w:p>
      <w:pPr>
        <w:pStyle w:val="ListParagraph"/>
        <w:numPr>
          <w:ilvl w:val="0"/>
          <w:numId w:val="46"/>
        </w:numPr>
      </w:pPr>
      <w:r>
        <w:rPr>
          <w:b w:val="0"/>
        </w:rPr>
        <w:t>With the additional virtual machine in place, the resource required in each environment becomes 60 vCPU, 432 GB RAM, 1280 GB of C drive and 4096 GB of D drive, and 120 vCPU, 864 GB RAM, 2560 GB of C drive and 8192 GB of D drive across Production and DR together.</w:t>
      </w:r>
    </w:p>
    <w:p>
      <w:pPr>
        <w:pStyle w:val="ListParagraph"/>
        <w:numPr>
          <w:ilvl w:val="0"/>
          <w:numId w:val="46"/>
        </w:numPr>
      </w:pPr>
      <w:r>
        <w:rPr>
          <w:b w:val="0"/>
        </w:rPr>
        <w:t>The existing Testing VM (UAT) and DB VM are assumed to be shared with this project rather than duplicated. Database sizing for SmartMES is to be reassessed against the existing DB VM after Functional Design sign off.</w:t>
      </w:r>
    </w:p>
    <w:p>
      <w:pPr>
        <w:pStyle w:val="ListParagraph"/>
        <w:numPr>
          <w:ilvl w:val="0"/>
          <w:numId w:val="46"/>
        </w:numPr>
      </w:pPr>
      <w:r>
        <w:rPr>
          <w:b w:val="0"/>
        </w:rPr>
        <w:t>Server sizing shall be reviewed once the machine count, tag count and data retention period are frozen during the Requirement Freeze and Functional Design phases.</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pPr/>
      <w:r>
        <w:rPr>
          <w:b w:val="0"/>
        </w:rPr>
        <w:t>The interfacing hardware quantities below follow from the machine lists and the recommended interfacing hardware of the Machine Details section, with industrial NAT devices provided one per machine. Quantities are to be confirmed against a site survey of the installed hardware configuration before order placement.</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2400"/>
        <w:gridCol w:w="800"/>
        <w:gridCol w:w="800"/>
        <w:gridCol w:w="800"/>
        <w:gridCol w:w="2448"/>
      </w:tblGrid>
      <w:tr>
        <w:trPr>
          <w:tblHeader/>
        </w:trPr>
        <w:tc>
          <w:tcPr>
            <w:tcW w:type="dxa" w:w="500"/>
          </w:tcPr>
          <w:p>
            <w:pPr>
              <w:spacing w:before="0" w:after="0" w:line="240" w:lineRule="auto"/>
            </w:pPr>
            <w:r>
              <w:rPr>
                <w:sz w:val="16"/>
              </w:rPr>
              <w:t>S.No</w:t>
            </w:r>
          </w:p>
        </w:tc>
        <w:tc>
          <w:tcPr>
            <w:tcW w:type="dxa" w:w="2600"/>
          </w:tcPr>
          <w:p>
            <w:pPr>
              <w:spacing w:before="0" w:after="0" w:line="240" w:lineRule="auto"/>
            </w:pPr>
            <w:r>
              <w:rPr>
                <w:sz w:val="16"/>
              </w:rPr>
              <w:t>Item</w:t>
            </w:r>
          </w:p>
        </w:tc>
        <w:tc>
          <w:tcPr>
            <w:tcW w:type="dxa" w:w="2400"/>
          </w:tcPr>
          <w:p>
            <w:pPr>
              <w:spacing w:before="0" w:after="0" w:line="240" w:lineRule="auto"/>
            </w:pPr>
            <w:r>
              <w:rPr>
                <w:sz w:val="16"/>
              </w:rPr>
              <w:t>Manufacturer Part No.</w:t>
            </w:r>
          </w:p>
        </w:tc>
        <w:tc>
          <w:tcPr>
            <w:tcW w:type="dxa" w:w="800"/>
          </w:tcPr>
          <w:p>
            <w:pPr>
              <w:spacing w:before="0" w:after="0" w:line="240" w:lineRule="auto"/>
            </w:pPr>
            <w:r>
              <w:rPr>
                <w:sz w:val="16"/>
              </w:rPr>
              <w:t>Unit‑2</w:t>
            </w:r>
          </w:p>
        </w:tc>
        <w:tc>
          <w:tcPr>
            <w:tcW w:type="dxa" w:w="800"/>
          </w:tcPr>
          <w:p>
            <w:pPr>
              <w:spacing w:before="0" w:after="0" w:line="240" w:lineRule="auto"/>
            </w:pPr>
            <w:r>
              <w:rPr>
                <w:sz w:val="16"/>
              </w:rPr>
              <w:t>Unit‑4</w:t>
            </w:r>
          </w:p>
        </w:tc>
        <w:tc>
          <w:tcPr>
            <w:tcW w:type="dxa" w:w="800"/>
          </w:tcPr>
          <w:p>
            <w:pPr>
              <w:spacing w:before="0" w:after="0" w:line="240" w:lineRule="auto"/>
            </w:pPr>
            <w:r>
              <w:rPr>
                <w:sz w:val="16"/>
              </w:rPr>
              <w:t>Total</w:t>
            </w:r>
          </w:p>
        </w:tc>
        <w:tc>
          <w:tcPr>
            <w:tcW w:type="dxa" w:w="2448"/>
          </w:tcPr>
          <w:p>
            <w:pPr>
              <w:spacing w:before="0" w:after="0" w:line="240" w:lineRule="auto"/>
            </w:pPr>
            <w:r>
              <w:rPr>
                <w:sz w:val="16"/>
              </w:rPr>
              <w:t>Remarks</w:t>
            </w:r>
          </w:p>
        </w:tc>
      </w:tr>
      <w:tr>
        <w:tc>
          <w:tcPr>
            <w:tcW w:type="dxa" w:w="500"/>
          </w:tcPr>
          <w:p>
            <w:pPr>
              <w:spacing w:before="0" w:after="0" w:line="240" w:lineRule="auto"/>
            </w:pPr>
            <w:r>
              <w:rPr>
                <w:sz w:val="16"/>
              </w:rPr>
              <w:t>1</w:t>
            </w:r>
          </w:p>
        </w:tc>
        <w:tc>
          <w:tcPr>
            <w:tcW w:type="dxa" w:w="2600"/>
          </w:tcPr>
          <w:p>
            <w:pPr>
              <w:spacing w:before="0" w:after="0" w:line="240" w:lineRule="auto"/>
            </w:pPr>
            <w:r>
              <w:rPr>
                <w:sz w:val="16"/>
              </w:rPr>
              <w:t>Ethernet communication adapter – Mitsubishi FX2N</w:t>
            </w:r>
          </w:p>
        </w:tc>
        <w:tc>
          <w:tcPr>
            <w:tcW w:type="dxa" w:w="2400"/>
          </w:tcPr>
          <w:p>
            <w:pPr>
              <w:spacing w:before="0" w:after="0" w:line="240" w:lineRule="auto"/>
            </w:pPr>
            <w:r>
              <w:rPr>
                <w:sz w:val="16"/>
              </w:rPr>
              <w:t>FX2NC‑ENET‑ADP (or Mitsubishi‑supported equivalent)</w:t>
            </w:r>
          </w:p>
        </w:tc>
        <w:tc>
          <w:tcPr>
            <w:tcW w:type="dxa" w:w="800"/>
          </w:tcPr>
          <w:p>
            <w:pPr>
              <w:spacing w:before="0" w:after="0" w:line="240" w:lineRule="auto"/>
            </w:pPr>
            <w:r>
              <w:rPr>
                <w:sz w:val="16"/>
              </w:rPr>
              <w:t>39</w:t>
            </w:r>
          </w:p>
        </w:tc>
        <w:tc>
          <w:tcPr>
            <w:tcW w:type="dxa" w:w="800"/>
          </w:tcPr>
          <w:p>
            <w:pPr>
              <w:spacing w:before="0" w:after="0" w:line="240" w:lineRule="auto"/>
            </w:pPr>
            <w:r>
              <w:rPr>
                <w:sz w:val="16"/>
              </w:rPr>
              <w:t>31</w:t>
            </w:r>
          </w:p>
        </w:tc>
        <w:tc>
          <w:tcPr>
            <w:tcW w:type="dxa" w:w="800"/>
          </w:tcPr>
          <w:p>
            <w:pPr>
              <w:spacing w:before="0" w:after="0" w:line="240" w:lineRule="auto"/>
            </w:pPr>
            <w:r>
              <w:rPr>
                <w:sz w:val="16"/>
              </w:rPr>
              <w:t>70</w:t>
            </w:r>
          </w:p>
        </w:tc>
        <w:tc>
          <w:tcPr>
            <w:tcW w:type="dxa" w:w="2448"/>
          </w:tcPr>
          <w:p>
            <w:pPr>
              <w:spacing w:before="0" w:after="0" w:line="240" w:lineRule="auto"/>
            </w:pPr>
            <w:r>
              <w:rPr>
                <w:sz w:val="16"/>
              </w:rPr>
              <w:t>Compatibility with the installed FX2N configuration to be verified per machine.</w:t>
            </w:r>
          </w:p>
        </w:tc>
      </w:tr>
      <w:tr>
        <w:tc>
          <w:tcPr>
            <w:tcW w:type="dxa" w:w="500"/>
          </w:tcPr>
          <w:p>
            <w:pPr>
              <w:spacing w:before="0" w:after="0" w:line="240" w:lineRule="auto"/>
            </w:pPr>
            <w:r>
              <w:rPr>
                <w:sz w:val="16"/>
              </w:rPr>
              <w:t>2</w:t>
            </w:r>
          </w:p>
        </w:tc>
        <w:tc>
          <w:tcPr>
            <w:tcW w:type="dxa" w:w="2600"/>
          </w:tcPr>
          <w:p>
            <w:pPr>
              <w:spacing w:before="0" w:after="0" w:line="240" w:lineRule="auto"/>
            </w:pPr>
            <w:r>
              <w:rPr>
                <w:sz w:val="16"/>
              </w:rPr>
              <w:t>Ethernet adapter – Mitsubishi FX3U and FX3G</w:t>
            </w:r>
          </w:p>
        </w:tc>
        <w:tc>
          <w:tcPr>
            <w:tcW w:type="dxa" w:w="2400"/>
          </w:tcPr>
          <w:p>
            <w:pPr>
              <w:spacing w:before="0" w:after="0" w:line="240" w:lineRule="auto"/>
            </w:pPr>
            <w:r>
              <w:rPr>
                <w:sz w:val="16"/>
              </w:rPr>
              <w:t>FX3U‑ENET‑ADP</w:t>
            </w:r>
          </w:p>
        </w:tc>
        <w:tc>
          <w:tcPr>
            <w:tcW w:type="dxa" w:w="800"/>
          </w:tcPr>
          <w:p>
            <w:pPr>
              <w:spacing w:before="0" w:after="0" w:line="240" w:lineRule="auto"/>
            </w:pPr>
            <w:r>
              <w:rPr>
                <w:sz w:val="16"/>
              </w:rPr>
              <w:t>–</w:t>
            </w:r>
          </w:p>
        </w:tc>
        <w:tc>
          <w:tcPr>
            <w:tcW w:type="dxa" w:w="800"/>
          </w:tcPr>
          <w:p>
            <w:pPr>
              <w:spacing w:before="0" w:after="0" w:line="240" w:lineRule="auto"/>
            </w:pPr>
            <w:r>
              <w:rPr>
                <w:sz w:val="16"/>
              </w:rPr>
              <w:t>5</w:t>
            </w:r>
          </w:p>
        </w:tc>
        <w:tc>
          <w:tcPr>
            <w:tcW w:type="dxa" w:w="800"/>
          </w:tcPr>
          <w:p>
            <w:pPr>
              <w:spacing w:before="0" w:after="0" w:line="240" w:lineRule="auto"/>
            </w:pPr>
            <w:r>
              <w:rPr>
                <w:sz w:val="16"/>
              </w:rPr>
              <w:t>5</w:t>
            </w:r>
          </w:p>
        </w:tc>
        <w:tc>
          <w:tcPr>
            <w:tcW w:type="dxa" w:w="2448"/>
          </w:tcPr>
          <w:p>
            <w:pPr>
              <w:spacing w:before="0" w:after="0" w:line="240" w:lineRule="auto"/>
            </w:pPr>
            <w:r>
              <w:rPr>
                <w:sz w:val="16"/>
              </w:rPr>
              <w:t>FX3G applicability subject to the installed configuration.</w:t>
            </w:r>
          </w:p>
        </w:tc>
      </w:tr>
      <w:tr>
        <w:tc>
          <w:tcPr>
            <w:tcW w:type="dxa" w:w="500"/>
          </w:tcPr>
          <w:p>
            <w:pPr>
              <w:spacing w:before="0" w:after="0" w:line="240" w:lineRule="auto"/>
            </w:pPr>
            <w:r>
              <w:rPr>
                <w:sz w:val="16"/>
              </w:rPr>
              <w:t>3</w:t>
            </w:r>
          </w:p>
        </w:tc>
        <w:tc>
          <w:tcPr>
            <w:tcW w:type="dxa" w:w="2600"/>
          </w:tcPr>
          <w:p>
            <w:pPr>
              <w:spacing w:before="0" w:after="0" w:line="240" w:lineRule="auto"/>
            </w:pPr>
            <w:r>
              <w:rPr>
                <w:sz w:val="16"/>
              </w:rPr>
              <w:t>Ethernet communication processor – Siemens S7‑300</w:t>
            </w:r>
          </w:p>
        </w:tc>
        <w:tc>
          <w:tcPr>
            <w:tcW w:type="dxa" w:w="2400"/>
          </w:tcPr>
          <w:p>
            <w:pPr>
              <w:spacing w:before="0" w:after="0" w:line="240" w:lineRule="auto"/>
            </w:pPr>
            <w:r>
              <w:rPr>
                <w:sz w:val="16"/>
              </w:rPr>
              <w:t>CP 343‑1 Lean (6GK7343‑1CX10‑0XE0)</w:t>
            </w:r>
          </w:p>
        </w:tc>
        <w:tc>
          <w:tcPr>
            <w:tcW w:type="dxa" w:w="800"/>
          </w:tcPr>
          <w:p>
            <w:pPr>
              <w:spacing w:before="0" w:after="0" w:line="240" w:lineRule="auto"/>
            </w:pPr>
            <w:r>
              <w:rPr>
                <w:sz w:val="16"/>
              </w:rPr>
              <w:t>–</w:t>
            </w:r>
          </w:p>
        </w:tc>
        <w:tc>
          <w:tcPr>
            <w:tcW w:type="dxa" w:w="800"/>
          </w:tcPr>
          <w:p>
            <w:pPr>
              <w:spacing w:before="0" w:after="0" w:line="240" w:lineRule="auto"/>
            </w:pPr>
            <w:r>
              <w:rPr>
                <w:sz w:val="16"/>
              </w:rPr>
              <w:t>12</w:t>
            </w:r>
          </w:p>
        </w:tc>
        <w:tc>
          <w:tcPr>
            <w:tcW w:type="dxa" w:w="800"/>
          </w:tcPr>
          <w:p>
            <w:pPr>
              <w:spacing w:before="0" w:after="0" w:line="240" w:lineRule="auto"/>
            </w:pPr>
            <w:r>
              <w:rPr>
                <w:sz w:val="16"/>
              </w:rPr>
              <w:t>12</w:t>
            </w:r>
          </w:p>
        </w:tc>
        <w:tc>
          <w:tcPr>
            <w:tcW w:type="dxa" w:w="2448"/>
          </w:tcPr>
          <w:p>
            <w:pPr>
              <w:spacing w:before="0" w:after="0" w:line="240" w:lineRule="auto"/>
            </w:pPr>
            <w:r>
              <w:rPr>
                <w:sz w:val="16"/>
              </w:rPr>
              <w:t>Subject to the S7‑300 reconciliation; the equipment list shows 13 machines.</w:t>
            </w:r>
          </w:p>
        </w:tc>
      </w:tr>
      <w:tr>
        <w:tc>
          <w:tcPr>
            <w:tcW w:type="dxa" w:w="500"/>
          </w:tcPr>
          <w:p>
            <w:pPr>
              <w:spacing w:before="0" w:after="0" w:line="240" w:lineRule="auto"/>
            </w:pPr>
            <w:r>
              <w:rPr>
                <w:sz w:val="16"/>
              </w:rPr>
              <w:t>4</w:t>
            </w:r>
          </w:p>
        </w:tc>
        <w:tc>
          <w:tcPr>
            <w:tcW w:type="dxa" w:w="2600"/>
          </w:tcPr>
          <w:p>
            <w:pPr>
              <w:spacing w:before="0" w:after="0" w:line="240" w:lineRule="auto"/>
            </w:pPr>
            <w:r>
              <w:rPr>
                <w:sz w:val="16"/>
              </w:rPr>
              <w:t>Ethernet module – Siemens S7‑200</w:t>
            </w:r>
          </w:p>
        </w:tc>
        <w:tc>
          <w:tcPr>
            <w:tcW w:type="dxa" w:w="2400"/>
          </w:tcPr>
          <w:p>
            <w:pPr>
              <w:spacing w:before="0" w:after="0" w:line="240" w:lineRule="auto"/>
            </w:pPr>
            <w:r>
              <w:rPr>
                <w:sz w:val="16"/>
              </w:rPr>
              <w:t>CP243‑1 (6GK7243‑1EX01‑0XE0)</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5</w:t>
            </w:r>
          </w:p>
        </w:tc>
        <w:tc>
          <w:tcPr>
            <w:tcW w:type="dxa" w:w="2600"/>
          </w:tcPr>
          <w:p>
            <w:pPr>
              <w:spacing w:before="0" w:after="0" w:line="240" w:lineRule="auto"/>
            </w:pPr>
            <w:r>
              <w:rPr>
                <w:sz w:val="16"/>
              </w:rPr>
              <w:t>EtherNet/IP adapter – Allen‑Bradley SLC500</w:t>
            </w:r>
          </w:p>
        </w:tc>
        <w:tc>
          <w:tcPr>
            <w:tcW w:type="dxa" w:w="2400"/>
          </w:tcPr>
          <w:p>
            <w:pPr>
              <w:spacing w:before="0" w:after="0" w:line="240" w:lineRule="auto"/>
            </w:pPr>
            <w:r>
              <w:rPr>
                <w:sz w:val="16"/>
              </w:rPr>
              <w:t>1747‑AENTR</w:t>
            </w:r>
          </w:p>
        </w:tc>
        <w:tc>
          <w:tcPr>
            <w:tcW w:type="dxa" w:w="800"/>
          </w:tcPr>
          <w:p>
            <w:pPr>
              <w:spacing w:before="0" w:after="0" w:line="240" w:lineRule="auto"/>
            </w:pPr>
            <w:r>
              <w:rPr>
                <w:sz w:val="16"/>
              </w:rPr>
              <w:t>1</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6</w:t>
            </w:r>
          </w:p>
        </w:tc>
        <w:tc>
          <w:tcPr>
            <w:tcW w:type="dxa" w:w="2600"/>
          </w:tcPr>
          <w:p>
            <w:pPr>
              <w:spacing w:before="0" w:after="0" w:line="240" w:lineRule="auto"/>
            </w:pPr>
            <w:r>
              <w:rPr>
                <w:sz w:val="16"/>
              </w:rPr>
              <w:t>Industrial NAT device</w:t>
            </w:r>
          </w:p>
        </w:tc>
        <w:tc>
          <w:tcPr>
            <w:tcW w:type="dxa" w:w="2400"/>
          </w:tcPr>
          <w:p>
            <w:pPr>
              <w:spacing w:before="0" w:after="0" w:line="240" w:lineRule="auto"/>
            </w:pPr>
            <w:r>
              <w:rPr>
                <w:sz w:val="16"/>
              </w:rPr>
              <w:t>Moxa NAT‑102 or Hirschmann EAGLE One</w:t>
            </w:r>
          </w:p>
        </w:tc>
        <w:tc>
          <w:tcPr>
            <w:tcW w:type="dxa" w:w="800"/>
          </w:tcPr>
          <w:p>
            <w:pPr>
              <w:spacing w:before="0" w:after="0" w:line="240" w:lineRule="auto"/>
            </w:pPr>
            <w:r>
              <w:rPr>
                <w:sz w:val="16"/>
              </w:rPr>
              <w:t>2</w:t>
            </w:r>
          </w:p>
        </w:tc>
        <w:tc>
          <w:tcPr>
            <w:tcW w:type="dxa" w:w="800"/>
          </w:tcPr>
          <w:p>
            <w:pPr>
              <w:spacing w:before="0" w:after="0" w:line="240" w:lineRule="auto"/>
            </w:pPr>
            <w:r>
              <w:rPr>
                <w:sz w:val="16"/>
              </w:rPr>
              <w:t>23</w:t>
            </w:r>
          </w:p>
        </w:tc>
        <w:tc>
          <w:tcPr>
            <w:tcW w:type="dxa" w:w="800"/>
          </w:tcPr>
          <w:p>
            <w:pPr>
              <w:spacing w:before="0" w:after="0" w:line="240" w:lineRule="auto"/>
            </w:pPr>
            <w:r>
              <w:rPr>
                <w:sz w:val="16"/>
              </w:rPr>
              <w:t>25</w:t>
            </w:r>
          </w:p>
        </w:tc>
        <w:tc>
          <w:tcPr>
            <w:tcW w:type="dxa" w:w="2448"/>
          </w:tcPr>
          <w:p>
            <w:pPr>
              <w:spacing w:before="0" w:after="0" w:line="240" w:lineRule="auto"/>
            </w:pPr>
            <w:r>
              <w:rPr>
                <w:sz w:val="16"/>
              </w:rPr>
              <w:t>One per machine using its built‑in Ethernet port. A further unit is required if the S7‑1500 on 2 Roll Calender ‑2 is confirmed.</w:t>
            </w:r>
          </w:p>
        </w:tc>
      </w:tr>
      <w:tr>
        <w:tc>
          <w:tcPr>
            <w:tcW w:type="dxa" w:w="500"/>
          </w:tcPr>
          <w:p>
            <w:pPr>
              <w:spacing w:before="0" w:after="0" w:line="240" w:lineRule="auto"/>
            </w:pPr>
            <w:r>
              <w:rPr>
                <w:sz w:val="16"/>
              </w:rPr>
              <w:t>7</w:t>
            </w:r>
          </w:p>
        </w:tc>
        <w:tc>
          <w:tcPr>
            <w:tcW w:type="dxa" w:w="2600"/>
          </w:tcPr>
          <w:p>
            <w:pPr>
              <w:spacing w:before="0" w:after="0" w:line="240" w:lineRule="auto"/>
            </w:pPr>
            <w:r>
              <w:rPr>
                <w:sz w:val="16"/>
              </w:rPr>
              <w:t>Kepware OPC Server licence</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Drivers required: Mitsubishi Ethernet, Allen‑Bradley Ethernet and ControlLogix/CompactLogix, Siemens TCP/IP Ethernet, Siemens S7‑200, Omron NJ.</w:t>
            </w:r>
          </w:p>
        </w:tc>
      </w:tr>
      <w:tr>
        <w:tc>
          <w:tcPr>
            <w:tcW w:type="dxa" w:w="500"/>
          </w:tcPr>
          <w:p>
            <w:pPr>
              <w:spacing w:before="0" w:after="0" w:line="240" w:lineRule="auto"/>
            </w:pPr>
            <w:r>
              <w:rPr>
                <w:sz w:val="16"/>
              </w:rPr>
              <w:t>8</w:t>
            </w:r>
          </w:p>
        </w:tc>
        <w:tc>
          <w:tcPr>
            <w:tcW w:type="dxa" w:w="2600"/>
          </w:tcPr>
          <w:p>
            <w:pPr>
              <w:spacing w:before="0" w:after="0" w:line="240" w:lineRule="auto"/>
            </w:pPr>
            <w:r>
              <w:rPr>
                <w:sz w:val="16"/>
              </w:rPr>
              <w:t>Industrial OT network switches</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Quantity subject to the OT network design and panel locations.</w:t>
            </w:r>
          </w:p>
        </w:tc>
      </w:tr>
    </w:tbl>
    <w:p>
      <w:pPr>
        <w:pStyle w:val="Caption"/>
      </w:pPr>
      <w:r>
        <w:rPr>
          <w:b w:val="0"/>
        </w:rPr>
        <w:t>Table: Interfacing hardware bill of material</w:t>
      </w:r>
    </w:p>
    <w:p>
      <w:pPr/>
      <w:r>
        <w:rPr>
          <w:b/>
        </w:rPr>
        <w:t>Basis and exclusions:</w:t>
      </w:r>
    </w:p>
    <w:p>
      <w:pPr>
        <w:pStyle w:val="ListParagraph"/>
        <w:numPr>
          <w:ilvl w:val="0"/>
          <w:numId w:val="45"/>
        </w:numPr>
      </w:pPr>
      <w:r>
        <w:rPr>
          <w:b w:val="0"/>
        </w:rPr>
        <w:t>The quantities cover the 114 machines that carry an existing controller – 42 in Unit‑2 and 72 in Unit‑4 – of which 89 take a communication module or adapter and 25 use their built‑in Ethernet port behind a NAT device.</w:t>
      </w:r>
    </w:p>
    <w:p>
      <w:pPr>
        <w:pStyle w:val="ListParagraph"/>
        <w:numPr>
          <w:ilvl w:val="0"/>
          <w:numId w:val="45"/>
        </w:numPr>
      </w:pPr>
      <w:r>
        <w:rPr>
          <w:b w:val="0"/>
        </w:rPr>
        <w:t>The 14 new machines in Unit‑4 are excluded, as their controllers are not yet known. Interfacing hardware for these machines is to be included in the respective OEM purchase specification, or added by change request once the details are available.</w:t>
      </w:r>
    </w:p>
    <w:p>
      <w:pPr>
        <w:pStyle w:val="ListParagraph"/>
        <w:numPr>
          <w:ilvl w:val="0"/>
          <w:numId w:val="45"/>
        </w:numPr>
      </w:pPr>
      <w:r>
        <w:rPr>
          <w:b w:val="0"/>
        </w:rPr>
        <w:t>RB1‑1 to RB1‑6 in Unit‑4 have no PLC and are excluded. The data capture method for these machines is to be agreed.</w:t>
      </w:r>
    </w:p>
    <w:p>
      <w:pPr>
        <w:pStyle w:val="ListParagraph"/>
        <w:numPr>
          <w:ilvl w:val="0"/>
          <w:numId w:val="45"/>
        </w:numPr>
      </w:pPr>
      <w:r>
        <w:rPr>
          <w:b w:val="0"/>
        </w:rPr>
        <w:t>The 9 2nd Line Inspection machines held under future planning are excluded.</w:t>
      </w:r>
    </w:p>
    <w:p>
      <w:pPr>
        <w:pStyle w:val="ListParagraph"/>
        <w:numPr>
          <w:ilvl w:val="0"/>
          <w:numId w:val="45"/>
        </w:numPr>
      </w:pPr>
      <w:r>
        <w:rPr>
          <w:b w:val="0"/>
        </w:rPr>
        <w:t>Installation of this hardware on existing machines, and any consequent PLC programme change, is presently listed under Exclusions in this document and is to be agreed before the offer is finalised.</w:t>
      </w:r>
    </w:p>
    <w:p>
      <w:pPr>
        <w:pStyle w:val="ListParagraph"/>
        <w:numPr>
          <w:ilvl w:val="0"/>
          <w:numId w:val="45"/>
        </w:numPr>
      </w:pPr>
      <w:r>
        <w:rPr>
          <w:b w:val="0"/>
        </w:rPr>
        <w:t>Server, storage, operating system, database and other infrastructure items are listed against the customer in the Roles and Responsibilities section and are not part of this bill of material.</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 w:numId="44">
    <w:abstractNumId w:val="6"/>
    <w:lvlOverride w:ilvl="0">
      <w:startOverride w:val="1"/>
    </w:lvlOverride>
  </w:num>
  <w:num w:numId="45">
    <w:abstractNumId w:val="6"/>
    <w:lvlOverride w:ilvl="0">
      <w:startOverride w:val="1"/>
    </w:lvlOverride>
  </w:num>
  <w:num w:numId="46">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