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 The Kepware and SmartMES layers are shown separately below; both run on the same application virtual machine, as set out in the IT Architecture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pPr/>
      <w:r>
        <w:rPr>
          <w:b w:val="0"/>
        </w:rPr>
        <w:t>The virtual machine estate below is already available with the customer, provisioned across a Production and a DR environment. It is reproduced here as the baseline for this offer; no change to the existing virtual machines is required.</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bl>
    <w:p>
      <w:pPr>
        <w:pStyle w:val="Caption"/>
      </w:pPr>
      <w:r>
        <w:rPr>
          <w:b w:val="0"/>
        </w:rPr>
        <w:t>Table: Existing virtual machine estate – Production and DR</w:t>
      </w:r>
    </w:p>
    <w:p>
      <w:pPr/>
      <w:r>
        <w:rPr>
          <w:b w:val="0"/>
        </w:rPr>
        <w:t>This project requires one additional application virtual machine, of the same specification as the existing application VM (VM‑1), to host SmartMES and the Kepware OPC Server for Unit‑2 and Unit‑4. The DR environment mirrors Production, so the same virtual machine is required in each.</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Additional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24</w:t>
            </w:r>
          </w:p>
        </w:tc>
        <w:tc>
          <w:tcPr>
            <w:tcW w:type="dxa" w:w="900"/>
          </w:tcPr>
          <w:p>
            <w:pPr>
              <w:spacing w:before="0" w:after="0" w:line="240" w:lineRule="auto"/>
            </w:pPr>
            <w:r>
              <w:rPr>
                <w:b/>
                <w:sz w:val="16"/>
              </w:rPr>
              <w:t>128</w:t>
            </w:r>
          </w:p>
        </w:tc>
        <w:tc>
          <w:tcPr>
            <w:tcW w:type="dxa" w:w="1300"/>
          </w:tcPr>
          <w:p>
            <w:pPr>
              <w:spacing w:before="0" w:after="0" w:line="240" w:lineRule="auto"/>
            </w:pPr>
            <w:r>
              <w:rPr>
                <w:b/>
                <w:sz w:val="16"/>
              </w:rPr>
              <w:t>512</w:t>
            </w:r>
          </w:p>
        </w:tc>
        <w:tc>
          <w:tcPr>
            <w:tcW w:type="dxa" w:w="1448"/>
          </w:tcPr>
          <w:p>
            <w:pPr>
              <w:spacing w:before="0" w:after="0" w:line="240" w:lineRule="auto"/>
            </w:pPr>
            <w:r>
              <w:rPr>
                <w:b/>
                <w:sz w:val="16"/>
              </w:rPr>
              <w:t>1024</w:t>
            </w:r>
          </w:p>
        </w:tc>
      </w:tr>
    </w:tbl>
    <w:p>
      <w:pPr>
        <w:pStyle w:val="Caption"/>
      </w:pPr>
      <w:r>
        <w:rPr>
          <w:b w:val="0"/>
        </w:rPr>
        <w:t>Table: Additional virtual machines required for this project</w:t>
      </w:r>
    </w:p>
    <w:p>
      <w:pPr/>
      <w:r>
        <w:rPr>
          <w:b/>
        </w:rPr>
        <w:t>Notes:</w:t>
      </w:r>
    </w:p>
    <w:p>
      <w:pPr>
        <w:pStyle w:val="ListParagraph"/>
        <w:numPr>
          <w:ilvl w:val="0"/>
          <w:numId w:val="46"/>
        </w:numPr>
      </w:pPr>
      <w:r>
        <w:rPr>
          <w:b w:val="0"/>
        </w:rPr>
        <w:t>The additional virtual machine is to be provided by the customer, in line with the infrastructure responsibilities set out in the Roles and Responsibilities section of this document.</w:t>
      </w:r>
    </w:p>
    <w:p>
      <w:pPr>
        <w:pStyle w:val="ListParagraph"/>
        <w:numPr>
          <w:ilvl w:val="0"/>
          <w:numId w:val="46"/>
        </w:numPr>
      </w:pPr>
      <w:r>
        <w:rPr>
          <w:b w:val="0"/>
        </w:rPr>
        <w:t>The Kepware OPC Server runs on this same application virtual machine; no separate virtual machine is required for it. As the machine carries both SmartMES and the OPC server polling the interfaced machines, its sizing is to be reviewed against the final tag count during Functional Design.</w:t>
      </w:r>
    </w:p>
    <w:p>
      <w:pPr>
        <w:pStyle w:val="ListParagraph"/>
        <w:numPr>
          <w:ilvl w:val="0"/>
          <w:numId w:val="46"/>
        </w:numPr>
      </w:pPr>
      <w:r>
        <w:rPr>
          <w:b w:val="0"/>
        </w:rPr>
        <w:t>With the additional virtual machine in place, the resource required in each environment becomes 60 vCPU, 432 GB RAM, 1280 GB of C drive and 4096 GB of D drive, and 120 vCPU, 864 GB RAM, 2560 GB of C drive and 8192 GB of D drive across Production and DR together.</w:t>
      </w:r>
    </w:p>
    <w:p>
      <w:pPr>
        <w:pStyle w:val="ListParagraph"/>
        <w:numPr>
          <w:ilvl w:val="0"/>
          <w:numId w:val="46"/>
        </w:numPr>
      </w:pPr>
      <w:r>
        <w:rPr>
          <w:b w:val="0"/>
        </w:rPr>
        <w:t>The existing Testing VM (UAT) and DB VM are assumed to be shared with this project rather than duplicated. Database sizing for SmartMES is to be reassessed against the existing DB VM after Functional Design sign off.</w:t>
      </w:r>
    </w:p>
    <w:p>
      <w:pPr>
        <w:pStyle w:val="ListParagraph"/>
        <w:numPr>
          <w:ilvl w:val="0"/>
          <w:numId w:val="46"/>
        </w:numPr>
      </w:pPr>
      <w:r>
        <w:rPr>
          <w:b w:val="0"/>
        </w:rPr>
        <w:t>Server sizing shall be reviewed once the machine count, tag count and data retention period are frozen during the Requirement Freeze and Functional Design phases.</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Installation of this hardware on existing machines, and any consequent PLC programme change, is presently listed under Exclusions in this document and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pPr/>
      <w:r>
        <w:rPr>
          <w:b w:val="0"/>
        </w:rPr>
        <w:t>In addition to the interfacing hardware above, shopfloor data capture devices are required at the machines where operators book material and production against the MES. Tyre building machines take one MES HMI and one Bluetooth scanner each; curing machines take a Bluetooth scanner. The quantities are set out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900"/>
        <w:gridCol w:w="2400"/>
        <w:gridCol w:w="1100"/>
        <w:gridCol w:w="1000"/>
        <w:gridCol w:w="1400"/>
        <w:gridCol w:w="2998"/>
      </w:tblGrid>
      <w:tr>
        <w:trPr>
          <w:tblHeader/>
        </w:trPr>
        <w:tc>
          <w:tcPr>
            <w:tcW w:type="dxa" w:w="550"/>
          </w:tcPr>
          <w:p>
            <w:pPr>
              <w:spacing w:before="0" w:after="0" w:line="240" w:lineRule="auto"/>
            </w:pPr>
            <w:r>
              <w:rPr>
                <w:b w:val="0"/>
                <w:sz w:val="16"/>
              </w:rPr>
              <w:t>S.No</w:t>
            </w:r>
          </w:p>
        </w:tc>
        <w:tc>
          <w:tcPr>
            <w:tcW w:type="dxa" w:w="900"/>
          </w:tcPr>
          <w:p>
            <w:pPr>
              <w:spacing w:before="0" w:after="0" w:line="240" w:lineRule="auto"/>
            </w:pPr>
            <w:r>
              <w:rPr>
                <w:b w:val="0"/>
                <w:sz w:val="16"/>
              </w:rPr>
              <w:t>Unit</w:t>
            </w:r>
          </w:p>
        </w:tc>
        <w:tc>
          <w:tcPr>
            <w:tcW w:type="dxa" w:w="2400"/>
          </w:tcPr>
          <w:p>
            <w:pPr>
              <w:spacing w:before="0" w:after="0" w:line="240" w:lineRule="auto"/>
            </w:pPr>
            <w:r>
              <w:rPr>
                <w:b w:val="0"/>
                <w:sz w:val="16"/>
              </w:rPr>
              <w:t>Process Area</w:t>
            </w:r>
          </w:p>
        </w:tc>
        <w:tc>
          <w:tcPr>
            <w:tcW w:type="dxa" w:w="1100"/>
          </w:tcPr>
          <w:p>
            <w:pPr>
              <w:spacing w:before="0" w:after="0" w:line="240" w:lineRule="auto"/>
            </w:pPr>
            <w:r>
              <w:rPr>
                <w:b w:val="0"/>
                <w:sz w:val="16"/>
              </w:rPr>
              <w:t>Machines</w:t>
            </w:r>
          </w:p>
        </w:tc>
        <w:tc>
          <w:tcPr>
            <w:tcW w:type="dxa" w:w="1000"/>
          </w:tcPr>
          <w:p>
            <w:pPr>
              <w:spacing w:before="0" w:after="0" w:line="240" w:lineRule="auto"/>
            </w:pPr>
            <w:r>
              <w:rPr>
                <w:b w:val="0"/>
                <w:sz w:val="16"/>
              </w:rPr>
              <w:t>MES HMI</w:t>
            </w:r>
          </w:p>
        </w:tc>
        <w:tc>
          <w:tcPr>
            <w:tcW w:type="dxa" w:w="1400"/>
          </w:tcPr>
          <w:p>
            <w:pPr>
              <w:spacing w:before="0" w:after="0" w:line="240" w:lineRule="auto"/>
            </w:pPr>
            <w:r>
              <w:rPr>
                <w:b w:val="0"/>
                <w:sz w:val="16"/>
              </w:rPr>
              <w:t>Bluetooth Scanner</w:t>
            </w:r>
          </w:p>
        </w:tc>
        <w:tc>
          <w:tcPr>
            <w:tcW w:type="dxa" w:w="2998"/>
          </w:tcPr>
          <w:p>
            <w:pPr>
              <w:spacing w:before="0" w:after="0" w:line="240" w:lineRule="auto"/>
            </w:pPr>
            <w:r>
              <w:rPr>
                <w:b w:val="0"/>
                <w:sz w:val="16"/>
              </w:rPr>
              <w:t>Remarks</w:t>
            </w:r>
          </w:p>
        </w:tc>
      </w:tr>
      <w:tr>
        <w:tc>
          <w:tcPr>
            <w:tcW w:type="dxa" w:w="550"/>
          </w:tcPr>
          <w:p>
            <w:pPr>
              <w:spacing w:before="0" w:after="0" w:line="240" w:lineRule="auto"/>
            </w:pPr>
            <w:r>
              <w:rPr>
                <w:b w:val="0"/>
                <w:sz w:val="16"/>
              </w:rPr>
              <w:t>1</w:t>
            </w:r>
          </w:p>
        </w:tc>
        <w:tc>
          <w:tcPr>
            <w:tcW w:type="dxa" w:w="900"/>
          </w:tcPr>
          <w:p>
            <w:pPr>
              <w:spacing w:before="0" w:after="0" w:line="240" w:lineRule="auto"/>
            </w:pPr>
            <w:r>
              <w:rPr>
                <w:b w:val="0"/>
                <w:sz w:val="16"/>
              </w:rPr>
              <w:t>Unit‑2</w:t>
            </w:r>
          </w:p>
        </w:tc>
        <w:tc>
          <w:tcPr>
            <w:tcW w:type="dxa" w:w="2400"/>
          </w:tcPr>
          <w:p>
            <w:pPr>
              <w:spacing w:before="0" w:after="0" w:line="240" w:lineRule="auto"/>
            </w:pPr>
            <w:r>
              <w:rPr>
                <w:b w:val="0"/>
                <w:sz w:val="16"/>
              </w:rPr>
              <w:t>TBB Tyre Building</w:t>
            </w:r>
          </w:p>
        </w:tc>
        <w:tc>
          <w:tcPr>
            <w:tcW w:type="dxa" w:w="1100"/>
          </w:tcPr>
          <w:p>
            <w:pPr>
              <w:spacing w:before="0" w:after="0" w:line="240" w:lineRule="auto"/>
            </w:pPr>
            <w:r>
              <w:rPr>
                <w:b w:val="0"/>
                <w:sz w:val="16"/>
              </w:rPr>
              <w:t>29</w:t>
            </w:r>
          </w:p>
        </w:tc>
        <w:tc>
          <w:tcPr>
            <w:tcW w:type="dxa" w:w="1000"/>
          </w:tcPr>
          <w:p>
            <w:pPr>
              <w:spacing w:before="0" w:after="0" w:line="240" w:lineRule="auto"/>
            </w:pPr>
            <w:r>
              <w:rPr>
                <w:b w:val="0"/>
                <w:sz w:val="16"/>
              </w:rPr>
              <w:t>29</w:t>
            </w:r>
          </w:p>
        </w:tc>
        <w:tc>
          <w:tcPr>
            <w:tcW w:type="dxa" w:w="1400"/>
          </w:tcPr>
          <w:p>
            <w:pPr>
              <w:spacing w:before="0" w:after="0" w:line="240" w:lineRule="auto"/>
            </w:pPr>
            <w:r>
              <w:rPr>
                <w:b w:val="0"/>
                <w:sz w:val="16"/>
              </w:rPr>
              <w:t>29</w:t>
            </w:r>
          </w:p>
        </w:tc>
        <w:tc>
          <w:tcPr>
            <w:tcW w:type="dxa" w:w="2998"/>
          </w:tcPr>
          <w:p>
            <w:pPr>
              <w:spacing w:before="0" w:after="0" w:line="240" w:lineRule="auto"/>
            </w:pPr>
            <w:r>
              <w:rPr>
                <w:b w:val="0"/>
                <w:sz w:val="16"/>
              </w:rPr>
              <w:t>One MES HMI and one Bluetooth scanner per tyre building machine.</w:t>
            </w:r>
          </w:p>
        </w:tc>
      </w:tr>
      <w:tr>
        <w:tc>
          <w:tcPr>
            <w:tcW w:type="dxa" w:w="550"/>
          </w:tcPr>
          <w:p>
            <w:pPr>
              <w:spacing w:before="0" w:after="0" w:line="240" w:lineRule="auto"/>
            </w:pPr>
            <w:r>
              <w:rPr>
                <w:b w:val="0"/>
                <w:sz w:val="16"/>
              </w:rPr>
              <w:t>2</w:t>
            </w:r>
          </w:p>
        </w:tc>
        <w:tc>
          <w:tcPr>
            <w:tcW w:type="dxa" w:w="900"/>
          </w:tcPr>
          <w:p>
            <w:pPr>
              <w:spacing w:before="0" w:after="0" w:line="240" w:lineRule="auto"/>
            </w:pPr>
            <w:r>
              <w:rPr>
                <w:b w:val="0"/>
                <w:sz w:val="16"/>
              </w:rPr>
              <w:t>Unit‑2</w:t>
            </w:r>
          </w:p>
        </w:tc>
        <w:tc>
          <w:tcPr>
            <w:tcW w:type="dxa" w:w="2400"/>
          </w:tcPr>
          <w:p>
            <w:pPr>
              <w:spacing w:before="0" w:after="0" w:line="240" w:lineRule="auto"/>
            </w:pPr>
            <w:r>
              <w:rPr>
                <w:b w:val="0"/>
                <w:sz w:val="16"/>
              </w:rPr>
              <w:t>LCV Tyre Building</w:t>
            </w:r>
          </w:p>
        </w:tc>
        <w:tc>
          <w:tcPr>
            <w:tcW w:type="dxa" w:w="1100"/>
          </w:tcPr>
          <w:p>
            <w:pPr>
              <w:spacing w:before="0" w:after="0" w:line="240" w:lineRule="auto"/>
            </w:pPr>
            <w:r>
              <w:rPr>
                <w:b w:val="0"/>
                <w:sz w:val="16"/>
              </w:rPr>
              <w:t>13</w:t>
            </w:r>
          </w:p>
        </w:tc>
        <w:tc>
          <w:tcPr>
            <w:tcW w:type="dxa" w:w="1000"/>
          </w:tcPr>
          <w:p>
            <w:pPr>
              <w:spacing w:before="0" w:after="0" w:line="240" w:lineRule="auto"/>
            </w:pPr>
            <w:r>
              <w:rPr>
                <w:b w:val="0"/>
                <w:sz w:val="16"/>
              </w:rPr>
              <w:t>13</w:t>
            </w:r>
          </w:p>
        </w:tc>
        <w:tc>
          <w:tcPr>
            <w:tcW w:type="dxa" w:w="1400"/>
          </w:tcPr>
          <w:p>
            <w:pPr>
              <w:spacing w:before="0" w:after="0" w:line="240" w:lineRule="auto"/>
            </w:pPr>
            <w:r>
              <w:rPr>
                <w:b w:val="0"/>
                <w:sz w:val="16"/>
              </w:rPr>
              <w:t>13</w:t>
            </w:r>
          </w:p>
        </w:tc>
        <w:tc>
          <w:tcPr>
            <w:tcW w:type="dxa" w:w="2998"/>
          </w:tcPr>
          <w:p>
            <w:pPr>
              <w:spacing w:before="0" w:after="0" w:line="240" w:lineRule="auto"/>
            </w:pPr>
            <w:r>
              <w:rPr>
                <w:b w:val="0"/>
                <w:sz w:val="16"/>
              </w:rPr>
              <w:t>One MES HMI and one Bluetooth scanner per tyre building machine.</w:t>
            </w:r>
          </w:p>
        </w:tc>
      </w:tr>
      <w:tr>
        <w:tc>
          <w:tcPr>
            <w:tcW w:type="dxa" w:w="550"/>
          </w:tcPr>
          <w:p>
            <w:pPr>
              <w:spacing w:before="0" w:after="0" w:line="240" w:lineRule="auto"/>
            </w:pPr>
            <w:r>
              <w:rPr>
                <w:b w:val="0"/>
                <w:sz w:val="16"/>
              </w:rPr>
              <w:t>3</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Building (tyre building machines)</w:t>
            </w:r>
          </w:p>
        </w:tc>
        <w:tc>
          <w:tcPr>
            <w:tcW w:type="dxa" w:w="1100"/>
          </w:tcPr>
          <w:p>
            <w:pPr>
              <w:spacing w:before="0" w:after="0" w:line="240" w:lineRule="auto"/>
            </w:pPr>
            <w:r>
              <w:rPr>
                <w:b w:val="0"/>
                <w:sz w:val="16"/>
              </w:rPr>
              <w:t>45</w:t>
            </w:r>
          </w:p>
        </w:tc>
        <w:tc>
          <w:tcPr>
            <w:tcW w:type="dxa" w:w="1000"/>
          </w:tcPr>
          <w:p>
            <w:pPr>
              <w:spacing w:before="0" w:after="0" w:line="240" w:lineRule="auto"/>
            </w:pPr>
            <w:r>
              <w:rPr>
                <w:b w:val="0"/>
                <w:sz w:val="16"/>
              </w:rPr>
              <w:t>45</w:t>
            </w:r>
          </w:p>
        </w:tc>
        <w:tc>
          <w:tcPr>
            <w:tcW w:type="dxa" w:w="1400"/>
          </w:tcPr>
          <w:p>
            <w:pPr>
              <w:spacing w:before="0" w:after="0" w:line="240" w:lineRule="auto"/>
            </w:pPr>
            <w:r>
              <w:rPr>
                <w:b w:val="0"/>
                <w:sz w:val="16"/>
              </w:rPr>
              <w:t>45</w:t>
            </w:r>
          </w:p>
        </w:tc>
        <w:tc>
          <w:tcPr>
            <w:tcW w:type="dxa" w:w="2998"/>
          </w:tcPr>
          <w:p>
            <w:pPr>
              <w:spacing w:before="0" w:after="0" w:line="240" w:lineRule="auto"/>
            </w:pPr>
            <w:r>
              <w:rPr>
                <w:b w:val="0"/>
                <w:sz w:val="16"/>
              </w:rPr>
              <w:t>One MES HMI and one Bluetooth scanner per tyre building machine. Includes STU‑35, STU‑36 and RB1‑7 to RB1‑9.</w:t>
            </w:r>
          </w:p>
        </w:tc>
      </w:tr>
      <w:tr>
        <w:tc>
          <w:tcPr>
            <w:tcW w:type="dxa" w:w="550"/>
          </w:tcPr>
          <w:p>
            <w:pPr>
              <w:spacing w:before="0" w:after="0" w:line="240" w:lineRule="auto"/>
            </w:pPr>
            <w:r>
              <w:rPr>
                <w:b w:val="0"/>
                <w:sz w:val="16"/>
              </w:rPr>
              <w:t>4</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Curing</w:t>
            </w:r>
          </w:p>
        </w:tc>
        <w:tc>
          <w:tcPr>
            <w:tcW w:type="dxa" w:w="1100"/>
          </w:tcPr>
          <w:p>
            <w:pPr>
              <w:spacing w:before="0" w:after="0" w:line="240" w:lineRule="auto"/>
            </w:pPr>
            <w:r>
              <w:rPr>
                <w:b w:val="0"/>
                <w:sz w:val="16"/>
              </w:rPr>
              <w:t>8</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8</w:t>
            </w:r>
          </w:p>
        </w:tc>
        <w:tc>
          <w:tcPr>
            <w:tcW w:type="dxa" w:w="2998"/>
          </w:tcPr>
          <w:p>
            <w:pPr>
              <w:spacing w:before="0" w:after="0" w:line="240" w:lineRule="auto"/>
            </w:pPr>
            <w:r>
              <w:rPr>
                <w:b w:val="0"/>
                <w:sz w:val="16"/>
              </w:rPr>
              <w:t>Bluetooth scanner only. Host device for these scanners to be confirmed.</w:t>
            </w:r>
          </w:p>
        </w:tc>
      </w:tr>
      <w:tr>
        <w:tc>
          <w:tcPr>
            <w:tcW w:type="dxa" w:w="550"/>
          </w:tcPr>
          <w:p>
            <w:pPr>
              <w:spacing w:before="0" w:after="0" w:line="240" w:lineRule="auto"/>
            </w:pPr>
            <w:r>
              <w:rPr>
                <w:b w:val="0"/>
                <w:sz w:val="16"/>
              </w:rPr>
              <w:t>5</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CFE 1 and CFE 2</w:t>
            </w:r>
          </w:p>
        </w:tc>
        <w:tc>
          <w:tcPr>
            <w:tcW w:type="dxa" w:w="1100"/>
          </w:tcPr>
          <w:p>
            <w:pPr>
              <w:spacing w:before="0" w:after="0" w:line="240" w:lineRule="auto"/>
            </w:pPr>
            <w:r>
              <w:rPr>
                <w:b w:val="0"/>
                <w:sz w:val="16"/>
              </w:rPr>
              <w:t>7</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6</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2 Roll and 3 Roll Calenders</w:t>
            </w:r>
          </w:p>
        </w:tc>
        <w:tc>
          <w:tcPr>
            <w:tcW w:type="dxa" w:w="1100"/>
          </w:tcPr>
          <w:p>
            <w:pPr>
              <w:spacing w:before="0" w:after="0" w:line="240" w:lineRule="auto"/>
            </w:pPr>
            <w:r>
              <w:rPr>
                <w:b w:val="0"/>
                <w:sz w:val="16"/>
              </w:rPr>
              <w:t>5</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7</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Bias Cutter</w:t>
            </w:r>
          </w:p>
        </w:tc>
        <w:tc>
          <w:tcPr>
            <w:tcW w:type="dxa" w:w="1100"/>
          </w:tcPr>
          <w:p>
            <w:pPr>
              <w:spacing w:before="0" w:after="0" w:line="240" w:lineRule="auto"/>
            </w:pPr>
            <w:r>
              <w:rPr>
                <w:b w:val="0"/>
                <w:sz w:val="16"/>
              </w:rPr>
              <w:t>3</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8</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Bead Winding</w:t>
            </w:r>
          </w:p>
        </w:tc>
        <w:tc>
          <w:tcPr>
            <w:tcW w:type="dxa" w:w="1100"/>
          </w:tcPr>
          <w:p>
            <w:pPr>
              <w:spacing w:before="0" w:after="0" w:line="240" w:lineRule="auto"/>
            </w:pPr>
            <w:r>
              <w:rPr>
                <w:b w:val="0"/>
                <w:sz w:val="16"/>
              </w:rPr>
              <w:t>2</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9</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Fabric Cutter</w:t>
            </w:r>
          </w:p>
        </w:tc>
        <w:tc>
          <w:tcPr>
            <w:tcW w:type="dxa" w:w="1100"/>
          </w:tcPr>
          <w:p>
            <w:pPr>
              <w:spacing w:before="0" w:after="0" w:line="240" w:lineRule="auto"/>
            </w:pPr>
            <w:r>
              <w:rPr>
                <w:b w:val="0"/>
                <w:sz w:val="16"/>
              </w:rPr>
              <w:t>3</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10</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Balancing</w:t>
            </w:r>
          </w:p>
        </w:tc>
        <w:tc>
          <w:tcPr>
            <w:tcW w:type="dxa" w:w="1100"/>
          </w:tcPr>
          <w:p>
            <w:pPr>
              <w:spacing w:before="0" w:after="0" w:line="240" w:lineRule="auto"/>
            </w:pPr>
            <w:r>
              <w:rPr>
                <w:b w:val="0"/>
                <w:sz w:val="16"/>
              </w:rPr>
              <w:t>10</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11</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Runout</w:t>
            </w:r>
          </w:p>
        </w:tc>
        <w:tc>
          <w:tcPr>
            <w:tcW w:type="dxa" w:w="1100"/>
          </w:tcPr>
          <w:p>
            <w:pPr>
              <w:spacing w:before="0" w:after="0" w:line="240" w:lineRule="auto"/>
            </w:pPr>
            <w:r>
              <w:rPr>
                <w:b w:val="0"/>
                <w:sz w:val="16"/>
              </w:rPr>
              <w:t>11</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12</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2nd Line Inspection</w:t>
            </w:r>
          </w:p>
        </w:tc>
        <w:tc>
          <w:tcPr>
            <w:tcW w:type="dxa" w:w="1100"/>
          </w:tcPr>
          <w:p>
            <w:pPr>
              <w:spacing w:before="0" w:after="0" w:line="240" w:lineRule="auto"/>
            </w:pPr>
            <w:r>
              <w:rPr>
                <w:b w:val="0"/>
                <w:sz w:val="16"/>
              </w:rPr>
              <w:t>9</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Future planning; not considered in the current scope.</w:t>
            </w:r>
          </w:p>
        </w:tc>
      </w:tr>
      <w:tr>
        <w:tc>
          <w:tcPr>
            <w:tcW w:type="dxa" w:w="550"/>
          </w:tcPr>
          <w:p>
            <w:pPr>
              <w:spacing w:before="0" w:after="0" w:line="240" w:lineRule="auto"/>
            </w:pPr>
            <w:r>
              <w:rPr>
                <w:b/>
                <w:sz w:val="16"/>
              </w:rPr>
            </w:r>
          </w:p>
        </w:tc>
        <w:tc>
          <w:tcPr>
            <w:tcW w:type="dxa" w:w="900"/>
          </w:tcPr>
          <w:p>
            <w:pPr>
              <w:spacing w:before="0" w:after="0" w:line="240" w:lineRule="auto"/>
            </w:pPr>
            <w:r>
              <w:rPr>
                <w:b/>
                <w:sz w:val="16"/>
              </w:rPr>
              <w:t>Total</w:t>
            </w:r>
          </w:p>
        </w:tc>
        <w:tc>
          <w:tcPr>
            <w:tcW w:type="dxa" w:w="2400"/>
          </w:tcPr>
          <w:p>
            <w:pPr>
              <w:spacing w:before="0" w:after="0" w:line="240" w:lineRule="auto"/>
            </w:pPr>
            <w:r>
              <w:rPr>
                <w:b/>
                <w:sz w:val="16"/>
              </w:rPr>
            </w:r>
          </w:p>
        </w:tc>
        <w:tc>
          <w:tcPr>
            <w:tcW w:type="dxa" w:w="1100"/>
          </w:tcPr>
          <w:p>
            <w:pPr>
              <w:spacing w:before="0" w:after="0" w:line="240" w:lineRule="auto"/>
            </w:pPr>
            <w:r>
              <w:rPr>
                <w:b/>
                <w:sz w:val="16"/>
              </w:rPr>
              <w:t>145</w:t>
            </w:r>
          </w:p>
        </w:tc>
        <w:tc>
          <w:tcPr>
            <w:tcW w:type="dxa" w:w="1000"/>
          </w:tcPr>
          <w:p>
            <w:pPr>
              <w:spacing w:before="0" w:after="0" w:line="240" w:lineRule="auto"/>
            </w:pPr>
            <w:r>
              <w:rPr>
                <w:b/>
                <w:sz w:val="16"/>
              </w:rPr>
              <w:t>87</w:t>
            </w:r>
          </w:p>
        </w:tc>
        <w:tc>
          <w:tcPr>
            <w:tcW w:type="dxa" w:w="1400"/>
          </w:tcPr>
          <w:p>
            <w:pPr>
              <w:spacing w:before="0" w:after="0" w:line="240" w:lineRule="auto"/>
            </w:pPr>
            <w:r>
              <w:rPr>
                <w:b/>
                <w:sz w:val="16"/>
              </w:rPr>
              <w:t>95</w:t>
            </w:r>
          </w:p>
        </w:tc>
        <w:tc>
          <w:tcPr>
            <w:tcW w:type="dxa" w:w="2998"/>
          </w:tcPr>
          <w:p>
            <w:pPr>
              <w:spacing w:before="0" w:after="0" w:line="240" w:lineRule="auto"/>
            </w:pPr>
            <w:r>
              <w:rPr>
                <w:b/>
                <w:sz w:val="16"/>
              </w:rPr>
            </w:r>
          </w:p>
        </w:tc>
      </w:tr>
    </w:tbl>
    <w:p>
      <w:pPr>
        <w:pStyle w:val="Caption"/>
      </w:pPr>
      <w:r>
        <w:rPr>
          <w:b w:val="0"/>
        </w:rPr>
        <w:t>Table: Shopfloor data capture hardware requirement</w:t>
      </w:r>
    </w:p>
    <w:p>
      <w:pPr/>
      <w:r>
        <w:rPr>
          <w:b/>
        </w:rPr>
        <w:t>Basis and open points:</w:t>
      </w:r>
    </w:p>
    <w:p>
      <w:pPr>
        <w:pStyle w:val="ListParagraph"/>
        <w:numPr>
          <w:ilvl w:val="0"/>
          <w:numId w:val="47"/>
        </w:numPr>
      </w:pPr>
      <w:r>
        <w:rPr>
          <w:b w:val="0"/>
        </w:rPr>
        <w:t>Quantities follow the requirement that tyre building machines carry an MES HMI and a Bluetooth scanner, and curing machines carry a Bluetooth scanner. Tyre building covers TBB and LCV Tyre Building in Unit‑2 and the Building area in Unit‑4, 87 machines in total.</w:t>
      </w:r>
    </w:p>
    <w:p>
      <w:pPr>
        <w:pStyle w:val="ListParagraph"/>
        <w:numPr>
          <w:ilvl w:val="0"/>
          <w:numId w:val="47"/>
        </w:numPr>
      </w:pPr>
      <w:r>
        <w:rPr>
          <w:b w:val="0"/>
        </w:rPr>
        <w:t>MES HMI and AIDC devices are listed against the customer in the Roles and Responsibilities section of this document and are not part of the Smart Controls scope of supply.</w:t>
      </w:r>
    </w:p>
    <w:p>
      <w:pPr>
        <w:pStyle w:val="ListParagraph"/>
        <w:numPr>
          <w:ilvl w:val="0"/>
          <w:numId w:val="47"/>
        </w:numPr>
      </w:pPr>
      <w:r>
        <w:rPr>
          <w:b w:val="0"/>
        </w:rPr>
        <w:t>The curing machines carry a scanner without an MES HMI. Whether these scanners pair to a shared HMI, a handheld terminal or an existing station is to be confirmed, as it affects both the device count and the booking workflow.</w:t>
      </w:r>
    </w:p>
    <w:p>
      <w:pPr>
        <w:pStyle w:val="ListParagraph"/>
        <w:numPr>
          <w:ilvl w:val="0"/>
          <w:numId w:val="47"/>
        </w:numPr>
      </w:pPr>
      <w:r>
        <w:rPr>
          <w:b w:val="0"/>
        </w:rPr>
        <w:t>RB1‑1 to RB1‑6 in Unit‑4 have no PLC. The MES HMI at these machines provides the manual data capture referred to in the Machine Details section.</w:t>
      </w:r>
    </w:p>
    <w:p>
      <w:pPr>
        <w:pStyle w:val="ListParagraph"/>
        <w:numPr>
          <w:ilvl w:val="0"/>
          <w:numId w:val="47"/>
        </w:numPr>
      </w:pPr>
      <w:r>
        <w:rPr>
          <w:b w:val="0"/>
        </w:rPr>
        <w:t>The process areas shown at nil above are not included in the current scope. If material tracking is required at extrusion, calendering, component preparation or finishing, the device count is to be extended by change request.</w:t>
      </w:r>
    </w:p>
    <w:p>
      <w:pPr>
        <w:pStyle w:val="ListParagraph"/>
        <w:numPr>
          <w:ilvl w:val="0"/>
          <w:numId w:val="47"/>
        </w:numPr>
      </w:pPr>
      <w:r>
        <w:rPr>
          <w:b w:val="0"/>
        </w:rPr>
        <w:t>Scanner model, HMI specification, mounting, power and wireless coverage are to be agreed during the Functional Design phase. Wireless access point coverage across the shopfloor is a customer responsibility.</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 w:numId="46">
    <w:abstractNumId w:val="6"/>
    <w:lvlOverride w:ilvl="0">
      <w:startOverride w:val="1"/>
    </w:lvlOverride>
  </w:num>
  <w:num w:numId="47">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