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 The Kepware and SmartMES layers are shown separately below; both run on the same application virtual machine, as set out in the IT Architecture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and the Kepware OPC Server for Unit‑2 and Unit‑4. The DR environment mirrors Production, so the same virtual machine is required in each.</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Additional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24</w:t>
            </w:r>
          </w:p>
        </w:tc>
        <w:tc>
          <w:tcPr>
            <w:tcW w:type="dxa" w:w="900"/>
          </w:tcPr>
          <w:p>
            <w:pPr>
              <w:spacing w:before="0" w:after="0" w:line="240" w:lineRule="auto"/>
            </w:pPr>
            <w:r>
              <w:rPr>
                <w:b/>
                <w:sz w:val="16"/>
              </w:rPr>
              <w:t>128</w:t>
            </w:r>
          </w:p>
        </w:tc>
        <w:tc>
          <w:tcPr>
            <w:tcW w:type="dxa" w:w="1300"/>
          </w:tcPr>
          <w:p>
            <w:pPr>
              <w:spacing w:before="0" w:after="0" w:line="240" w:lineRule="auto"/>
            </w:pPr>
            <w:r>
              <w:rPr>
                <w:b/>
                <w:sz w:val="16"/>
              </w:rPr>
              <w:t>512</w:t>
            </w:r>
          </w:p>
        </w:tc>
        <w:tc>
          <w:tcPr>
            <w:tcW w:type="dxa" w:w="1448"/>
          </w:tcPr>
          <w:p>
            <w:pPr>
              <w:spacing w:before="0" w:after="0" w:line="240" w:lineRule="auto"/>
            </w:pPr>
            <w:r>
              <w:rPr>
                <w:b/>
                <w:sz w:val="16"/>
              </w:rPr>
              <w:t>1024</w:t>
            </w:r>
          </w:p>
        </w:tc>
      </w:tr>
    </w:tbl>
    <w:p>
      <w:pPr>
        <w:pStyle w:val="Caption"/>
      </w:pPr>
      <w:r>
        <w:rPr>
          <w:b w:val="0"/>
        </w:rPr>
        <w:t>Table: Additional virtual machines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The Kepware OPC Server runs on this same application virtual machine; no separate virtual machine is required for it. As the machine carries both SmartMES and the OPC server polling the interfaced machines, its sizing is to be reviewed against the final tag count during Functional Design.</w:t>
      </w:r>
    </w:p>
    <w:p>
      <w:pPr>
        <w:pStyle w:val="ListParagraph"/>
        <w:numPr>
          <w:ilvl w:val="0"/>
          <w:numId w:val="46"/>
        </w:numPr>
      </w:pPr>
      <w:r>
        <w:rPr>
          <w:b w:val="0"/>
        </w:rPr>
        <w:t>With the additional virtual machine in place, the resource required in each environment becomes 60 vCPU, 432 GB RAM, 1280 GB of C drive and 4096 GB of D drive, and 120 vCPU, 864 GB RAM, 2560 GB of C drive and 8192 GB of D drive across Production and DR together.</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