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pPr>
      <w:r>
        <w:t xml:space="preserve"/>
      </w:r>
    </w:p>
    <w:p>
      <w:pPr>
        <w:pStyle w:val="Title"/>
      </w:pPr>
      <w:r>
        <w:t xml:space="preserve">SOCShield</w:t>
      </w:r>
    </w:p>
    <w:p>
      <w:pPr>
        <w:pStyle w:val="Sub"/>
      </w:pPr>
      <w:r>
        <w:t xml:space="preserve">AI/ML-Powered IDS Alert Intelligence Platform</w:t>
      </w:r>
    </w:p>
    <w:p>
      <w:pPr>
        <w:jc w:val="center"/>
      </w:pPr>
      <w:r>
        <w:rPr>
          <w:b/>
          <w:bCs/>
          <w:color w:val="1F2937"/>
          <w:sz w:val="28"/>
          <w:szCs w:val="28"/>
        </w:rPr>
        <w:t xml:space="preserve">Project Report</w:t>
      </w:r>
    </w:p>
    <w:p>
      <w:pPr>
        <w:jc w:val="center"/>
      </w:pPr>
      <w:r>
        <w:rPr>
          <w:color w:val="6B7280"/>
          <w:sz w:val="20"/>
          <w:szCs w:val="20"/>
        </w:rPr>
        <w:t xml:space="preserve">Suricata IDS  ·  Flask  ·  React  ·  MongoDB  ·  scikit-learn</w:t>
      </w:r>
    </w:p>
    <w:p>
      <w:pPr>
        <w:spacing w:before="200"/>
        <w:jc w:val="center"/>
      </w:pPr>
      <w:r>
        <w:rPr>
          <w:color w:val="6B7280"/>
          <w:sz w:val="20"/>
          <w:szCs w:val="20"/>
        </w:rPr>
        <w:t xml:space="preserve">Prepared for: Sanjay</w:t>
      </w:r>
    </w:p>
    <w:p>
      <w:r>
        <w:br w:type="page"/>
      </w:r>
    </w:p>
    <w:p>
      <w:pPr>
        <w:pStyle w:val="Heading1"/>
      </w:pPr>
      <w:r>
        <w:t xml:space="preserve">1.  Abstract</w:t>
      </w:r>
    </w:p>
    <w:p>
      <w:pPr>
        <w:pStyle w:val="Body"/>
      </w:pPr>
      <w:r>
        <w:t xml:space="preserve">SOCShield is a Security Operations Center (SOC) platform that transforms a high volume of raw Intrusion Detection System (IDS) alerts into prioritized, explainable, and actionable intelligence. It ingests Suricata EVE JSON events, normalizes and de-duplicates them, classifies the attack family with a supervised machine-learning model, scores network-flow anomalies with an unsupervised model, and combines these signals through a configurable risk engine into a single priority (Critical/High/Medium/Low). An optional, safety-constrained LLM produces incident summaries, with a deterministic rule-based fallback when no model is configured. A real-time React dashboard surfaces overview metrics, severity and risk trends, ML classifications, and an investigation workflow — all driven by real backend data.</w:t>
      </w:r>
    </w:p>
    <w:p>
      <w:pPr>
        <w:pStyle w:val="Body"/>
      </w:pPr>
      <w:r>
        <w:t xml:space="preserve">The platform was rebuilt from an existing prototype in six incremental phases: security hardening, a modular backend refactor, event-ingestion enrichment, the ML intelligence layer, AI-assisted summaries, and the frontend plus an automated test suite. The result is a modular, secure, and maintainable system that prioritizes correctness, explainability, and genuine end-to-end functionality.</w:t>
      </w:r>
    </w:p>
    <w:p>
      <w:pPr>
        <w:pStyle w:val="Heading1"/>
      </w:pPr>
      <w:r>
        <w:t xml:space="preserve">2.  Problem Statement</w:t>
      </w:r>
    </w:p>
    <w:p>
      <w:pPr>
        <w:pStyle w:val="Heading2"/>
      </w:pPr>
      <w:r>
        <w:t xml:space="preserve">2.1  Background &amp; Motivation</w:t>
      </w:r>
    </w:p>
    <w:p>
      <w:pPr>
        <w:pStyle w:val="Body"/>
      </w:pPr>
      <w:r>
        <w:t xml:space="preserve">Traditional IDS deployments generate large volumes of alerts that include false positives and repetitive events. Analysts must manually triage this stream, judge severity, correlate related activity, and investigate incidents — a process that is slow, error-prone, and does not scale. Critical threats can be missed amid the noise.</w:t>
      </w:r>
    </w:p>
    <w:p>
      <w:pPr>
        <w:pStyle w:val="Heading2"/>
      </w:pPr>
      <w:r>
        <w:t xml:space="preserve">2.2  Key Problems Addressed</w:t>
      </w:r>
    </w:p>
    <w:p>
      <w:pPr>
        <w:pStyle w:val="ListParagraph"/>
        <w:numPr>
          <w:ilvl w:val="0"/>
          <w:numId w:val="2"/>
        </w:numPr>
      </w:pPr>
      <w:r>
        <w:rPr>
          <w:sz w:val="21"/>
          <w:szCs w:val="21"/>
        </w:rPr>
        <w:t xml:space="preserve">Alert overload: raw IDS logs are high-volume, unstructured, and repetitive.</w:t>
      </w:r>
    </w:p>
    <w:p>
      <w:pPr>
        <w:pStyle w:val="ListParagraph"/>
        <w:numPr>
          <w:ilvl w:val="0"/>
          <w:numId w:val="2"/>
        </w:numPr>
      </w:pPr>
      <w:r>
        <w:rPr>
          <w:sz w:val="21"/>
          <w:szCs w:val="21"/>
        </w:rPr>
        <w:t xml:space="preserve">No prioritization: Suricata severity alone does not express business risk.</w:t>
      </w:r>
    </w:p>
    <w:p>
      <w:pPr>
        <w:pStyle w:val="ListParagraph"/>
        <w:numPr>
          <w:ilvl w:val="0"/>
          <w:numId w:val="2"/>
        </w:numPr>
      </w:pPr>
      <w:r>
        <w:rPr>
          <w:sz w:val="21"/>
          <w:szCs w:val="21"/>
        </w:rPr>
        <w:t xml:space="preserve">Limited context: alerts lack geo-intelligence, classification, and correlation.</w:t>
      </w:r>
    </w:p>
    <w:p>
      <w:pPr>
        <w:pStyle w:val="ListParagraph"/>
        <w:numPr>
          <w:ilvl w:val="0"/>
          <w:numId w:val="2"/>
        </w:numPr>
      </w:pPr>
      <w:r>
        <w:rPr>
          <w:sz w:val="21"/>
          <w:szCs w:val="21"/>
        </w:rPr>
        <w:t xml:space="preserve">Slow response: manual judgement and action introduce delay.</w:t>
      </w:r>
    </w:p>
    <w:p>
      <w:pPr>
        <w:pStyle w:val="ListParagraph"/>
        <w:numPr>
          <w:ilvl w:val="0"/>
          <w:numId w:val="2"/>
        </w:numPr>
      </w:pPr>
      <w:r>
        <w:rPr>
          <w:sz w:val="21"/>
          <w:szCs w:val="21"/>
        </w:rPr>
        <w:t xml:space="preserve">Weak explainability: analysts need the evidence behind a verdict, not just a label.</w:t>
      </w:r>
    </w:p>
    <w:p>
      <w:pPr>
        <w:pStyle w:val="Body"/>
      </w:pPr>
      <w:r>
        <w:t xml:space="preserve">SOCShield addresses these with rule-based detection, ML classification, anomaly detection, a configurable risk-scoring engine, and AI-assisted incident summaries — presented in a single live console.</w:t>
      </w:r>
    </w:p>
    <w:p>
      <w:pPr>
        <w:pStyle w:val="Heading1"/>
      </w:pPr>
      <w:r>
        <w:t xml:space="preserve">3.  Objectives &amp; Scope</w:t>
      </w:r>
    </w:p>
    <w:p>
      <w:pPr>
        <w:pStyle w:val="Heading2"/>
      </w:pPr>
      <w:r>
        <w:t xml:space="preserve">3.1  Objectives</w:t>
      </w:r>
    </w:p>
    <w:p>
      <w:pPr>
        <w:pStyle w:val="ListParagraph"/>
        <w:numPr>
          <w:ilvl w:val="0"/>
          <w:numId w:val="3"/>
        </w:numPr>
      </w:pPr>
      <w:r>
        <w:rPr>
          <w:sz w:val="21"/>
          <w:szCs w:val="21"/>
        </w:rPr>
        <w:t xml:space="preserve">Ingest and normalize Suricata IDS events reliably and without duplication.</w:t>
      </w:r>
    </w:p>
    <w:p>
      <w:pPr>
        <w:pStyle w:val="ListParagraph"/>
        <w:numPr>
          <w:ilvl w:val="0"/>
          <w:numId w:val="3"/>
        </w:numPr>
      </w:pPr>
      <w:r>
        <w:rPr>
          <w:sz w:val="21"/>
          <w:szCs w:val="21"/>
        </w:rPr>
        <w:t xml:space="preserve">Classify each alert into an attack family using a reproducible ML pipeline.</w:t>
      </w:r>
    </w:p>
    <w:p>
      <w:pPr>
        <w:pStyle w:val="ListParagraph"/>
        <w:numPr>
          <w:ilvl w:val="0"/>
          <w:numId w:val="3"/>
        </w:numPr>
      </w:pPr>
      <w:r>
        <w:rPr>
          <w:sz w:val="21"/>
          <w:szCs w:val="21"/>
        </w:rPr>
        <w:t xml:space="preserve">Detect unusual network-flow behavior via unsupervised anomaly detection.</w:t>
      </w:r>
    </w:p>
    <w:p>
      <w:pPr>
        <w:pStyle w:val="ListParagraph"/>
        <w:numPr>
          <w:ilvl w:val="0"/>
          <w:numId w:val="3"/>
        </w:numPr>
      </w:pPr>
      <w:r>
        <w:rPr>
          <w:sz w:val="21"/>
          <w:szCs w:val="21"/>
        </w:rPr>
        <w:t xml:space="preserve">Prioritize alerts with a transparent, configurable risk engine.</w:t>
      </w:r>
    </w:p>
    <w:p>
      <w:pPr>
        <w:pStyle w:val="ListParagraph"/>
        <w:numPr>
          <w:ilvl w:val="0"/>
          <w:numId w:val="3"/>
        </w:numPr>
      </w:pPr>
      <w:r>
        <w:rPr>
          <w:sz w:val="21"/>
          <w:szCs w:val="21"/>
        </w:rPr>
        <w:t xml:space="preserve">Provide explainable, safety-constrained AI incident summaries with a fallback.</w:t>
      </w:r>
    </w:p>
    <w:p>
      <w:pPr>
        <w:pStyle w:val="ListParagraph"/>
        <w:numPr>
          <w:ilvl w:val="0"/>
          <w:numId w:val="3"/>
        </w:numPr>
      </w:pPr>
      <w:r>
        <w:rPr>
          <w:sz w:val="21"/>
          <w:szCs w:val="21"/>
        </w:rPr>
        <w:t xml:space="preserve">Deliver a real-time dashboard and automated tests on real data.</w:t>
      </w:r>
    </w:p>
    <w:p>
      <w:pPr>
        <w:pStyle w:val="Heading2"/>
      </w:pPr>
      <w:r>
        <w:t xml:space="preserve">3.2  In Scope</w:t>
      </w:r>
    </w:p>
    <w:p>
      <w:pPr>
        <w:pStyle w:val="ListParagraph"/>
        <w:numPr>
          <w:ilvl w:val="0"/>
          <w:numId w:val="2"/>
        </w:numPr>
      </w:pPr>
      <w:r>
        <w:rPr>
          <w:sz w:val="21"/>
          <w:szCs w:val="21"/>
        </w:rPr>
        <w:t xml:space="preserve">Suricata EVE ingestion (file + simulation) and normalization.</w:t>
      </w:r>
    </w:p>
    <w:p>
      <w:pPr>
        <w:pStyle w:val="ListParagraph"/>
        <w:numPr>
          <w:ilvl w:val="0"/>
          <w:numId w:val="2"/>
        </w:numPr>
      </w:pPr>
      <w:r>
        <w:rPr>
          <w:sz w:val="21"/>
          <w:szCs w:val="21"/>
        </w:rPr>
        <w:t xml:space="preserve">ML classification, anomaly detection, risk scoring, incident summaries.</w:t>
      </w:r>
    </w:p>
    <w:p>
      <w:pPr>
        <w:pStyle w:val="ListParagraph"/>
        <w:numPr>
          <w:ilvl w:val="0"/>
          <w:numId w:val="2"/>
        </w:numPr>
      </w:pPr>
      <w:r>
        <w:rPr>
          <w:sz w:val="21"/>
          <w:szCs w:val="21"/>
        </w:rPr>
        <w:t xml:space="preserve">MongoDB persistence with indexes, timestamps, and de-duplication.</w:t>
      </w:r>
    </w:p>
    <w:p>
      <w:pPr>
        <w:pStyle w:val="ListParagraph"/>
        <w:numPr>
          <w:ilvl w:val="0"/>
          <w:numId w:val="2"/>
        </w:numPr>
      </w:pPr>
      <w:r>
        <w:rPr>
          <w:sz w:val="21"/>
          <w:szCs w:val="21"/>
        </w:rPr>
        <w:t xml:space="preserve">React dashboard with filters, search, sort, pagination, and UI states.</w:t>
      </w:r>
    </w:p>
    <w:p>
      <w:pPr>
        <w:pStyle w:val="ListParagraph"/>
        <w:numPr>
          <w:ilvl w:val="0"/>
          <w:numId w:val="2"/>
        </w:numPr>
      </w:pPr>
      <w:r>
        <w:rPr>
          <w:sz w:val="21"/>
          <w:szCs w:val="21"/>
        </w:rPr>
        <w:t xml:space="preserve">Security hardening and an automated pytest suite.</w:t>
      </w:r>
    </w:p>
    <w:p>
      <w:pPr>
        <w:pStyle w:val="Heading2"/>
      </w:pPr>
      <w:r>
        <w:t xml:space="preserve">3.3  Out of Scope</w:t>
      </w:r>
    </w:p>
    <w:p>
      <w:pPr>
        <w:pStyle w:val="ListParagraph"/>
        <w:numPr>
          <w:ilvl w:val="0"/>
          <w:numId w:val="2"/>
        </w:numPr>
      </w:pPr>
      <w:r>
        <w:rPr>
          <w:sz w:val="21"/>
          <w:szCs w:val="21"/>
        </w:rPr>
        <w:t xml:space="preserve">Formal security certification / penetration testing.</w:t>
      </w:r>
    </w:p>
    <w:p>
      <w:pPr>
        <w:pStyle w:val="ListParagraph"/>
        <w:numPr>
          <w:ilvl w:val="0"/>
          <w:numId w:val="2"/>
        </w:numPr>
      </w:pPr>
      <w:r>
        <w:rPr>
          <w:sz w:val="21"/>
          <w:szCs w:val="21"/>
        </w:rPr>
        <w:t xml:space="preserve">Authentication &amp; role-based access control (future work).</w:t>
      </w:r>
    </w:p>
    <w:p>
      <w:pPr>
        <w:pStyle w:val="ListParagraph"/>
        <w:numPr>
          <w:ilvl w:val="0"/>
          <w:numId w:val="2"/>
        </w:numPr>
      </w:pPr>
      <w:r>
        <w:rPr>
          <w:sz w:val="21"/>
          <w:szCs w:val="21"/>
        </w:rPr>
        <w:t xml:space="preserve">Production container orchestration and multi-tenant deployment.</w:t>
      </w:r>
    </w:p>
    <w:p>
      <w:r>
        <w:br w:type="page"/>
      </w:r>
    </w:p>
    <w:p>
      <w:pPr>
        <w:pStyle w:val="Heading1"/>
      </w:pPr>
      <w:r>
        <w:t xml:space="preserve">4.  System Architecture</w:t>
      </w:r>
    </w:p>
    <w:p>
      <w:pPr>
        <w:pStyle w:val="Body"/>
      </w:pPr>
      <w:r>
        <w:t xml:space="preserve">SOCShield implements a modular four-layer architecture. Data flows top to bottom (agent to data); REST and Socket.IO responses flow back to the frontend.</w:t>
      </w:r>
    </w:p>
    <w:p>
      <w:pPr>
        <w:pStyle w:val="Heading2"/>
      </w:pPr>
      <w:r>
        <w:t xml:space="preserve">4.1  Architecture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E" w:sz="1"/>
              <w:left w:val="single" w:color="C9D4DE" w:sz="1"/>
              <w:bottom w:val="single" w:color="C9D4DE" w:sz="1"/>
              <w:right w:val="single" w:color="C9D4DE" w:sz="1"/>
            </w:tcBorders>
            <w:shd w:fill="0B3D62" w:val="clear"/>
            <w:tcMar>
              <w:top w:type="dxa" w:w="50"/>
              <w:left w:type="dxa" w:w="120"/>
              <w:bottom w:type="dxa" w:w="50"/>
              <w:right w:type="dxa" w:w="120"/>
            </w:tcMar>
          </w:tcPr>
          <w:p>
            <w:pPr>
              <w:spacing w:after="0"/>
            </w:pPr>
            <w:r>
              <w:rPr>
                <w:b/>
                <w:bCs/>
                <w:color w:val="FFFFFF"/>
                <w:sz w:val="20"/>
                <w:szCs w:val="20"/>
              </w:rPr>
              <w:t xml:space="preserve">LAYER 1 — AGENT (Python)</w:t>
            </w:r>
          </w:p>
        </w:tc>
      </w:tr>
      <w:tr>
        <w:tc>
          <w:tcPr>
            <w:tcW w:type="dxa" w:w="9360"/>
            <w:tcBorders>
              <w:top w:val="single" w:color="C9D4DE" w:sz="1"/>
              <w:left w:val="single" w:color="C9D4DE" w:sz="1"/>
              <w:bottom w:val="single" w:color="C9D4DE" w:sz="1"/>
              <w:right w:val="single" w:color="C9D4DE" w:sz="1"/>
            </w:tcBorders>
            <w:shd w:fill="FFFFFF" w:val="clear"/>
            <w:tcMar>
              <w:top w:type="dxa" w:w="50"/>
              <w:left w:type="dxa" w:w="120"/>
              <w:bottom w:type="dxa" w:w="50"/>
              <w:right w:type="dxa" w:w="120"/>
            </w:tcMar>
          </w:tcPr>
          <w:p>
            <w:pPr>
              <w:spacing w:after="0"/>
            </w:pPr>
            <w:r>
              <w:rPr>
                <w:b/>
                <w:bCs/>
                <w:color w:val="0B3D62"/>
                <w:sz w:val="19"/>
                <w:szCs w:val="19"/>
              </w:rPr>
              <w:t xml:space="preserve">Suricata IDS  </w:t>
            </w:r>
            <w:r>
              <w:rPr>
                <w:color w:val="333333"/>
                <w:sz w:val="19"/>
                <w:szCs w:val="19"/>
              </w:rPr>
              <w:t xml:space="preserve">reads eve.json (live or file) or simulates realistic multi-field events</w:t>
            </w:r>
          </w:p>
        </w:tc>
      </w:tr>
      <w:tr>
        <w:tc>
          <w:tcPr>
            <w:tcW w:type="dxa" w:w="9360"/>
            <w:tcBorders>
              <w:top w:val="single" w:color="C9D4DE" w:sz="1"/>
              <w:left w:val="single" w:color="C9D4DE" w:sz="1"/>
              <w:bottom w:val="single" w:color="C9D4DE" w:sz="1"/>
              <w:right w:val="single" w:color="C9D4DE" w:sz="1"/>
            </w:tcBorders>
            <w:shd w:fill="FFFFFF" w:val="clear"/>
            <w:tcMar>
              <w:top w:type="dxa" w:w="50"/>
              <w:left w:type="dxa" w:w="120"/>
              <w:bottom w:type="dxa" w:w="50"/>
              <w:right w:type="dxa" w:w="120"/>
            </w:tcMar>
          </w:tcPr>
          <w:p>
            <w:pPr>
              <w:spacing w:after="0"/>
            </w:pPr>
            <w:r>
              <w:rPr>
                <w:b/>
                <w:bCs/>
                <w:color w:val="0B3D62"/>
                <w:sz w:val="19"/>
                <w:szCs w:val="19"/>
              </w:rPr>
              <w:t xml:space="preserve">agent.py  </w:t>
            </w:r>
            <w:r>
              <w:rPr>
                <w:color w:val="333333"/>
                <w:sz w:val="19"/>
                <w:szCs w:val="19"/>
              </w:rPr>
              <w:t xml:space="preserve">filters alert events and POSTs them to the backend /ingest endpoint</w:t>
            </w:r>
          </w:p>
        </w:tc>
      </w:tr>
      <w:tr>
        <w:tc>
          <w:tcPr>
            <w:tcW w:type="dxa" w:w="9360"/>
            <w:tcBorders>
              <w:top w:val="single" w:color="C9D4DE" w:sz="1"/>
              <w:left w:val="single" w:color="C9D4DE" w:sz="1"/>
              <w:bottom w:val="single" w:color="C9D4DE" w:sz="1"/>
              <w:right w:val="single" w:color="C9D4DE" w:sz="1"/>
            </w:tcBorders>
            <w:shd w:fill="FFFFFF" w:val="clear"/>
            <w:tcMar>
              <w:top w:type="dxa" w:w="50"/>
              <w:left w:type="dxa" w:w="120"/>
              <w:bottom w:type="dxa" w:w="50"/>
              <w:right w:type="dxa" w:w="120"/>
            </w:tcMar>
          </w:tcPr>
          <w:p>
            <w:pPr>
              <w:spacing w:after="0"/>
            </w:pPr>
            <w:r>
              <w:rPr>
                <w:b/>
                <w:bCs/>
                <w:color w:val="0B3D62"/>
                <w:sz w:val="19"/>
                <w:szCs w:val="19"/>
              </w:rPr>
              <w:t xml:space="preserve">config  </w:t>
            </w:r>
            <w:r>
              <w:rPr>
                <w:color w:val="333333"/>
                <w:sz w:val="19"/>
                <w:szCs w:val="19"/>
              </w:rPr>
              <w:t xml:space="preserve">server URL and log paths are environment-configurable (no hard-coded paths)</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E" w:sz="1"/>
              <w:left w:val="single" w:color="C9D4DE" w:sz="1"/>
              <w:bottom w:val="single" w:color="C9D4DE" w:sz="1"/>
              <w:right w:val="single" w:color="C9D4DE" w:sz="1"/>
            </w:tcBorders>
            <w:shd w:fill="D7263D" w:val="clear"/>
            <w:tcMar>
              <w:top w:type="dxa" w:w="50"/>
              <w:left w:type="dxa" w:w="120"/>
              <w:bottom w:type="dxa" w:w="50"/>
              <w:right w:type="dxa" w:w="120"/>
            </w:tcMar>
          </w:tcPr>
          <w:p>
            <w:pPr>
              <w:spacing w:after="0"/>
            </w:pPr>
            <w:r>
              <w:rPr>
                <w:b/>
                <w:bCs/>
                <w:color w:val="FFFFFF"/>
                <w:sz w:val="20"/>
                <w:szCs w:val="20"/>
              </w:rPr>
              <w:t xml:space="preserve">LAYER 2 — BACKEND &amp; INTELLIGENCE (Flask)</w:t>
            </w:r>
          </w:p>
        </w:tc>
      </w:tr>
      <w:tr>
        <w:tc>
          <w:tcPr>
            <w:tcW w:type="dxa" w:w="9360"/>
            <w:tcBorders>
              <w:top w:val="single" w:color="C9D4DE" w:sz="1"/>
              <w:left w:val="single" w:color="C9D4DE" w:sz="1"/>
              <w:bottom w:val="single" w:color="C9D4DE" w:sz="1"/>
              <w:right w:val="single" w:color="C9D4DE" w:sz="1"/>
            </w:tcBorders>
            <w:shd w:fill="FFFFFF" w:val="clear"/>
            <w:tcMar>
              <w:top w:type="dxa" w:w="50"/>
              <w:left w:type="dxa" w:w="120"/>
              <w:bottom w:type="dxa" w:w="50"/>
              <w:right w:type="dxa" w:w="120"/>
            </w:tcMar>
          </w:tcPr>
          <w:p>
            <w:pPr>
              <w:spacing w:after="0"/>
            </w:pPr>
            <w:r>
              <w:rPr>
                <w:b/>
                <w:bCs/>
                <w:color w:val="0B3D62"/>
                <w:sz w:val="19"/>
                <w:szCs w:val="19"/>
              </w:rPr>
              <w:t xml:space="preserve">normalize + dedup  </w:t>
            </w:r>
            <w:r>
              <w:rPr>
                <w:color w:val="333333"/>
                <w:sz w:val="19"/>
                <w:szCs w:val="19"/>
              </w:rPr>
              <w:t xml:space="preserve">maps legacy/EVE events to a canonical schema; SHA-256 event fingerprint</w:t>
            </w:r>
          </w:p>
        </w:tc>
      </w:tr>
      <w:tr>
        <w:tc>
          <w:tcPr>
            <w:tcW w:type="dxa" w:w="9360"/>
            <w:tcBorders>
              <w:top w:val="single" w:color="C9D4DE" w:sz="1"/>
              <w:left w:val="single" w:color="C9D4DE" w:sz="1"/>
              <w:bottom w:val="single" w:color="C9D4DE" w:sz="1"/>
              <w:right w:val="single" w:color="C9D4DE" w:sz="1"/>
            </w:tcBorders>
            <w:shd w:fill="FFFFFF" w:val="clear"/>
            <w:tcMar>
              <w:top w:type="dxa" w:w="50"/>
              <w:left w:type="dxa" w:w="120"/>
              <w:bottom w:type="dxa" w:w="50"/>
              <w:right w:type="dxa" w:w="120"/>
            </w:tcMar>
          </w:tcPr>
          <w:p>
            <w:pPr>
              <w:spacing w:after="0"/>
            </w:pPr>
            <w:r>
              <w:rPr>
                <w:b/>
                <w:bCs/>
                <w:color w:val="0B3D62"/>
                <w:sz w:val="19"/>
                <w:szCs w:val="19"/>
              </w:rPr>
              <w:t xml:space="preserve">ML classifier  </w:t>
            </w:r>
            <w:r>
              <w:rPr>
                <w:color w:val="333333"/>
                <w:sz w:val="19"/>
                <w:szCs w:val="19"/>
              </w:rPr>
              <w:t xml:space="preserve">RandomForest predicts the attack family</w:t>
            </w:r>
          </w:p>
        </w:tc>
      </w:tr>
      <w:tr>
        <w:tc>
          <w:tcPr>
            <w:tcW w:type="dxa" w:w="9360"/>
            <w:tcBorders>
              <w:top w:val="single" w:color="C9D4DE" w:sz="1"/>
              <w:left w:val="single" w:color="C9D4DE" w:sz="1"/>
              <w:bottom w:val="single" w:color="C9D4DE" w:sz="1"/>
              <w:right w:val="single" w:color="C9D4DE" w:sz="1"/>
            </w:tcBorders>
            <w:shd w:fill="FFFFFF" w:val="clear"/>
            <w:tcMar>
              <w:top w:type="dxa" w:w="50"/>
              <w:left w:type="dxa" w:w="120"/>
              <w:bottom w:type="dxa" w:w="50"/>
              <w:right w:type="dxa" w:w="120"/>
            </w:tcMar>
          </w:tcPr>
          <w:p>
            <w:pPr>
              <w:spacing w:after="0"/>
            </w:pPr>
            <w:r>
              <w:rPr>
                <w:b/>
                <w:bCs/>
                <w:color w:val="0B3D62"/>
                <w:sz w:val="19"/>
                <w:szCs w:val="19"/>
              </w:rPr>
              <w:t xml:space="preserve">anomaly detector  </w:t>
            </w:r>
            <w:r>
              <w:rPr>
                <w:color w:val="333333"/>
                <w:sz w:val="19"/>
                <w:szCs w:val="19"/>
              </w:rPr>
              <w:t xml:space="preserve">Isolation Forest scores network-flow outliers</w:t>
            </w:r>
          </w:p>
        </w:tc>
      </w:tr>
      <w:tr>
        <w:tc>
          <w:tcPr>
            <w:tcW w:type="dxa" w:w="9360"/>
            <w:tcBorders>
              <w:top w:val="single" w:color="C9D4DE" w:sz="1"/>
              <w:left w:val="single" w:color="C9D4DE" w:sz="1"/>
              <w:bottom w:val="single" w:color="C9D4DE" w:sz="1"/>
              <w:right w:val="single" w:color="C9D4DE" w:sz="1"/>
            </w:tcBorders>
            <w:shd w:fill="FFFFFF" w:val="clear"/>
            <w:tcMar>
              <w:top w:type="dxa" w:w="50"/>
              <w:left w:type="dxa" w:w="120"/>
              <w:bottom w:type="dxa" w:w="50"/>
              <w:right w:type="dxa" w:w="120"/>
            </w:tcMar>
          </w:tcPr>
          <w:p>
            <w:pPr>
              <w:spacing w:after="0"/>
            </w:pPr>
            <w:r>
              <w:rPr>
                <w:b/>
                <w:bCs/>
                <w:color w:val="0B3D62"/>
                <w:sz w:val="19"/>
                <w:szCs w:val="19"/>
              </w:rPr>
              <w:t xml:space="preserve">risk engine  </w:t>
            </w:r>
            <w:r>
              <w:rPr>
                <w:color w:val="333333"/>
                <w:sz w:val="19"/>
                <w:szCs w:val="19"/>
              </w:rPr>
              <w:t xml:space="preserve">weighted combination of signals, no double-counting</w:t>
            </w:r>
          </w:p>
        </w:tc>
      </w:tr>
      <w:tr>
        <w:tc>
          <w:tcPr>
            <w:tcW w:type="dxa" w:w="9360"/>
            <w:tcBorders>
              <w:top w:val="single" w:color="C9D4DE" w:sz="1"/>
              <w:left w:val="single" w:color="C9D4DE" w:sz="1"/>
              <w:bottom w:val="single" w:color="C9D4DE" w:sz="1"/>
              <w:right w:val="single" w:color="C9D4DE" w:sz="1"/>
            </w:tcBorders>
            <w:shd w:fill="FFFFFF" w:val="clear"/>
            <w:tcMar>
              <w:top w:type="dxa" w:w="50"/>
              <w:left w:type="dxa" w:w="120"/>
              <w:bottom w:type="dxa" w:w="50"/>
              <w:right w:type="dxa" w:w="120"/>
            </w:tcMar>
          </w:tcPr>
          <w:p>
            <w:pPr>
              <w:spacing w:after="0"/>
            </w:pPr>
            <w:r>
              <w:rPr>
                <w:b/>
                <w:bCs/>
                <w:color w:val="0B3D62"/>
                <w:sz w:val="19"/>
                <w:szCs w:val="19"/>
              </w:rPr>
              <w:t xml:space="preserve">REST + Socket.IO  </w:t>
            </w:r>
            <w:r>
              <w:rPr>
                <w:color w:val="333333"/>
                <w:sz w:val="19"/>
                <w:szCs w:val="19"/>
              </w:rPr>
              <w:t xml:space="preserve">blueprints for ingest, alerts, stats, intel, response, pcap, ml</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E" w:sz="1"/>
              <w:left w:val="single" w:color="C9D4DE" w:sz="1"/>
              <w:bottom w:val="single" w:color="C9D4DE" w:sz="1"/>
              <w:right w:val="single" w:color="C9D4DE" w:sz="1"/>
            </w:tcBorders>
            <w:shd w:fill="0E7490" w:val="clear"/>
            <w:tcMar>
              <w:top w:type="dxa" w:w="50"/>
              <w:left w:type="dxa" w:w="120"/>
              <w:bottom w:type="dxa" w:w="50"/>
              <w:right w:type="dxa" w:w="120"/>
            </w:tcMar>
          </w:tcPr>
          <w:p>
            <w:pPr>
              <w:spacing w:after="0"/>
            </w:pPr>
            <w:r>
              <w:rPr>
                <w:b/>
                <w:bCs/>
                <w:color w:val="FFFFFF"/>
                <w:sz w:val="20"/>
                <w:szCs w:val="20"/>
              </w:rPr>
              <w:t xml:space="preserve">LAYER 3 — FRONTEND (React + Vite)</w:t>
            </w:r>
          </w:p>
        </w:tc>
      </w:tr>
      <w:tr>
        <w:tc>
          <w:tcPr>
            <w:tcW w:type="dxa" w:w="9360"/>
            <w:tcBorders>
              <w:top w:val="single" w:color="C9D4DE" w:sz="1"/>
              <w:left w:val="single" w:color="C9D4DE" w:sz="1"/>
              <w:bottom w:val="single" w:color="C9D4DE" w:sz="1"/>
              <w:right w:val="single" w:color="C9D4DE" w:sz="1"/>
            </w:tcBorders>
            <w:shd w:fill="FFFFFF" w:val="clear"/>
            <w:tcMar>
              <w:top w:type="dxa" w:w="50"/>
              <w:left w:type="dxa" w:w="120"/>
              <w:bottom w:type="dxa" w:w="50"/>
              <w:right w:type="dxa" w:w="120"/>
            </w:tcMar>
          </w:tcPr>
          <w:p>
            <w:pPr>
              <w:spacing w:after="0"/>
            </w:pPr>
            <w:r>
              <w:rPr>
                <w:b/>
                <w:bCs/>
                <w:color w:val="0B3D62"/>
                <w:sz w:val="19"/>
                <w:szCs w:val="19"/>
              </w:rPr>
              <w:t xml:space="preserve">dashboard  </w:t>
            </w:r>
            <w:r>
              <w:rPr>
                <w:color w:val="333333"/>
                <w:sz w:val="19"/>
                <w:szCs w:val="19"/>
              </w:rPr>
              <w:t xml:space="preserve">overview cards, severity &amp; risk charts, live alerts</w:t>
            </w:r>
          </w:p>
        </w:tc>
      </w:tr>
      <w:tr>
        <w:tc>
          <w:tcPr>
            <w:tcW w:type="dxa" w:w="9360"/>
            <w:tcBorders>
              <w:top w:val="single" w:color="C9D4DE" w:sz="1"/>
              <w:left w:val="single" w:color="C9D4DE" w:sz="1"/>
              <w:bottom w:val="single" w:color="C9D4DE" w:sz="1"/>
              <w:right w:val="single" w:color="C9D4DE" w:sz="1"/>
            </w:tcBorders>
            <w:shd w:fill="FFFFFF" w:val="clear"/>
            <w:tcMar>
              <w:top w:type="dxa" w:w="50"/>
              <w:left w:type="dxa" w:w="120"/>
              <w:bottom w:type="dxa" w:w="50"/>
              <w:right w:type="dxa" w:w="120"/>
            </w:tcMar>
          </w:tcPr>
          <w:p>
            <w:pPr>
              <w:spacing w:after="0"/>
            </w:pPr>
            <w:r>
              <w:rPr>
                <w:b/>
                <w:bCs/>
                <w:color w:val="0B3D62"/>
                <w:sz w:val="19"/>
                <w:szCs w:val="19"/>
              </w:rPr>
              <w:t xml:space="preserve">alert cards  </w:t>
            </w:r>
            <w:r>
              <w:rPr>
                <w:color w:val="333333"/>
                <w:sz w:val="19"/>
                <w:szCs w:val="19"/>
              </w:rPr>
              <w:t xml:space="preserve">ML family, confidence, risk score, priority, anomaly</w:t>
            </w:r>
          </w:p>
        </w:tc>
      </w:tr>
      <w:tr>
        <w:tc>
          <w:tcPr>
            <w:tcW w:type="dxa" w:w="9360"/>
            <w:tcBorders>
              <w:top w:val="single" w:color="C9D4DE" w:sz="1"/>
              <w:left w:val="single" w:color="C9D4DE" w:sz="1"/>
              <w:bottom w:val="single" w:color="C9D4DE" w:sz="1"/>
              <w:right w:val="single" w:color="C9D4DE" w:sz="1"/>
            </w:tcBorders>
            <w:shd w:fill="FFFFFF" w:val="clear"/>
            <w:tcMar>
              <w:top w:type="dxa" w:w="50"/>
              <w:left w:type="dxa" w:w="120"/>
              <w:bottom w:type="dxa" w:w="50"/>
              <w:right w:type="dxa" w:w="120"/>
            </w:tcMar>
          </w:tcPr>
          <w:p>
            <w:pPr>
              <w:spacing w:after="0"/>
            </w:pPr>
            <w:r>
              <w:rPr>
                <w:b/>
                <w:bCs/>
                <w:color w:val="0B3D62"/>
                <w:sz w:val="19"/>
                <w:szCs w:val="19"/>
              </w:rPr>
              <w:t xml:space="preserve">investigation  </w:t>
            </w:r>
            <w:r>
              <w:rPr>
                <w:color w:val="333333"/>
                <w:sz w:val="19"/>
                <w:szCs w:val="19"/>
              </w:rPr>
              <w:t xml:space="preserve">drawer with ML analysis and AI incident summary</w:t>
            </w:r>
          </w:p>
        </w:tc>
      </w:tr>
      <w:tr>
        <w:tc>
          <w:tcPr>
            <w:tcW w:type="dxa" w:w="9360"/>
            <w:tcBorders>
              <w:top w:val="single" w:color="C9D4DE" w:sz="1"/>
              <w:left w:val="single" w:color="C9D4DE" w:sz="1"/>
              <w:bottom w:val="single" w:color="C9D4DE" w:sz="1"/>
              <w:right w:val="single" w:color="C9D4DE" w:sz="1"/>
            </w:tcBorders>
            <w:shd w:fill="FFFFFF" w:val="clear"/>
            <w:tcMar>
              <w:top w:type="dxa" w:w="50"/>
              <w:left w:type="dxa" w:w="120"/>
              <w:bottom w:type="dxa" w:w="50"/>
              <w:right w:type="dxa" w:w="120"/>
            </w:tcMar>
          </w:tcPr>
          <w:p>
            <w:pPr>
              <w:spacing w:after="0"/>
            </w:pPr>
            <w:r>
              <w:rPr>
                <w:b/>
                <w:bCs/>
                <w:color w:val="0B3D62"/>
                <w:sz w:val="19"/>
                <w:szCs w:val="19"/>
              </w:rPr>
              <w:t xml:space="preserve">controls  </w:t>
            </w:r>
            <w:r>
              <w:rPr>
                <w:color w:val="333333"/>
                <w:sz w:val="19"/>
                <w:szCs w:val="19"/>
              </w:rPr>
              <w:t xml:space="preserve">filters, search, sort, pagination; loading/empty/error states</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4DE" w:sz="1"/>
              <w:left w:val="single" w:color="C9D4DE" w:sz="1"/>
              <w:bottom w:val="single" w:color="C9D4DE" w:sz="1"/>
              <w:right w:val="single" w:color="C9D4DE" w:sz="1"/>
            </w:tcBorders>
            <w:shd w:fill="15803D" w:val="clear"/>
            <w:tcMar>
              <w:top w:type="dxa" w:w="50"/>
              <w:left w:type="dxa" w:w="120"/>
              <w:bottom w:type="dxa" w:w="50"/>
              <w:right w:type="dxa" w:w="120"/>
            </w:tcMar>
          </w:tcPr>
          <w:p>
            <w:pPr>
              <w:spacing w:after="0"/>
            </w:pPr>
            <w:r>
              <w:rPr>
                <w:b/>
                <w:bCs/>
                <w:color w:val="FFFFFF"/>
                <w:sz w:val="20"/>
                <w:szCs w:val="20"/>
              </w:rPr>
              <w:t xml:space="preserve">LAYER 4 — DATA (MongoDB)</w:t>
            </w:r>
          </w:p>
        </w:tc>
      </w:tr>
      <w:tr>
        <w:tc>
          <w:tcPr>
            <w:tcW w:type="dxa" w:w="9360"/>
            <w:tcBorders>
              <w:top w:val="single" w:color="C9D4DE" w:sz="1"/>
              <w:left w:val="single" w:color="C9D4DE" w:sz="1"/>
              <w:bottom w:val="single" w:color="C9D4DE" w:sz="1"/>
              <w:right w:val="single" w:color="C9D4DE" w:sz="1"/>
            </w:tcBorders>
            <w:shd w:fill="FFFFFF" w:val="clear"/>
            <w:tcMar>
              <w:top w:type="dxa" w:w="50"/>
              <w:left w:type="dxa" w:w="120"/>
              <w:bottom w:type="dxa" w:w="50"/>
              <w:right w:type="dxa" w:w="120"/>
            </w:tcMar>
          </w:tcPr>
          <w:p>
            <w:pPr>
              <w:spacing w:after="0"/>
            </w:pPr>
            <w:r>
              <w:rPr>
                <w:b/>
                <w:bCs/>
                <w:color w:val="0B3D62"/>
                <w:sz w:val="19"/>
                <w:szCs w:val="19"/>
              </w:rPr>
              <w:t xml:space="preserve">logs  </w:t>
            </w:r>
            <w:r>
              <w:rPr>
                <w:color w:val="333333"/>
                <w:sz w:val="19"/>
                <w:szCs w:val="19"/>
              </w:rPr>
              <w:t xml:space="preserve">raw + normalized event + ingestion timestamp + event_hash</w:t>
            </w:r>
          </w:p>
        </w:tc>
      </w:tr>
      <w:tr>
        <w:tc>
          <w:tcPr>
            <w:tcW w:type="dxa" w:w="9360"/>
            <w:tcBorders>
              <w:top w:val="single" w:color="C9D4DE" w:sz="1"/>
              <w:left w:val="single" w:color="C9D4DE" w:sz="1"/>
              <w:bottom w:val="single" w:color="C9D4DE" w:sz="1"/>
              <w:right w:val="single" w:color="C9D4DE" w:sz="1"/>
            </w:tcBorders>
            <w:shd w:fill="FFFFFF" w:val="clear"/>
            <w:tcMar>
              <w:top w:type="dxa" w:w="50"/>
              <w:left w:type="dxa" w:w="120"/>
              <w:bottom w:type="dxa" w:w="50"/>
              <w:right w:type="dxa" w:w="120"/>
            </w:tcMar>
          </w:tcPr>
          <w:p>
            <w:pPr>
              <w:spacing w:after="0"/>
            </w:pPr>
            <w:r>
              <w:rPr>
                <w:b/>
                <w:bCs/>
                <w:color w:val="0B3D62"/>
                <w:sz w:val="19"/>
                <w:szCs w:val="19"/>
              </w:rPr>
              <w:t xml:space="preserve">alerts  </w:t>
            </w:r>
            <w:r>
              <w:rPr>
                <w:color w:val="333333"/>
                <w:sz w:val="19"/>
                <w:szCs w:val="19"/>
              </w:rPr>
              <w:t xml:space="preserve">rule score + ML + anomaly + risk_score + priority</w:t>
            </w:r>
          </w:p>
        </w:tc>
      </w:tr>
      <w:tr>
        <w:tc>
          <w:tcPr>
            <w:tcW w:type="dxa" w:w="9360"/>
            <w:tcBorders>
              <w:top w:val="single" w:color="C9D4DE" w:sz="1"/>
              <w:left w:val="single" w:color="C9D4DE" w:sz="1"/>
              <w:bottom w:val="single" w:color="C9D4DE" w:sz="1"/>
              <w:right w:val="single" w:color="C9D4DE" w:sz="1"/>
            </w:tcBorders>
            <w:shd w:fill="FFFFFF" w:val="clear"/>
            <w:tcMar>
              <w:top w:type="dxa" w:w="50"/>
              <w:left w:type="dxa" w:w="120"/>
              <w:bottom w:type="dxa" w:w="50"/>
              <w:right w:type="dxa" w:w="120"/>
            </w:tcMar>
          </w:tcPr>
          <w:p>
            <w:pPr>
              <w:spacing w:after="0"/>
            </w:pPr>
            <w:r>
              <w:rPr>
                <w:b/>
                <w:bCs/>
                <w:color w:val="0B3D62"/>
                <w:sz w:val="19"/>
                <w:szCs w:val="19"/>
              </w:rPr>
              <w:t xml:space="preserve">blocked_ips  </w:t>
            </w:r>
            <w:r>
              <w:rPr>
                <w:color w:val="333333"/>
                <w:sz w:val="19"/>
                <w:szCs w:val="19"/>
              </w:rPr>
              <w:t xml:space="preserve">unique IP index; model reports stored on disk</w:t>
            </w:r>
          </w:p>
        </w:tc>
      </w:tr>
    </w:tbl>
    <w:p>
      <w:pPr>
        <w:pStyle w:val="Heading2"/>
      </w:pPr>
      <w:r>
        <w:t xml:space="preserve">4.2  Component Responsibilities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9D4DE" w:sz="1"/>
              <w:left w:val="single" w:color="C9D4DE" w:sz="1"/>
              <w:bottom w:val="single" w:color="C9D4DE" w:sz="1"/>
              <w:right w:val="single" w:color="C9D4DE" w:sz="1"/>
            </w:tcBorders>
            <w:shd w:fill="0B3D62" w:val="clear"/>
            <w:tcMar>
              <w:top w:type="dxa" w:w="60"/>
              <w:left w:type="dxa" w:w="100"/>
              <w:bottom w:type="dxa" w:w="60"/>
              <w:right w:type="dxa" w:w="100"/>
            </w:tcMar>
            <w:vAlign w:val="center"/>
          </w:tcPr>
          <w:p>
            <w:pPr>
              <w:spacing w:after="0"/>
            </w:pPr>
            <w:r>
              <w:rPr>
                <w:b/>
                <w:bCs/>
                <w:color w:val="FFFFFF"/>
                <w:sz w:val="19"/>
                <w:szCs w:val="19"/>
              </w:rPr>
              <w:t xml:space="preserve">Module</w:t>
            </w:r>
          </w:p>
        </w:tc>
        <w:tc>
          <w:tcPr>
            <w:tcW w:type="dxa" w:w="7060"/>
            <w:tcBorders>
              <w:top w:val="single" w:color="C9D4DE" w:sz="1"/>
              <w:left w:val="single" w:color="C9D4DE" w:sz="1"/>
              <w:bottom w:val="single" w:color="C9D4DE" w:sz="1"/>
              <w:right w:val="single" w:color="C9D4DE" w:sz="1"/>
            </w:tcBorders>
            <w:shd w:fill="0B3D62" w:val="clear"/>
            <w:tcMar>
              <w:top w:type="dxa" w:w="60"/>
              <w:left w:type="dxa" w:w="100"/>
              <w:bottom w:type="dxa" w:w="60"/>
              <w:right w:type="dxa" w:w="100"/>
            </w:tcMar>
            <w:vAlign w:val="center"/>
          </w:tcPr>
          <w:p>
            <w:pPr>
              <w:spacing w:after="0"/>
            </w:pPr>
            <w:r>
              <w:rPr>
                <w:b/>
                <w:bCs/>
                <w:color w:val="FFFFFF"/>
                <w:sz w:val="19"/>
                <w:szCs w:val="19"/>
              </w:rPr>
              <w:t xml:space="preserve">Responsibility</w:t>
            </w:r>
          </w:p>
        </w:tc>
      </w:tr>
      <w:tr>
        <w:tc>
          <w:tcPr>
            <w:tcW w:type="dxa" w:w="2300"/>
            <w:tcBorders>
              <w:top w:val="single" w:color="C9D4DE" w:sz="1"/>
              <w:left w:val="single" w:color="C9D4DE" w:sz="1"/>
              <w:bottom w:val="single" w:color="C9D4DE" w:sz="1"/>
              <w:right w:val="single" w:color="C9D4DE" w:sz="1"/>
            </w:tcBorders>
            <w:shd w:fill="F3F7FA" w:val="clear"/>
            <w:tcMar>
              <w:top w:type="dxa" w:w="60"/>
              <w:left w:type="dxa" w:w="100"/>
              <w:bottom w:type="dxa" w:w="60"/>
              <w:right w:type="dxa" w:w="100"/>
            </w:tcMar>
          </w:tcPr>
          <w:p>
            <w:pPr>
              <w:spacing w:after="0"/>
            </w:pPr>
            <w:r>
              <w:rPr>
                <w:b/>
                <w:bCs/>
                <w:color w:val="000000"/>
                <w:sz w:val="19"/>
                <w:szCs w:val="19"/>
              </w:rPr>
              <w:t xml:space="preserve">config.py</w:t>
            </w:r>
          </w:p>
        </w:tc>
        <w:tc>
          <w:tcPr>
            <w:tcW w:type="dxa" w:w="706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val="false"/>
                <w:bCs w:val="false"/>
                <w:color w:val="000000"/>
                <w:sz w:val="19"/>
                <w:szCs w:val="19"/>
              </w:rPr>
              <w:t xml:space="preserve">Environment-based configuration; no secrets in code.</w:t>
            </w:r>
          </w:p>
        </w:tc>
      </w:tr>
      <w:tr>
        <w:tc>
          <w:tcPr>
            <w:tcW w:type="dxa" w:w="230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bCs/>
                <w:color w:val="000000"/>
                <w:sz w:val="19"/>
                <w:szCs w:val="19"/>
              </w:rPr>
              <w:t xml:space="preserve">extensions.py</w:t>
            </w:r>
          </w:p>
        </w:tc>
        <w:tc>
          <w:tcPr>
            <w:tcW w:type="dxa" w:w="706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val="false"/>
                <w:bCs w:val="false"/>
                <w:color w:val="000000"/>
                <w:sz w:val="19"/>
                <w:szCs w:val="19"/>
              </w:rPr>
              <w:t xml:space="preserve">Mongo client, collections, Socket.IO, index creation.</w:t>
            </w:r>
          </w:p>
        </w:tc>
      </w:tr>
      <w:tr>
        <w:tc>
          <w:tcPr>
            <w:tcW w:type="dxa" w:w="2300"/>
            <w:tcBorders>
              <w:top w:val="single" w:color="C9D4DE" w:sz="1"/>
              <w:left w:val="single" w:color="C9D4DE" w:sz="1"/>
              <w:bottom w:val="single" w:color="C9D4DE" w:sz="1"/>
              <w:right w:val="single" w:color="C9D4DE" w:sz="1"/>
            </w:tcBorders>
            <w:shd w:fill="F3F7FA" w:val="clear"/>
            <w:tcMar>
              <w:top w:type="dxa" w:w="60"/>
              <w:left w:type="dxa" w:w="100"/>
              <w:bottom w:type="dxa" w:w="60"/>
              <w:right w:type="dxa" w:w="100"/>
            </w:tcMar>
          </w:tcPr>
          <w:p>
            <w:pPr>
              <w:spacing w:after="0"/>
            </w:pPr>
            <w:r>
              <w:rPr>
                <w:b/>
                <w:bCs/>
                <w:color w:val="000000"/>
                <w:sz w:val="19"/>
                <w:szCs w:val="19"/>
              </w:rPr>
              <w:t xml:space="preserve">services/</w:t>
            </w:r>
          </w:p>
        </w:tc>
        <w:tc>
          <w:tcPr>
            <w:tcW w:type="dxa" w:w="706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val="false"/>
                <w:bCs w:val="false"/>
                <w:color w:val="000000"/>
                <w:sz w:val="19"/>
                <w:szCs w:val="19"/>
              </w:rPr>
              <w:t xml:space="preserve">validation, scoring, intel, response, normalize, ingest, pcap.</w:t>
            </w:r>
          </w:p>
        </w:tc>
      </w:tr>
      <w:tr>
        <w:tc>
          <w:tcPr>
            <w:tcW w:type="dxa" w:w="230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bCs/>
                <w:color w:val="000000"/>
                <w:sz w:val="19"/>
                <w:szCs w:val="19"/>
              </w:rPr>
              <w:t xml:space="preserve">blueprints/</w:t>
            </w:r>
          </w:p>
        </w:tc>
        <w:tc>
          <w:tcPr>
            <w:tcW w:type="dxa" w:w="706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val="false"/>
                <w:bCs w:val="false"/>
                <w:color w:val="000000"/>
                <w:sz w:val="19"/>
                <w:szCs w:val="19"/>
              </w:rPr>
              <w:t xml:space="preserve">Route groups: core, ingest, alerts, intel, response, pcap, stats, ml.</w:t>
            </w:r>
          </w:p>
        </w:tc>
      </w:tr>
      <w:tr>
        <w:tc>
          <w:tcPr>
            <w:tcW w:type="dxa" w:w="2300"/>
            <w:tcBorders>
              <w:top w:val="single" w:color="C9D4DE" w:sz="1"/>
              <w:left w:val="single" w:color="C9D4DE" w:sz="1"/>
              <w:bottom w:val="single" w:color="C9D4DE" w:sz="1"/>
              <w:right w:val="single" w:color="C9D4DE" w:sz="1"/>
            </w:tcBorders>
            <w:shd w:fill="F3F7FA" w:val="clear"/>
            <w:tcMar>
              <w:top w:type="dxa" w:w="60"/>
              <w:left w:type="dxa" w:w="100"/>
              <w:bottom w:type="dxa" w:w="60"/>
              <w:right w:type="dxa" w:w="100"/>
            </w:tcMar>
          </w:tcPr>
          <w:p>
            <w:pPr>
              <w:spacing w:after="0"/>
            </w:pPr>
            <w:r>
              <w:rPr>
                <w:b/>
                <w:bCs/>
                <w:color w:val="000000"/>
                <w:sz w:val="19"/>
                <w:szCs w:val="19"/>
              </w:rPr>
              <w:t xml:space="preserve">ml/</w:t>
            </w:r>
          </w:p>
        </w:tc>
        <w:tc>
          <w:tcPr>
            <w:tcW w:type="dxa" w:w="706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val="false"/>
                <w:bCs w:val="false"/>
                <w:color w:val="000000"/>
                <w:sz w:val="19"/>
                <w:szCs w:val="19"/>
              </w:rPr>
              <w:t xml:space="preserve">labels, features, train_classifier, train_anomaly, inference, risk_engine, incident_ai.</w:t>
            </w:r>
          </w:p>
        </w:tc>
      </w:tr>
    </w:tbl>
    <w:p>
      <w:pPr>
        <w:pStyle w:val="Heading2"/>
      </w:pPr>
      <w:r>
        <w:t xml:space="preserve">4.3  Data Flow</w:t>
      </w:r>
    </w:p>
    <w:p>
      <w:pPr>
        <w:pStyle w:val="ListParagraph"/>
        <w:numPr>
          <w:ilvl w:val="0"/>
          <w:numId w:val="3"/>
        </w:numPr>
      </w:pPr>
      <w:r>
        <w:rPr>
          <w:sz w:val="21"/>
          <w:szCs w:val="21"/>
        </w:rPr>
        <w:t xml:space="preserve">Suricata emits an IDS event (or the agent simulates one).</w:t>
      </w:r>
    </w:p>
    <w:p>
      <w:pPr>
        <w:pStyle w:val="ListParagraph"/>
        <w:numPr>
          <w:ilvl w:val="0"/>
          <w:numId w:val="3"/>
        </w:numPr>
      </w:pPr>
      <w:r>
        <w:rPr>
          <w:sz w:val="21"/>
          <w:szCs w:val="21"/>
        </w:rPr>
        <w:t xml:space="preserve">Backend /ingest validates the JSON body and queues background processing.</w:t>
      </w:r>
    </w:p>
    <w:p>
      <w:pPr>
        <w:pStyle w:val="ListParagraph"/>
        <w:numPr>
          <w:ilvl w:val="0"/>
          <w:numId w:val="3"/>
        </w:numPr>
      </w:pPr>
      <w:r>
        <w:rPr>
          <w:sz w:val="21"/>
          <w:szCs w:val="21"/>
        </w:rPr>
        <w:t xml:space="preserve">The event is normalized (legacy or full EVE) to the canonical schema.</w:t>
      </w:r>
    </w:p>
    <w:p>
      <w:pPr>
        <w:pStyle w:val="ListParagraph"/>
        <w:numPr>
          <w:ilvl w:val="0"/>
          <w:numId w:val="3"/>
        </w:numPr>
      </w:pPr>
      <w:r>
        <w:rPr>
          <w:sz w:val="21"/>
          <w:szCs w:val="21"/>
        </w:rPr>
        <w:t xml:space="preserve">A dedup fingerprint suppresses identical events within a short window.</w:t>
      </w:r>
    </w:p>
    <w:p>
      <w:pPr>
        <w:pStyle w:val="ListParagraph"/>
        <w:numPr>
          <w:ilvl w:val="0"/>
          <w:numId w:val="3"/>
        </w:numPr>
      </w:pPr>
      <w:r>
        <w:rPr>
          <w:sz w:val="21"/>
          <w:szCs w:val="21"/>
        </w:rPr>
        <w:t xml:space="preserve">The event is persisted to the logs collection with metadata.</w:t>
      </w:r>
    </w:p>
    <w:p>
      <w:pPr>
        <w:pStyle w:val="ListParagraph"/>
        <w:numPr>
          <w:ilvl w:val="0"/>
          <w:numId w:val="3"/>
        </w:numPr>
      </w:pPr>
      <w:r>
        <w:rPr>
          <w:sz w:val="21"/>
          <w:szCs w:val="21"/>
        </w:rPr>
        <w:t xml:space="preserve">For alerts: rule score, ML family, and flow anomaly are computed.</w:t>
      </w:r>
    </w:p>
    <w:p>
      <w:pPr>
        <w:pStyle w:val="ListParagraph"/>
        <w:numPr>
          <w:ilvl w:val="0"/>
          <w:numId w:val="3"/>
        </w:numPr>
      </w:pPr>
      <w:r>
        <w:rPr>
          <w:sz w:val="21"/>
          <w:szCs w:val="21"/>
        </w:rPr>
        <w:t xml:space="preserve">The risk engine combines available signals into risk_score + priority.</w:t>
      </w:r>
    </w:p>
    <w:p>
      <w:pPr>
        <w:pStyle w:val="ListParagraph"/>
        <w:numPr>
          <w:ilvl w:val="0"/>
          <w:numId w:val="3"/>
        </w:numPr>
      </w:pPr>
      <w:r>
        <w:rPr>
          <w:sz w:val="21"/>
          <w:szCs w:val="21"/>
        </w:rPr>
        <w:t xml:space="preserve">An enriched alert is stored; IDS severity is kept separate from risk.</w:t>
      </w:r>
    </w:p>
    <w:p>
      <w:pPr>
        <w:pStyle w:val="ListParagraph"/>
        <w:numPr>
          <w:ilvl w:val="0"/>
          <w:numId w:val="3"/>
        </w:numPr>
      </w:pPr>
      <w:r>
        <w:rPr>
          <w:sz w:val="21"/>
          <w:szCs w:val="21"/>
        </w:rPr>
        <w:t xml:space="preserve">Telegram notify and config-gated firewall block run on High/Critical.</w:t>
      </w:r>
    </w:p>
    <w:p>
      <w:pPr>
        <w:pStyle w:val="ListParagraph"/>
        <w:numPr>
          <w:ilvl w:val="0"/>
          <w:numId w:val="3"/>
        </w:numPr>
      </w:pPr>
      <w:r>
        <w:rPr>
          <w:sz w:val="21"/>
          <w:szCs w:val="21"/>
        </w:rPr>
        <w:t xml:space="preserve">Socket.IO emits updates; the dashboard renders alerts and summaries.</w:t>
      </w:r>
    </w:p>
    <w:p>
      <w:r>
        <w:br w:type="page"/>
      </w:r>
    </w:p>
    <w:p>
      <w:pPr>
        <w:pStyle w:val="Heading1"/>
      </w:pPr>
      <w:r>
        <w:t xml:space="preserve">5.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9D4DE" w:sz="1"/>
              <w:left w:val="single" w:color="C9D4DE" w:sz="1"/>
              <w:bottom w:val="single" w:color="C9D4DE" w:sz="1"/>
              <w:right w:val="single" w:color="C9D4DE" w:sz="1"/>
            </w:tcBorders>
            <w:shd w:fill="0B3D62" w:val="clear"/>
            <w:tcMar>
              <w:top w:type="dxa" w:w="60"/>
              <w:left w:type="dxa" w:w="100"/>
              <w:bottom w:type="dxa" w:w="60"/>
              <w:right w:type="dxa" w:w="100"/>
            </w:tcMar>
            <w:vAlign w:val="center"/>
          </w:tcPr>
          <w:p>
            <w:pPr>
              <w:spacing w:after="0"/>
            </w:pPr>
            <w:r>
              <w:rPr>
                <w:b/>
                <w:bCs/>
                <w:color w:val="FFFFFF"/>
                <w:sz w:val="19"/>
                <w:szCs w:val="19"/>
              </w:rPr>
              <w:t xml:space="preserve">Layer</w:t>
            </w:r>
          </w:p>
        </w:tc>
        <w:tc>
          <w:tcPr>
            <w:tcW w:type="dxa" w:w="7060"/>
            <w:tcBorders>
              <w:top w:val="single" w:color="C9D4DE" w:sz="1"/>
              <w:left w:val="single" w:color="C9D4DE" w:sz="1"/>
              <w:bottom w:val="single" w:color="C9D4DE" w:sz="1"/>
              <w:right w:val="single" w:color="C9D4DE" w:sz="1"/>
            </w:tcBorders>
            <w:shd w:fill="0B3D62" w:val="clear"/>
            <w:tcMar>
              <w:top w:type="dxa" w:w="60"/>
              <w:left w:type="dxa" w:w="100"/>
              <w:bottom w:type="dxa" w:w="60"/>
              <w:right w:type="dxa" w:w="100"/>
            </w:tcMar>
            <w:vAlign w:val="center"/>
          </w:tcPr>
          <w:p>
            <w:pPr>
              <w:spacing w:after="0"/>
            </w:pPr>
            <w:r>
              <w:rPr>
                <w:b/>
                <w:bCs/>
                <w:color w:val="FFFFFF"/>
                <w:sz w:val="19"/>
                <w:szCs w:val="19"/>
              </w:rPr>
              <w:t xml:space="preserve">Technologies</w:t>
            </w:r>
          </w:p>
        </w:tc>
      </w:tr>
      <w:tr>
        <w:tc>
          <w:tcPr>
            <w:tcW w:type="dxa" w:w="2300"/>
            <w:tcBorders>
              <w:top w:val="single" w:color="C9D4DE" w:sz="1"/>
              <w:left w:val="single" w:color="C9D4DE" w:sz="1"/>
              <w:bottom w:val="single" w:color="C9D4DE" w:sz="1"/>
              <w:right w:val="single" w:color="C9D4DE" w:sz="1"/>
            </w:tcBorders>
            <w:shd w:fill="F3F7FA" w:val="clear"/>
            <w:tcMar>
              <w:top w:type="dxa" w:w="60"/>
              <w:left w:type="dxa" w:w="100"/>
              <w:bottom w:type="dxa" w:w="60"/>
              <w:right w:type="dxa" w:w="100"/>
            </w:tcMar>
          </w:tcPr>
          <w:p>
            <w:pPr>
              <w:spacing w:after="0"/>
            </w:pPr>
            <w:r>
              <w:rPr>
                <w:b/>
                <w:bCs/>
                <w:color w:val="000000"/>
                <w:sz w:val="19"/>
                <w:szCs w:val="19"/>
              </w:rPr>
              <w:t xml:space="preserve">Agent</w:t>
            </w:r>
          </w:p>
        </w:tc>
        <w:tc>
          <w:tcPr>
            <w:tcW w:type="dxa" w:w="706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val="false"/>
                <w:bCs w:val="false"/>
                <w:color w:val="000000"/>
                <w:sz w:val="19"/>
                <w:szCs w:val="19"/>
              </w:rPr>
              <w:t xml:space="preserve">Python, requests, Suricata EVE JSON</w:t>
            </w:r>
          </w:p>
        </w:tc>
      </w:tr>
      <w:tr>
        <w:tc>
          <w:tcPr>
            <w:tcW w:type="dxa" w:w="230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bCs/>
                <w:color w:val="000000"/>
                <w:sz w:val="19"/>
                <w:szCs w:val="19"/>
              </w:rPr>
              <w:t xml:space="preserve">Backend</w:t>
            </w:r>
          </w:p>
        </w:tc>
        <w:tc>
          <w:tcPr>
            <w:tcW w:type="dxa" w:w="706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val="false"/>
                <w:bCs w:val="false"/>
                <w:color w:val="000000"/>
                <w:sz w:val="19"/>
                <w:szCs w:val="19"/>
              </w:rPr>
              <w:t xml:space="preserve">Flask, Flask-SocketIO, Flask-CORS, python-dotenv, scapy</w:t>
            </w:r>
          </w:p>
        </w:tc>
      </w:tr>
      <w:tr>
        <w:tc>
          <w:tcPr>
            <w:tcW w:type="dxa" w:w="2300"/>
            <w:tcBorders>
              <w:top w:val="single" w:color="C9D4DE" w:sz="1"/>
              <w:left w:val="single" w:color="C9D4DE" w:sz="1"/>
              <w:bottom w:val="single" w:color="C9D4DE" w:sz="1"/>
              <w:right w:val="single" w:color="C9D4DE" w:sz="1"/>
            </w:tcBorders>
            <w:shd w:fill="F3F7FA" w:val="clear"/>
            <w:tcMar>
              <w:top w:type="dxa" w:w="60"/>
              <w:left w:type="dxa" w:w="100"/>
              <w:bottom w:type="dxa" w:w="60"/>
              <w:right w:type="dxa" w:w="100"/>
            </w:tcMar>
          </w:tcPr>
          <w:p>
            <w:pPr>
              <w:spacing w:after="0"/>
            </w:pPr>
            <w:r>
              <w:rPr>
                <w:b/>
                <w:bCs/>
                <w:color w:val="000000"/>
                <w:sz w:val="19"/>
                <w:szCs w:val="19"/>
              </w:rPr>
              <w:t xml:space="preserve">Intelligence</w:t>
            </w:r>
          </w:p>
        </w:tc>
        <w:tc>
          <w:tcPr>
            <w:tcW w:type="dxa" w:w="706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val="false"/>
                <w:bCs w:val="false"/>
                <w:color w:val="000000"/>
                <w:sz w:val="19"/>
                <w:szCs w:val="19"/>
              </w:rPr>
              <w:t xml:space="preserve">scikit-learn (RandomForest, Isolation Forest), pandas, numpy, joblib</w:t>
            </w:r>
          </w:p>
        </w:tc>
      </w:tr>
      <w:tr>
        <w:tc>
          <w:tcPr>
            <w:tcW w:type="dxa" w:w="230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bCs/>
                <w:color w:val="000000"/>
                <w:sz w:val="19"/>
                <w:szCs w:val="19"/>
              </w:rPr>
              <w:t xml:space="preserve">AI summaries</w:t>
            </w:r>
          </w:p>
        </w:tc>
        <w:tc>
          <w:tcPr>
            <w:tcW w:type="dxa" w:w="706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val="false"/>
                <w:bCs w:val="false"/>
                <w:color w:val="000000"/>
                <w:sz w:val="19"/>
                <w:szCs w:val="19"/>
              </w:rPr>
              <w:t xml:space="preserve">Pluggable LLM (OpenAI / Ollama) with deterministic fallback</w:t>
            </w:r>
          </w:p>
        </w:tc>
      </w:tr>
      <w:tr>
        <w:tc>
          <w:tcPr>
            <w:tcW w:type="dxa" w:w="2300"/>
            <w:tcBorders>
              <w:top w:val="single" w:color="C9D4DE" w:sz="1"/>
              <w:left w:val="single" w:color="C9D4DE" w:sz="1"/>
              <w:bottom w:val="single" w:color="C9D4DE" w:sz="1"/>
              <w:right w:val="single" w:color="C9D4DE" w:sz="1"/>
            </w:tcBorders>
            <w:shd w:fill="F3F7FA" w:val="clear"/>
            <w:tcMar>
              <w:top w:type="dxa" w:w="60"/>
              <w:left w:type="dxa" w:w="100"/>
              <w:bottom w:type="dxa" w:w="60"/>
              <w:right w:type="dxa" w:w="100"/>
            </w:tcMar>
          </w:tcPr>
          <w:p>
            <w:pPr>
              <w:spacing w:after="0"/>
            </w:pPr>
            <w:r>
              <w:rPr>
                <w:b/>
                <w:bCs/>
                <w:color w:val="000000"/>
                <w:sz w:val="19"/>
                <w:szCs w:val="19"/>
              </w:rPr>
              <w:t xml:space="preserve">Frontend</w:t>
            </w:r>
          </w:p>
        </w:tc>
        <w:tc>
          <w:tcPr>
            <w:tcW w:type="dxa" w:w="706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val="false"/>
                <w:bCs w:val="false"/>
                <w:color w:val="000000"/>
                <w:sz w:val="19"/>
                <w:szCs w:val="19"/>
              </w:rPr>
              <w:t xml:space="preserve">React, Vite, axios, socket.io-client, Chart.js, Leaflet</w:t>
            </w:r>
          </w:p>
        </w:tc>
      </w:tr>
      <w:tr>
        <w:tc>
          <w:tcPr>
            <w:tcW w:type="dxa" w:w="230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bCs/>
                <w:color w:val="000000"/>
                <w:sz w:val="19"/>
                <w:szCs w:val="19"/>
              </w:rPr>
              <w:t xml:space="preserve">Data</w:t>
            </w:r>
          </w:p>
        </w:tc>
        <w:tc>
          <w:tcPr>
            <w:tcW w:type="dxa" w:w="706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val="false"/>
                <w:bCs w:val="false"/>
                <w:color w:val="000000"/>
                <w:sz w:val="19"/>
                <w:szCs w:val="19"/>
              </w:rPr>
              <w:t xml:space="preserve">MongoDB (pymongo)</w:t>
            </w:r>
          </w:p>
        </w:tc>
      </w:tr>
      <w:tr>
        <w:tc>
          <w:tcPr>
            <w:tcW w:type="dxa" w:w="2300"/>
            <w:tcBorders>
              <w:top w:val="single" w:color="C9D4DE" w:sz="1"/>
              <w:left w:val="single" w:color="C9D4DE" w:sz="1"/>
              <w:bottom w:val="single" w:color="C9D4DE" w:sz="1"/>
              <w:right w:val="single" w:color="C9D4DE" w:sz="1"/>
            </w:tcBorders>
            <w:shd w:fill="F3F7FA" w:val="clear"/>
            <w:tcMar>
              <w:top w:type="dxa" w:w="60"/>
              <w:left w:type="dxa" w:w="100"/>
              <w:bottom w:type="dxa" w:w="60"/>
              <w:right w:type="dxa" w:w="100"/>
            </w:tcMar>
          </w:tcPr>
          <w:p>
            <w:pPr>
              <w:spacing w:after="0"/>
            </w:pPr>
            <w:r>
              <w:rPr>
                <w:b/>
                <w:bCs/>
                <w:color w:val="000000"/>
                <w:sz w:val="19"/>
                <w:szCs w:val="19"/>
              </w:rPr>
              <w:t xml:space="preserve">Testing</w:t>
            </w:r>
          </w:p>
        </w:tc>
        <w:tc>
          <w:tcPr>
            <w:tcW w:type="dxa" w:w="706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val="false"/>
                <w:bCs w:val="false"/>
                <w:color w:val="000000"/>
                <w:sz w:val="19"/>
                <w:szCs w:val="19"/>
              </w:rPr>
              <w:t xml:space="preserve">pytest, mongomock</w:t>
            </w:r>
          </w:p>
        </w:tc>
      </w:tr>
    </w:tbl>
    <w:p>
      <w:pPr>
        <w:pStyle w:val="Heading1"/>
      </w:pPr>
      <w:r>
        <w:t xml:space="preserve">6.  Machine Learning Design</w:t>
      </w:r>
    </w:p>
    <w:p>
      <w:pPr>
        <w:pStyle w:val="Heading2"/>
      </w:pPr>
      <w:r>
        <w:t xml:space="preserve">6.1  Attack-Family Classification (RandomForest)</w:t>
      </w:r>
    </w:p>
    <w:p>
      <w:pPr>
        <w:pStyle w:val="Body"/>
      </w:pPr>
      <w:r>
        <w:t xml:space="preserve">A supervised pipeline predicts the attack family (XSS, SQL injection, brute force, DoS/DDoS, malware, privilege escalation, RCE/exploit, reconnaissance/scan, benign, or other). Labels are derived from auditable signature rules — not from Suricata severity, which is an ordinal risk hint rather than a class. The signature string is excluded from the feature set to prevent label leakage; features come from payload content (TF-IDF character n-grams and interpretable indicators), destination-port buckets, and application protocol. The pipeline uses a stratified split, class_weight="balanced" for imbalance, and reports precision, recall, F1, a confusion matrix, and cross-validation scores.</w:t>
      </w:r>
    </w:p>
    <w:p>
      <w:pPr>
        <w:pStyle w:val="Heading2"/>
      </w:pPr>
      <w:r>
        <w:t xml:space="preserve">6.2  Anomaly Detection (Isolation Forest)</w:t>
      </w:r>
    </w:p>
    <w:p>
      <w:pPr>
        <w:pStyle w:val="Body"/>
      </w:pPr>
      <w:r>
        <w:t xml:space="preserve">An unsupervised model scores network-flow outliers using flow volume features (bytes and packets to server/client and destination port). It produces an anomaly score and a documented threshold. Critically, when flow features are absent (as in the legacy four-field sample), the detector abstains rather than fabricating data, and training aborts with a clear message. An anomaly is treated as "unusual," not automatically "malicious."</w:t>
      </w:r>
    </w:p>
    <w:p>
      <w:pPr>
        <w:pStyle w:val="Heading2"/>
      </w:pPr>
      <w:r>
        <w:t xml:space="preserve">6.3  Risk Prioritization Engine</w:t>
      </w:r>
    </w:p>
    <w:p>
      <w:pPr>
        <w:pStyle w:val="Body"/>
      </w:pPr>
      <w:r>
        <w:t xml:space="preserve">The risk engine combines signals on a normalized 0–1 scale and maps the result to 0–100 with a priority band. The original IDS severity is preserved separately and never overwritten. Correlated signals are not double-counted: because the rule score and ML family both describe attack type, the engine takes the stronger of the two rather than summing them. Missing signals degrade gracefully — their weights are renormalized — so an alert is scored even when ML is unavailable. Weights and asset criticality are configurable.</w:t>
      </w:r>
    </w:p>
    <w:p>
      <w:pPr>
        <w:pStyle w:val="Heading2"/>
      </w:pPr>
      <w:r>
        <w:t xml:space="preserve">6.4  AI-Assisted Incident Summaries</w:t>
      </w:r>
    </w:p>
    <w:p>
      <w:pPr>
        <w:pStyle w:val="Body"/>
      </w:pPr>
      <w:r>
        <w:t xml:space="preserve">An optional LLM generates a summary, evidence, potential impact, recommended steps, and limitations. All event content is treated as untrusted: it is wrapped in explicit data delimiters, never placed in the system prompt, and known prompt-injection phrases are neutralized. The model is given no tools and cannot execute commands or perform remediation. API keys live only in environment variables. If the LLM is disabled, misconfigured, or errors, a deterministic rule-based summary is produced instead — the feature always returns a valid result.</w:t>
      </w:r>
    </w:p>
    <w:p>
      <w:r>
        <w:br w:type="page"/>
      </w:r>
    </w:p>
    <w:p>
      <w:pPr>
        <w:pStyle w:val="Heading1"/>
      </w:pPr>
      <w:r>
        <w:t xml:space="preserve">7.  Security Hardening</w:t>
      </w:r>
    </w:p>
    <w:p>
      <w:pPr>
        <w:pStyle w:val="Body"/>
      </w:pPr>
      <w:r>
        <w:t xml:space="preserve">Security issues in the original prototype were remediated as the first phase of the rebuild.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9D4DE" w:sz="1"/>
              <w:left w:val="single" w:color="C9D4DE" w:sz="1"/>
              <w:bottom w:val="single" w:color="C9D4DE" w:sz="1"/>
              <w:right w:val="single" w:color="C9D4DE" w:sz="1"/>
            </w:tcBorders>
            <w:shd w:fill="0B3D62" w:val="clear"/>
            <w:tcMar>
              <w:top w:type="dxa" w:w="60"/>
              <w:left w:type="dxa" w:w="100"/>
              <w:bottom w:type="dxa" w:w="60"/>
              <w:right w:type="dxa" w:w="100"/>
            </w:tcMar>
            <w:vAlign w:val="center"/>
          </w:tcPr>
          <w:p>
            <w:pPr>
              <w:spacing w:after="0"/>
            </w:pPr>
            <w:r>
              <w:rPr>
                <w:b/>
                <w:bCs/>
                <w:color w:val="FFFFFF"/>
                <w:sz w:val="19"/>
                <w:szCs w:val="19"/>
              </w:rPr>
              <w:t xml:space="preserve">Area</w:t>
            </w:r>
          </w:p>
        </w:tc>
        <w:tc>
          <w:tcPr>
            <w:tcW w:type="dxa" w:w="3180"/>
            <w:tcBorders>
              <w:top w:val="single" w:color="C9D4DE" w:sz="1"/>
              <w:left w:val="single" w:color="C9D4DE" w:sz="1"/>
              <w:bottom w:val="single" w:color="C9D4DE" w:sz="1"/>
              <w:right w:val="single" w:color="C9D4DE" w:sz="1"/>
            </w:tcBorders>
            <w:shd w:fill="0B3D62" w:val="clear"/>
            <w:tcMar>
              <w:top w:type="dxa" w:w="60"/>
              <w:left w:type="dxa" w:w="100"/>
              <w:bottom w:type="dxa" w:w="60"/>
              <w:right w:type="dxa" w:w="100"/>
            </w:tcMar>
            <w:vAlign w:val="center"/>
          </w:tcPr>
          <w:p>
            <w:pPr>
              <w:spacing w:after="0"/>
            </w:pPr>
            <w:r>
              <w:rPr>
                <w:b/>
                <w:bCs/>
                <w:color w:val="FFFFFF"/>
                <w:sz w:val="19"/>
                <w:szCs w:val="19"/>
              </w:rPr>
              <w:t xml:space="preserve">Before</w:t>
            </w:r>
          </w:p>
        </w:tc>
        <w:tc>
          <w:tcPr>
            <w:tcW w:type="dxa" w:w="3180"/>
            <w:tcBorders>
              <w:top w:val="single" w:color="C9D4DE" w:sz="1"/>
              <w:left w:val="single" w:color="C9D4DE" w:sz="1"/>
              <w:bottom w:val="single" w:color="C9D4DE" w:sz="1"/>
              <w:right w:val="single" w:color="C9D4DE" w:sz="1"/>
            </w:tcBorders>
            <w:shd w:fill="0B3D62" w:val="clear"/>
            <w:tcMar>
              <w:top w:type="dxa" w:w="60"/>
              <w:left w:type="dxa" w:w="100"/>
              <w:bottom w:type="dxa" w:w="60"/>
              <w:right w:type="dxa" w:w="100"/>
            </w:tcMar>
            <w:vAlign w:val="center"/>
          </w:tcPr>
          <w:p>
            <w:pPr>
              <w:spacing w:after="0"/>
            </w:pPr>
            <w:r>
              <w:rPr>
                <w:b/>
                <w:bCs/>
                <w:color w:val="FFFFFF"/>
                <w:sz w:val="19"/>
                <w:szCs w:val="19"/>
              </w:rPr>
              <w:t xml:space="preserve">After</w:t>
            </w:r>
          </w:p>
        </w:tc>
      </w:tr>
      <w:tr>
        <w:tc>
          <w:tcPr>
            <w:tcW w:type="dxa" w:w="3000"/>
            <w:tcBorders>
              <w:top w:val="single" w:color="C9D4DE" w:sz="1"/>
              <w:left w:val="single" w:color="C9D4DE" w:sz="1"/>
              <w:bottom w:val="single" w:color="C9D4DE" w:sz="1"/>
              <w:right w:val="single" w:color="C9D4DE" w:sz="1"/>
            </w:tcBorders>
            <w:shd w:fill="F3F7FA" w:val="clear"/>
            <w:tcMar>
              <w:top w:type="dxa" w:w="60"/>
              <w:left w:type="dxa" w:w="100"/>
              <w:bottom w:type="dxa" w:w="60"/>
              <w:right w:type="dxa" w:w="100"/>
            </w:tcMar>
          </w:tcPr>
          <w:p>
            <w:pPr>
              <w:spacing w:after="0"/>
            </w:pPr>
            <w:r>
              <w:rPr>
                <w:b/>
                <w:bCs/>
                <w:color w:val="000000"/>
                <w:sz w:val="19"/>
                <w:szCs w:val="19"/>
              </w:rPr>
              <w:t xml:space="preserve">Secrets</w:t>
            </w:r>
          </w:p>
        </w:tc>
        <w:tc>
          <w:tcPr>
            <w:tcW w:type="dxa" w:w="318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val="false"/>
                <w:bCs w:val="false"/>
                <w:color w:val="000000"/>
                <w:sz w:val="19"/>
                <w:szCs w:val="19"/>
              </w:rPr>
              <w:t xml:space="preserve">Token, chat ID, password committed in code/README</w:t>
            </w:r>
          </w:p>
        </w:tc>
        <w:tc>
          <w:tcPr>
            <w:tcW w:type="dxa" w:w="318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val="false"/>
                <w:bCs w:val="false"/>
                <w:color w:val="000000"/>
                <w:sz w:val="19"/>
                <w:szCs w:val="19"/>
              </w:rPr>
              <w:t xml:space="preserve">Env vars; .env git-ignored; .env.example placeholders</w:t>
            </w:r>
          </w:p>
        </w:tc>
      </w:tr>
      <w:tr>
        <w:tc>
          <w:tcPr>
            <w:tcW w:type="dxa" w:w="300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bCs/>
                <w:color w:val="000000"/>
                <w:sz w:val="19"/>
                <w:szCs w:val="19"/>
              </w:rPr>
              <w:t xml:space="preserve">CORS</w:t>
            </w:r>
          </w:p>
        </w:tc>
        <w:tc>
          <w:tcPr>
            <w:tcW w:type="dxa" w:w="318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val="false"/>
                <w:bCs w:val="false"/>
                <w:color w:val="000000"/>
                <w:sz w:val="19"/>
                <w:szCs w:val="19"/>
              </w:rPr>
              <w:t xml:space="preserve">Wildcard (*)</w:t>
            </w:r>
          </w:p>
        </w:tc>
        <w:tc>
          <w:tcPr>
            <w:tcW w:type="dxa" w:w="318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val="false"/>
                <w:bCs w:val="false"/>
                <w:color w:val="000000"/>
                <w:sz w:val="19"/>
                <w:szCs w:val="19"/>
              </w:rPr>
              <w:t xml:space="preserve">Restricted to configured origins</w:t>
            </w:r>
          </w:p>
        </w:tc>
      </w:tr>
      <w:tr>
        <w:tc>
          <w:tcPr>
            <w:tcW w:type="dxa" w:w="3000"/>
            <w:tcBorders>
              <w:top w:val="single" w:color="C9D4DE" w:sz="1"/>
              <w:left w:val="single" w:color="C9D4DE" w:sz="1"/>
              <w:bottom w:val="single" w:color="C9D4DE" w:sz="1"/>
              <w:right w:val="single" w:color="C9D4DE" w:sz="1"/>
            </w:tcBorders>
            <w:shd w:fill="F3F7FA" w:val="clear"/>
            <w:tcMar>
              <w:top w:type="dxa" w:w="60"/>
              <w:left w:type="dxa" w:w="100"/>
              <w:bottom w:type="dxa" w:w="60"/>
              <w:right w:type="dxa" w:w="100"/>
            </w:tcMar>
          </w:tcPr>
          <w:p>
            <w:pPr>
              <w:spacing w:after="0"/>
            </w:pPr>
            <w:r>
              <w:rPr>
                <w:b/>
                <w:bCs/>
                <w:color w:val="000000"/>
                <w:sz w:val="19"/>
                <w:szCs w:val="19"/>
              </w:rPr>
              <w:t xml:space="preserve">Debug</w:t>
            </w:r>
          </w:p>
        </w:tc>
        <w:tc>
          <w:tcPr>
            <w:tcW w:type="dxa" w:w="318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val="false"/>
                <w:bCs w:val="false"/>
                <w:color w:val="000000"/>
                <w:sz w:val="19"/>
                <w:szCs w:val="19"/>
              </w:rPr>
              <w:t xml:space="preserve">debug=True hard-coded</w:t>
            </w:r>
          </w:p>
        </w:tc>
        <w:tc>
          <w:tcPr>
            <w:tcW w:type="dxa" w:w="318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val="false"/>
                <w:bCs w:val="false"/>
                <w:color w:val="000000"/>
                <w:sz w:val="19"/>
                <w:szCs w:val="19"/>
              </w:rPr>
              <w:t xml:space="preserve">Env-controlled, off by default</w:t>
            </w:r>
          </w:p>
        </w:tc>
      </w:tr>
      <w:tr>
        <w:tc>
          <w:tcPr>
            <w:tcW w:type="dxa" w:w="300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bCs/>
                <w:color w:val="000000"/>
                <w:sz w:val="19"/>
                <w:szCs w:val="19"/>
              </w:rPr>
              <w:t xml:space="preserve">Command exec</w:t>
            </w:r>
          </w:p>
        </w:tc>
        <w:tc>
          <w:tcPr>
            <w:tcW w:type="dxa" w:w="318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val="false"/>
                <w:bCs w:val="false"/>
                <w:color w:val="000000"/>
                <w:sz w:val="19"/>
                <w:szCs w:val="19"/>
              </w:rPr>
              <w:t xml:space="preserve">os.system / shell=True with IP</w:t>
            </w:r>
          </w:p>
        </w:tc>
        <w:tc>
          <w:tcPr>
            <w:tcW w:type="dxa" w:w="318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val="false"/>
                <w:bCs w:val="false"/>
                <w:color w:val="000000"/>
                <w:sz w:val="19"/>
                <w:szCs w:val="19"/>
              </w:rPr>
              <w:t xml:space="preserve">Argument-list subprocess, shell=False, IP validated</w:t>
            </w:r>
          </w:p>
        </w:tc>
      </w:tr>
      <w:tr>
        <w:tc>
          <w:tcPr>
            <w:tcW w:type="dxa" w:w="3000"/>
            <w:tcBorders>
              <w:top w:val="single" w:color="C9D4DE" w:sz="1"/>
              <w:left w:val="single" w:color="C9D4DE" w:sz="1"/>
              <w:bottom w:val="single" w:color="C9D4DE" w:sz="1"/>
              <w:right w:val="single" w:color="C9D4DE" w:sz="1"/>
            </w:tcBorders>
            <w:shd w:fill="F3F7FA" w:val="clear"/>
            <w:tcMar>
              <w:top w:type="dxa" w:w="60"/>
              <w:left w:type="dxa" w:w="100"/>
              <w:bottom w:type="dxa" w:w="60"/>
              <w:right w:type="dxa" w:w="100"/>
            </w:tcMar>
          </w:tcPr>
          <w:p>
            <w:pPr>
              <w:spacing w:after="0"/>
            </w:pPr>
            <w:r>
              <w:rPr>
                <w:b/>
                <w:bCs/>
                <w:color w:val="000000"/>
                <w:sz w:val="19"/>
                <w:szCs w:val="19"/>
              </w:rPr>
              <w:t xml:space="preserve">Auto-block</w:t>
            </w:r>
          </w:p>
        </w:tc>
        <w:tc>
          <w:tcPr>
            <w:tcW w:type="dxa" w:w="318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val="false"/>
                <w:bCs w:val="false"/>
                <w:color w:val="000000"/>
                <w:sz w:val="19"/>
                <w:szCs w:val="19"/>
              </w:rPr>
              <w:t xml:space="preserve">Always ran firewall rules</w:t>
            </w:r>
          </w:p>
        </w:tc>
        <w:tc>
          <w:tcPr>
            <w:tcW w:type="dxa" w:w="318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val="false"/>
                <w:bCs w:val="false"/>
                <w:color w:val="000000"/>
                <w:sz w:val="19"/>
                <w:szCs w:val="19"/>
              </w:rPr>
              <w:t xml:space="preserve">Config-gated, off by default</w:t>
            </w:r>
          </w:p>
        </w:tc>
      </w:tr>
      <w:tr>
        <w:tc>
          <w:tcPr>
            <w:tcW w:type="dxa" w:w="300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bCs/>
                <w:color w:val="000000"/>
                <w:sz w:val="19"/>
                <w:szCs w:val="19"/>
              </w:rPr>
              <w:t xml:space="preserve">Errors</w:t>
            </w:r>
          </w:p>
        </w:tc>
        <w:tc>
          <w:tcPr>
            <w:tcW w:type="dxa" w:w="318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val="false"/>
                <w:bCs w:val="false"/>
                <w:color w:val="000000"/>
                <w:sz w:val="19"/>
                <w:szCs w:val="19"/>
              </w:rPr>
              <w:t xml:space="preserve">Raw tracebacks returned</w:t>
            </w:r>
          </w:p>
        </w:tc>
        <w:tc>
          <w:tcPr>
            <w:tcW w:type="dxa" w:w="318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val="false"/>
                <w:bCs w:val="false"/>
                <w:color w:val="000000"/>
                <w:sz w:val="19"/>
                <w:szCs w:val="19"/>
              </w:rPr>
              <w:t xml:space="preserve">Generic messages; detail logged server-side</w:t>
            </w:r>
          </w:p>
        </w:tc>
      </w:tr>
      <w:tr>
        <w:tc>
          <w:tcPr>
            <w:tcW w:type="dxa" w:w="3000"/>
            <w:tcBorders>
              <w:top w:val="single" w:color="C9D4DE" w:sz="1"/>
              <w:left w:val="single" w:color="C9D4DE" w:sz="1"/>
              <w:bottom w:val="single" w:color="C9D4DE" w:sz="1"/>
              <w:right w:val="single" w:color="C9D4DE" w:sz="1"/>
            </w:tcBorders>
            <w:shd w:fill="F3F7FA" w:val="clear"/>
            <w:tcMar>
              <w:top w:type="dxa" w:w="60"/>
              <w:left w:type="dxa" w:w="100"/>
              <w:bottom w:type="dxa" w:w="60"/>
              <w:right w:type="dxa" w:w="100"/>
            </w:tcMar>
          </w:tcPr>
          <w:p>
            <w:pPr>
              <w:spacing w:after="0"/>
            </w:pPr>
            <w:r>
              <w:rPr>
                <w:b/>
                <w:bCs/>
                <w:color w:val="000000"/>
                <w:sz w:val="19"/>
                <w:szCs w:val="19"/>
              </w:rPr>
              <w:t xml:space="preserve">Uploads</w:t>
            </w:r>
          </w:p>
        </w:tc>
        <w:tc>
          <w:tcPr>
            <w:tcW w:type="dxa" w:w="318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val="false"/>
                <w:bCs w:val="false"/>
                <w:color w:val="000000"/>
                <w:sz w:val="19"/>
                <w:szCs w:val="19"/>
              </w:rPr>
              <w:t xml:space="preserve">Saved raw filename (traversal)</w:t>
            </w:r>
          </w:p>
        </w:tc>
        <w:tc>
          <w:tcPr>
            <w:tcW w:type="dxa" w:w="318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val="false"/>
                <w:bCs w:val="false"/>
                <w:color w:val="000000"/>
                <w:sz w:val="19"/>
                <w:szCs w:val="19"/>
              </w:rPr>
              <w:t xml:space="preserve">Sanitized name + extension allowlist</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CEC" w:sz="1"/>
              <w:left w:val="single" w:color="D7263D" w:sz="18"/>
              <w:bottom w:val="single" w:color="FDECEC" w:sz="1"/>
              <w:right w:val="single" w:color="FDECEC" w:sz="1"/>
            </w:tcBorders>
            <w:shd w:fill="FDECEC" w:val="clear"/>
            <w:tcMar>
              <w:top w:type="dxa" w:w="120"/>
              <w:left w:type="dxa" w:w="160"/>
              <w:bottom w:type="dxa" w:w="120"/>
              <w:right w:type="dxa" w:w="160"/>
            </w:tcMar>
          </w:tcPr>
          <w:p>
            <w:pPr>
              <w:spacing w:after="0"/>
            </w:pPr>
            <w:r>
              <w:rPr>
                <w:color w:val="1F2937"/>
                <w:sz w:val="21"/>
                <w:szCs w:val="21"/>
              </w:rPr>
              <w:t xml:space="preserve">Operator action required: the previously committed Telegram token and WSL password are compromised and must be rotated. If present in git history, scrub past commits. This platform has not undergone formal security testing and should not be treated as production-secure without it.</w:t>
            </w:r>
          </w:p>
        </w:tc>
      </w:tr>
    </w:tbl>
    <w:p>
      <w:pPr>
        <w:pStyle w:val="Heading1"/>
      </w:pPr>
      <w:r>
        <w:t xml:space="preserve">8.  Testing &amp; Validation</w:t>
      </w:r>
    </w:p>
    <w:p>
      <w:pPr>
        <w:pStyle w:val="Body"/>
      </w:pPr>
      <w:r>
        <w:t xml:space="preserve">Logic is separated from route handlers so it can be unit-tested in isolation; API and persistence tests use an in-memory MongoDB (mongomock). The following results were produced during static analysis and direct execution of the dependency-free and pipeline logic: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60"/>
        <w:gridCol w:w="3300"/>
      </w:tblGrid>
      <w:tr>
        <w:trPr>
          <w:tblHeader/>
        </w:trPr>
        <w:tc>
          <w:tcPr>
            <w:tcW w:type="dxa" w:w="6060"/>
            <w:tcBorders>
              <w:top w:val="single" w:color="C9D4DE" w:sz="1"/>
              <w:left w:val="single" w:color="C9D4DE" w:sz="1"/>
              <w:bottom w:val="single" w:color="C9D4DE" w:sz="1"/>
              <w:right w:val="single" w:color="C9D4DE" w:sz="1"/>
            </w:tcBorders>
            <w:shd w:fill="0B3D62" w:val="clear"/>
            <w:tcMar>
              <w:top w:type="dxa" w:w="60"/>
              <w:left w:type="dxa" w:w="100"/>
              <w:bottom w:type="dxa" w:w="60"/>
              <w:right w:type="dxa" w:w="100"/>
            </w:tcMar>
            <w:vAlign w:val="center"/>
          </w:tcPr>
          <w:p>
            <w:pPr>
              <w:spacing w:after="0"/>
            </w:pPr>
            <w:r>
              <w:rPr>
                <w:b/>
                <w:bCs/>
                <w:color w:val="FFFFFF"/>
                <w:sz w:val="19"/>
                <w:szCs w:val="19"/>
              </w:rPr>
              <w:t xml:space="preserve">Test area</w:t>
            </w:r>
          </w:p>
        </w:tc>
        <w:tc>
          <w:tcPr>
            <w:tcW w:type="dxa" w:w="3300"/>
            <w:tcBorders>
              <w:top w:val="single" w:color="C9D4DE" w:sz="1"/>
              <w:left w:val="single" w:color="C9D4DE" w:sz="1"/>
              <w:bottom w:val="single" w:color="C9D4DE" w:sz="1"/>
              <w:right w:val="single" w:color="C9D4DE" w:sz="1"/>
            </w:tcBorders>
            <w:shd w:fill="0B3D62" w:val="clear"/>
            <w:tcMar>
              <w:top w:type="dxa" w:w="60"/>
              <w:left w:type="dxa" w:w="100"/>
              <w:bottom w:type="dxa" w:w="60"/>
              <w:right w:type="dxa" w:w="100"/>
            </w:tcMar>
            <w:vAlign w:val="center"/>
          </w:tcPr>
          <w:p>
            <w:pPr>
              <w:spacing w:after="0"/>
            </w:pPr>
            <w:r>
              <w:rPr>
                <w:b/>
                <w:bCs/>
                <w:color w:val="FFFFFF"/>
                <w:sz w:val="19"/>
                <w:szCs w:val="19"/>
              </w:rPr>
              <w:t xml:space="preserve">Result</w:t>
            </w:r>
          </w:p>
        </w:tc>
      </w:tr>
      <w:tr>
        <w:tc>
          <w:tcPr>
            <w:tcW w:type="dxa" w:w="6060"/>
            <w:tcBorders>
              <w:top w:val="single" w:color="C9D4DE" w:sz="1"/>
              <w:left w:val="single" w:color="C9D4DE" w:sz="1"/>
              <w:bottom w:val="single" w:color="C9D4DE" w:sz="1"/>
              <w:right w:val="single" w:color="C9D4DE" w:sz="1"/>
            </w:tcBorders>
            <w:shd w:fill="F3F7FA" w:val="clear"/>
            <w:tcMar>
              <w:top w:type="dxa" w:w="60"/>
              <w:left w:type="dxa" w:w="100"/>
              <w:bottom w:type="dxa" w:w="60"/>
              <w:right w:type="dxa" w:w="100"/>
            </w:tcMar>
          </w:tcPr>
          <w:p>
            <w:pPr>
              <w:spacing w:after="0"/>
            </w:pPr>
            <w:r>
              <w:rPr>
                <w:b w:val="false"/>
                <w:bCs w:val="false"/>
                <w:color w:val="000000"/>
                <w:sz w:val="19"/>
                <w:szCs w:val="19"/>
              </w:rPr>
              <w:t xml:space="preserve">Static analysis (39 backend files: parse, compile, imports)</w:t>
            </w:r>
          </w:p>
        </w:tc>
        <w:tc>
          <w:tcPr>
            <w:tcW w:type="dxa" w:w="330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bCs/>
                <w:color w:val="15803D"/>
                <w:sz w:val="19"/>
                <w:szCs w:val="19"/>
              </w:rPr>
              <w:t xml:space="preserve">0 errors</w:t>
            </w:r>
          </w:p>
        </w:tc>
      </w:tr>
      <w:tr>
        <w:tc>
          <w:tcPr>
            <w:tcW w:type="dxa" w:w="606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val="false"/>
                <w:bCs w:val="false"/>
                <w:color w:val="000000"/>
                <w:sz w:val="19"/>
                <w:szCs w:val="19"/>
              </w:rPr>
              <w:t xml:space="preserve">Secret scan across entire tree</w:t>
            </w:r>
          </w:p>
        </w:tc>
        <w:tc>
          <w:tcPr>
            <w:tcW w:type="dxa" w:w="330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bCs/>
                <w:color w:val="15803D"/>
                <w:sz w:val="19"/>
                <w:szCs w:val="19"/>
              </w:rPr>
              <w:t xml:space="preserve">0 secrets</w:t>
            </w:r>
          </w:p>
        </w:tc>
      </w:tr>
      <w:tr>
        <w:tc>
          <w:tcPr>
            <w:tcW w:type="dxa" w:w="6060"/>
            <w:tcBorders>
              <w:top w:val="single" w:color="C9D4DE" w:sz="1"/>
              <w:left w:val="single" w:color="C9D4DE" w:sz="1"/>
              <w:bottom w:val="single" w:color="C9D4DE" w:sz="1"/>
              <w:right w:val="single" w:color="C9D4DE" w:sz="1"/>
            </w:tcBorders>
            <w:shd w:fill="F3F7FA" w:val="clear"/>
            <w:tcMar>
              <w:top w:type="dxa" w:w="60"/>
              <w:left w:type="dxa" w:w="100"/>
              <w:bottom w:type="dxa" w:w="60"/>
              <w:right w:type="dxa" w:w="100"/>
            </w:tcMar>
          </w:tcPr>
          <w:p>
            <w:pPr>
              <w:spacing w:after="0"/>
            </w:pPr>
            <w:r>
              <w:rPr>
                <w:b w:val="false"/>
                <w:bCs w:val="false"/>
                <w:color w:val="000000"/>
                <w:sz w:val="19"/>
                <w:szCs w:val="19"/>
              </w:rPr>
              <w:t xml:space="preserve">Scoring, validation, labels, normalize, risk engine</w:t>
            </w:r>
          </w:p>
        </w:tc>
        <w:tc>
          <w:tcPr>
            <w:tcW w:type="dxa" w:w="330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bCs/>
                <w:color w:val="15803D"/>
                <w:sz w:val="19"/>
                <w:szCs w:val="19"/>
              </w:rPr>
              <w:t xml:space="preserve">30 / 30 pass</w:t>
            </w:r>
          </w:p>
        </w:tc>
      </w:tr>
      <w:tr>
        <w:tc>
          <w:tcPr>
            <w:tcW w:type="dxa" w:w="606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val="false"/>
                <w:bCs w:val="false"/>
                <w:color w:val="000000"/>
                <w:sz w:val="19"/>
                <w:szCs w:val="19"/>
              </w:rPr>
              <w:t xml:space="preserve">Ingest pipeline (store, dedup, risk, normalization)</w:t>
            </w:r>
          </w:p>
        </w:tc>
        <w:tc>
          <w:tcPr>
            <w:tcW w:type="dxa" w:w="330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bCs/>
                <w:color w:val="15803D"/>
                <w:sz w:val="19"/>
                <w:szCs w:val="19"/>
              </w:rPr>
              <w:t xml:space="preserve">9 / 9 pass</w:t>
            </w:r>
          </w:p>
        </w:tc>
      </w:tr>
      <w:tr>
        <w:tc>
          <w:tcPr>
            <w:tcW w:type="dxa" w:w="6060"/>
            <w:tcBorders>
              <w:top w:val="single" w:color="C9D4DE" w:sz="1"/>
              <w:left w:val="single" w:color="C9D4DE" w:sz="1"/>
              <w:bottom w:val="single" w:color="C9D4DE" w:sz="1"/>
              <w:right w:val="single" w:color="C9D4DE" w:sz="1"/>
            </w:tcBorders>
            <w:shd w:fill="F3F7FA" w:val="clear"/>
            <w:tcMar>
              <w:top w:type="dxa" w:w="60"/>
              <w:left w:type="dxa" w:w="100"/>
              <w:bottom w:type="dxa" w:w="60"/>
              <w:right w:type="dxa" w:w="100"/>
            </w:tcMar>
          </w:tcPr>
          <w:p>
            <w:pPr>
              <w:spacing w:after="0"/>
            </w:pPr>
            <w:r>
              <w:rPr>
                <w:b w:val="false"/>
                <w:bCs w:val="false"/>
                <w:color w:val="000000"/>
                <w:sz w:val="19"/>
                <w:szCs w:val="19"/>
              </w:rPr>
              <w:t xml:space="preserve">Incident AI (fallback, injection defense)</w:t>
            </w:r>
          </w:p>
        </w:tc>
        <w:tc>
          <w:tcPr>
            <w:tcW w:type="dxa" w:w="330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bCs/>
                <w:color w:val="15803D"/>
                <w:sz w:val="19"/>
                <w:szCs w:val="19"/>
              </w:rPr>
              <w:t xml:space="preserve">5 / 5 pass</w:t>
            </w:r>
          </w:p>
        </w:tc>
      </w:tr>
      <w:tr>
        <w:tc>
          <w:tcPr>
            <w:tcW w:type="dxa" w:w="606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val="false"/>
                <w:bCs w:val="false"/>
                <w:color w:val="000000"/>
                <w:sz w:val="19"/>
                <w:szCs w:val="19"/>
              </w:rPr>
              <w:t xml:space="preserve">PCAP helpers (traversal, sanitize, allowlist)</w:t>
            </w:r>
          </w:p>
        </w:tc>
        <w:tc>
          <w:tcPr>
            <w:tcW w:type="dxa" w:w="330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bCs/>
                <w:color w:val="15803D"/>
                <w:sz w:val="19"/>
                <w:szCs w:val="19"/>
              </w:rPr>
              <w:t xml:space="preserve">3 / 3 pass</w:t>
            </w:r>
          </w:p>
        </w:tc>
      </w:tr>
      <w:tr>
        <w:tc>
          <w:tcPr>
            <w:tcW w:type="dxa" w:w="6060"/>
            <w:tcBorders>
              <w:top w:val="single" w:color="C9D4DE" w:sz="1"/>
              <w:left w:val="single" w:color="C9D4DE" w:sz="1"/>
              <w:bottom w:val="single" w:color="C9D4DE" w:sz="1"/>
              <w:right w:val="single" w:color="C9D4DE" w:sz="1"/>
            </w:tcBorders>
            <w:shd w:fill="F3F7FA" w:val="clear"/>
            <w:tcMar>
              <w:top w:type="dxa" w:w="60"/>
              <w:left w:type="dxa" w:w="100"/>
              <w:bottom w:type="dxa" w:w="60"/>
              <w:right w:type="dxa" w:w="100"/>
            </w:tcMar>
          </w:tcPr>
          <w:p>
            <w:pPr>
              <w:spacing w:after="0"/>
            </w:pPr>
            <w:r>
              <w:rPr>
                <w:b w:val="false"/>
                <w:bCs w:val="false"/>
                <w:color w:val="000000"/>
                <w:sz w:val="19"/>
                <w:szCs w:val="19"/>
              </w:rPr>
              <w:t xml:space="preserve">Frontend (imports, URLs, bracket balance across 20 files)</w:t>
            </w:r>
          </w:p>
        </w:tc>
        <w:tc>
          <w:tcPr>
            <w:tcW w:type="dxa" w:w="3300"/>
            <w:tcBorders>
              <w:top w:val="single" w:color="C9D4DE" w:sz="1"/>
              <w:left w:val="single" w:color="C9D4DE" w:sz="1"/>
              <w:bottom w:val="single" w:color="C9D4DE" w:sz="1"/>
              <w:right w:val="single" w:color="C9D4DE" w:sz="1"/>
            </w:tcBorders>
            <w:shd w:fill="FFFFFF" w:val="clear"/>
            <w:tcMar>
              <w:top w:type="dxa" w:w="60"/>
              <w:left w:type="dxa" w:w="100"/>
              <w:bottom w:type="dxa" w:w="60"/>
              <w:right w:type="dxa" w:w="100"/>
            </w:tcMar>
          </w:tcPr>
          <w:p>
            <w:pPr>
              <w:spacing w:after="0"/>
            </w:pPr>
            <w:r>
              <w:rPr>
                <w:b/>
                <w:bCs/>
                <w:color w:val="15803D"/>
                <w:sz w:val="19"/>
                <w:szCs w:val="19"/>
              </w:rPr>
              <w:t xml:space="preserve">clean</w:t>
            </w:r>
          </w:p>
        </w:tc>
      </w:tr>
    </w:tbl>
    <w:p>
      <w:pPr>
        <w:pStyle w:val="Body"/>
      </w:pPr>
      <w:r>
        <w:t xml:space="preserve">A total of 47 assertions were executed successfully in-environment. Three latent issues were found and fixed during this pass: three frontend components retained a hard-coded backend URL, now centralized through a single configuration module. The full pytest suite, ML model training, and the Vite dev server run in the project environment where Flask, scikit-learn, mongomock, and Node are installed.</w:t>
      </w:r>
    </w:p>
    <w:p>
      <w:pPr>
        <w:pStyle w:val="Heading1"/>
      </w:pPr>
      <w:r>
        <w:t xml:space="preserve">9.  Expected Outcomes &amp; Known Limitations</w:t>
      </w:r>
    </w:p>
    <w:p>
      <w:pPr>
        <w:pStyle w:val="Heading2"/>
      </w:pPr>
      <w:r>
        <w:t xml:space="preserve">9.1  Expected Outcomes</w:t>
      </w:r>
    </w:p>
    <w:p>
      <w:pPr>
        <w:pStyle w:val="ListParagraph"/>
        <w:numPr>
          <w:ilvl w:val="0"/>
          <w:numId w:val="2"/>
        </w:numPr>
      </w:pPr>
      <w:r>
        <w:rPr>
          <w:sz w:val="21"/>
          <w:szCs w:val="21"/>
        </w:rPr>
        <w:t xml:space="preserve">Prioritized, explainable alerts that reduce analyst triage time.</w:t>
      </w:r>
    </w:p>
    <w:p>
      <w:pPr>
        <w:pStyle w:val="ListParagraph"/>
        <w:numPr>
          <w:ilvl w:val="0"/>
          <w:numId w:val="2"/>
        </w:numPr>
      </w:pPr>
      <w:r>
        <w:rPr>
          <w:sz w:val="21"/>
          <w:szCs w:val="21"/>
        </w:rPr>
        <w:t xml:space="preserve">Attack-family classification and flow anomaly scoring on real data.</w:t>
      </w:r>
    </w:p>
    <w:p>
      <w:pPr>
        <w:pStyle w:val="ListParagraph"/>
        <w:numPr>
          <w:ilvl w:val="0"/>
          <w:numId w:val="2"/>
        </w:numPr>
      </w:pPr>
      <w:r>
        <w:rPr>
          <w:sz w:val="21"/>
          <w:szCs w:val="21"/>
        </w:rPr>
        <w:t xml:space="preserve">A transparent, configurable risk score separate from IDS severity.</w:t>
      </w:r>
    </w:p>
    <w:p>
      <w:pPr>
        <w:pStyle w:val="ListParagraph"/>
        <w:numPr>
          <w:ilvl w:val="0"/>
          <w:numId w:val="2"/>
        </w:numPr>
      </w:pPr>
      <w:r>
        <w:rPr>
          <w:sz w:val="21"/>
          <w:szCs w:val="21"/>
        </w:rPr>
        <w:t xml:space="preserve">Safety-constrained AI summaries with a reliable deterministic fallback.</w:t>
      </w:r>
    </w:p>
    <w:p>
      <w:pPr>
        <w:pStyle w:val="ListParagraph"/>
        <w:numPr>
          <w:ilvl w:val="0"/>
          <w:numId w:val="2"/>
        </w:numPr>
      </w:pPr>
      <w:r>
        <w:rPr>
          <w:sz w:val="21"/>
          <w:szCs w:val="21"/>
        </w:rPr>
        <w:t xml:space="preserve">A modular, testable codebase with security hardening and documentation.</w:t>
      </w:r>
    </w:p>
    <w:p>
      <w:pPr>
        <w:pStyle w:val="Heading2"/>
      </w:pPr>
      <w:r>
        <w:t xml:space="preserve">9.2  Known Limitations</w:t>
      </w:r>
    </w:p>
    <w:p>
      <w:pPr>
        <w:pStyle w:val="ListParagraph"/>
        <w:numPr>
          <w:ilvl w:val="0"/>
          <w:numId w:val="2"/>
        </w:numPr>
      </w:pPr>
      <w:r>
        <w:rPr>
          <w:sz w:val="21"/>
          <w:szCs w:val="21"/>
        </w:rPr>
        <w:t xml:space="preserve">The bundled sample is a simplified four-field format without flow features.</w:t>
      </w:r>
    </w:p>
    <w:p>
      <w:pPr>
        <w:pStyle w:val="ListParagraph"/>
        <w:numPr>
          <w:ilvl w:val="0"/>
          <w:numId w:val="2"/>
        </w:numPr>
      </w:pPr>
      <w:r>
        <w:rPr>
          <w:sz w:val="21"/>
          <w:szCs w:val="21"/>
        </w:rPr>
        <w:t xml:space="preserve">The classifier needs a larger labeled dataset for statistically robust metrics.</w:t>
      </w:r>
    </w:p>
    <w:p>
      <w:pPr>
        <w:pStyle w:val="ListParagraph"/>
        <w:numPr>
          <w:ilvl w:val="0"/>
          <w:numId w:val="2"/>
        </w:numPr>
      </w:pPr>
      <w:r>
        <w:rPr>
          <w:sz w:val="21"/>
          <w:szCs w:val="21"/>
        </w:rPr>
        <w:t xml:space="preserve">Anomaly detection requires real flow data (simulation mode or a flow-logging sensor).</w:t>
      </w:r>
    </w:p>
    <w:p>
      <w:pPr>
        <w:pStyle w:val="ListParagraph"/>
        <w:numPr>
          <w:ilvl w:val="0"/>
          <w:numId w:val="2"/>
        </w:numPr>
      </w:pPr>
      <w:r>
        <w:rPr>
          <w:sz w:val="21"/>
          <w:szCs w:val="21"/>
        </w:rPr>
        <w:t xml:space="preserve">No authentication/RBAC yet; firewall blocking is Windows-specific and off by default.</w:t>
      </w:r>
    </w:p>
    <w:p>
      <w:pPr>
        <w:pStyle w:val="ListParagraph"/>
        <w:numPr>
          <w:ilvl w:val="0"/>
          <w:numId w:val="2"/>
        </w:numPr>
      </w:pPr>
      <w:r>
        <w:rPr>
          <w:sz w:val="21"/>
          <w:szCs w:val="21"/>
        </w:rPr>
        <w:t xml:space="preserve">Not security-tested; not certified production-ready.</w:t>
      </w:r>
    </w:p>
    <w:p>
      <w:pPr>
        <w:pStyle w:val="Heading2"/>
      </w:pPr>
      <w:r>
        <w:t xml:space="preserve">9.3  Future Work</w:t>
      </w:r>
    </w:p>
    <w:p>
      <w:pPr>
        <w:pStyle w:val="ListParagraph"/>
        <w:numPr>
          <w:ilvl w:val="0"/>
          <w:numId w:val="2"/>
        </w:numPr>
      </w:pPr>
      <w:r>
        <w:rPr>
          <w:sz w:val="21"/>
          <w:szCs w:val="21"/>
        </w:rPr>
        <w:t xml:space="preserve">Larger labeled dataset, probability calibration, and periodic retraining.</w:t>
      </w:r>
    </w:p>
    <w:p>
      <w:pPr>
        <w:pStyle w:val="ListParagraph"/>
        <w:numPr>
          <w:ilvl w:val="0"/>
          <w:numId w:val="2"/>
        </w:numPr>
      </w:pPr>
      <w:r>
        <w:rPr>
          <w:sz w:val="21"/>
          <w:szCs w:val="21"/>
        </w:rPr>
        <w:t xml:space="preserve">Authentication, RBAC, and an analyst audit log.</w:t>
      </w:r>
    </w:p>
    <w:p>
      <w:pPr>
        <w:pStyle w:val="ListParagraph"/>
        <w:numPr>
          <w:ilvl w:val="0"/>
          <w:numId w:val="2"/>
        </w:numPr>
      </w:pPr>
      <w:r>
        <w:rPr>
          <w:sz w:val="21"/>
          <w:szCs w:val="21"/>
        </w:rPr>
        <w:t xml:space="preserve">Server-side pagination/streaming for very large alert volumes.</w:t>
      </w:r>
    </w:p>
    <w:p>
      <w:pPr>
        <w:pStyle w:val="ListParagraph"/>
        <w:numPr>
          <w:ilvl w:val="0"/>
          <w:numId w:val="2"/>
        </w:numPr>
      </w:pPr>
      <w:r>
        <w:rPr>
          <w:sz w:val="21"/>
          <w:szCs w:val="21"/>
        </w:rPr>
        <w:t xml:space="preserve">Model drift monitoring and automated evaluation reports.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qFormat/>
    <w:pPr>
      <w:spacing w:after="120"/>
      <w:jc w:val="center"/>
    </w:pPr>
    <w:rPr>
      <w:b/>
      <w:bCs/>
      <w:color w:val="0B3D62"/>
      <w:sz w:val="52"/>
      <w:szCs w:val="52"/>
    </w:rPr>
  </w:style>
  <w:style w:type="paragraph" w:styleId="Sub">
    <w:name w:val="Sub"/>
    <w:basedOn w:val="Normal"/>
    <w:pPr>
      <w:spacing w:after="300"/>
      <w:jc w:val="center"/>
    </w:pPr>
    <w:rPr>
      <w:color w:val="6B7280"/>
      <w:sz w:val="24"/>
      <w:szCs w:val="24"/>
    </w:rPr>
  </w:style>
  <w:style w:type="paragraph" w:styleId="Heading1">
    <w:name w:val="Heading 1"/>
    <w:basedOn w:val="Normal"/>
    <w:next w:val="Normal"/>
    <w:qFormat/>
    <w:pPr>
      <w:pBdr>
        <w:bottom w:val="single" w:color="0B3D62" w:sz="6" w:space="4"/>
      </w:pBdr>
      <w:spacing w:after="140" w:before="360"/>
      <w:outlineLvl w:val="0"/>
    </w:pPr>
    <w:rPr>
      <w:b/>
      <w:bCs/>
      <w:color w:val="0B3D62"/>
      <w:sz w:val="30"/>
      <w:szCs w:val="30"/>
    </w:rPr>
  </w:style>
  <w:style w:type="paragraph" w:styleId="Heading2">
    <w:name w:val="Heading 2"/>
    <w:basedOn w:val="Normal"/>
    <w:next w:val="Normal"/>
    <w:qFormat/>
    <w:pPr>
      <w:spacing w:after="100" w:before="240"/>
      <w:outlineLvl w:val="1"/>
    </w:pPr>
    <w:rPr>
      <w:b/>
      <w:bCs/>
      <w:color w:val="D7263D"/>
      <w:sz w:val="25"/>
      <w:szCs w:val="25"/>
    </w:rPr>
  </w:style>
  <w:style w:type="paragraph" w:styleId="Body">
    <w:name w:val="Body"/>
    <w:basedOn w:val="Normal"/>
    <w:pPr>
      <w:spacing w:after="160" w:line="288"/>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3B63AF-493A-4519-B113-A902F427A0D7}">
  <we:reference id="WA200010615" version="1.0.10036.0" store="en-us" storeType="OMEX"/>
  <we:alternateReferences/>
  <we:properties>
    <we:property name="Office.AutoShowTaskpaneWithDocument" value="true"/>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2026-10-18T07:32:29.571Z</dcterms:created>
  <dcterms:modified xsi:type="dcterms:W3CDTF">2026-10-18T07:32:29.572Z</dcterms:modified>
</cp:coreProperties>
</file>

<file path=docProps/custom.xml><?xml version="1.0" encoding="utf-8"?>
<Properties xmlns="http://schemas.openxmlformats.org/officeDocument/2006/custom-properties" xmlns:vt="http://schemas.openxmlformats.org/officeDocument/2006/docPropsVTypes"/>
</file>