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Arial" w:hAnsi="Arial"/>
          <w:b/>
          <w:color w:val="4338CA"/>
          <w:sz w:val="20"/>
        </w:rPr>
        <w:t>SMART INDIA HACKATHON (SIH) TECHNICAL PROTOTYPE</w:t>
      </w:r>
    </w:p>
    <w:p>
      <w:pPr>
        <w:spacing w:before="0" w:after="80"/>
      </w:pPr>
      <w:r>
        <w:rPr>
          <w:rFonts w:ascii="Arial" w:hAnsi="Arial"/>
          <w:b/>
          <w:color w:val="0F172A"/>
          <w:sz w:val="44"/>
        </w:rPr>
        <w:t>DRISHYAM MESH (PROJECT SENTINEL-LEDGER)</w:t>
      </w:r>
    </w:p>
    <w:p>
      <w:pPr>
        <w:spacing w:before="0" w:after="280"/>
      </w:pPr>
      <w:r>
        <w:rPr>
          <w:rFonts w:ascii="Arial" w:hAnsi="Arial"/>
          <w:color w:val="475569"/>
          <w:sz w:val="22"/>
        </w:rPr>
        <w:t>Autonomous APAAR ID-Based Student Data Management, Anti-Tamper Fraud Detection, and Verifiable Credential Governance Mesh for AICTE-Approved Institutions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100" w:type="dxa"/>
              <w:bottom w:w="100" w:type="dxa"/>
              <w:left w:w="120" w:type="dxa"/>
              <w:right w:w="120" w:type="dxa"/>
            </w:tcMar>
          </w:tcPr>
          <w:p>
            <w:pPr>
              <w:spacing w:before="0" w:after="0"/>
            </w:pPr>
            <w:r>
              <w:rPr>
                <w:rFonts w:ascii="Arial" w:hAnsi="Arial"/>
                <w:b/>
                <w:color w:val="1E293B"/>
                <w:sz w:val="19"/>
              </w:rPr>
              <w:t>Problem Statement</w:t>
            </w:r>
          </w:p>
        </w:tc>
        <w:tc>
          <w:tcPr>
            <w:tcW w:type="dxa" w:w="6192"/>
            <w:shd w:fill="FFFFFF"/>
            <w:tcMar>
              <w:top w:w="100" w:type="dxa"/>
              <w:bottom w:w="100" w:type="dxa"/>
              <w:left w:w="120" w:type="dxa"/>
              <w:right w:w="120" w:type="dxa"/>
            </w:tcMar>
          </w:tcPr>
          <w:p>
            <w:pPr>
              <w:spacing w:before="0" w:after="0"/>
            </w:pPr>
            <w:r>
              <w:rPr>
                <w:rFonts w:ascii="Arial" w:hAnsi="Arial"/>
                <w:color w:val="334155"/>
                <w:sz w:val="19"/>
              </w:rPr>
              <w:t>Development of an APAAR ID-Based Student Data Management and Verification Platform for AICTE-Approved Institutions</w:t>
            </w:r>
          </w:p>
        </w:tc>
      </w:tr>
      <w:tr>
        <w:tc>
          <w:tcPr>
            <w:tcW w:type="dxa" w:w="3168"/>
            <w:shd w:fill="F8FAFC"/>
            <w:tcMar>
              <w:top w:w="100" w:type="dxa"/>
              <w:bottom w:w="100" w:type="dxa"/>
              <w:left w:w="120" w:type="dxa"/>
              <w:right w:w="120" w:type="dxa"/>
            </w:tcMar>
          </w:tcPr>
          <w:p>
            <w:pPr>
              <w:spacing w:before="0" w:after="0"/>
            </w:pPr>
            <w:r>
              <w:rPr>
                <w:rFonts w:ascii="Arial" w:hAnsi="Arial"/>
                <w:b/>
                <w:color w:val="1E293B"/>
                <w:sz w:val="19"/>
              </w:rPr>
              <w:t>Team Name</w:t>
            </w:r>
          </w:p>
        </w:tc>
        <w:tc>
          <w:tcPr>
            <w:tcW w:type="dxa" w:w="6192"/>
            <w:shd w:fill="FFFFFF"/>
            <w:tcMar>
              <w:top w:w="100" w:type="dxa"/>
              <w:bottom w:w="100" w:type="dxa"/>
              <w:left w:w="120" w:type="dxa"/>
              <w:right w:w="120" w:type="dxa"/>
            </w:tcMar>
          </w:tcPr>
          <w:p>
            <w:pPr>
              <w:spacing w:before="0" w:after="0"/>
            </w:pPr>
            <w:r>
              <w:rPr>
                <w:rFonts w:ascii="Arial" w:hAnsi="Arial"/>
                <w:b/>
                <w:color w:val="334155"/>
                <w:sz w:val="19"/>
              </w:rPr>
              <w:t>Algorythm</w:t>
            </w:r>
          </w:p>
        </w:tc>
      </w:tr>
      <w:tr>
        <w:tc>
          <w:tcPr>
            <w:tcW w:type="dxa" w:w="3168"/>
            <w:shd w:fill="F8FAFC"/>
            <w:tcMar>
              <w:top w:w="100" w:type="dxa"/>
              <w:bottom w:w="100" w:type="dxa"/>
              <w:left w:w="120" w:type="dxa"/>
              <w:right w:w="120" w:type="dxa"/>
            </w:tcMar>
          </w:tcPr>
          <w:p>
            <w:pPr>
              <w:spacing w:before="0" w:after="0"/>
            </w:pPr>
            <w:r>
              <w:rPr>
                <w:rFonts w:ascii="Arial" w:hAnsi="Arial"/>
                <w:b/>
                <w:color w:val="1E293B"/>
                <w:sz w:val="19"/>
              </w:rPr>
              <w:t>Institution / College</w:t>
            </w:r>
          </w:p>
        </w:tc>
        <w:tc>
          <w:tcPr>
            <w:tcW w:type="dxa" w:w="6192"/>
            <w:shd w:fill="FFFFFF"/>
            <w:tcMar>
              <w:top w:w="100" w:type="dxa"/>
              <w:bottom w:w="100" w:type="dxa"/>
              <w:left w:w="120" w:type="dxa"/>
              <w:right w:w="120" w:type="dxa"/>
            </w:tcMar>
          </w:tcPr>
          <w:p>
            <w:pPr>
              <w:spacing w:before="0" w:after="0"/>
            </w:pPr>
            <w:r>
              <w:rPr>
                <w:rFonts w:ascii="Arial" w:hAnsi="Arial"/>
                <w:color w:val="334155"/>
                <w:sz w:val="19"/>
              </w:rPr>
              <w:t>Sri Krishna College of Engineering and Technology</w:t>
            </w:r>
          </w:p>
        </w:tc>
      </w:tr>
      <w:tr>
        <w:tc>
          <w:tcPr>
            <w:tcW w:type="dxa" w:w="3168"/>
            <w:shd w:fill="F8FAFC"/>
            <w:tcMar>
              <w:top w:w="100" w:type="dxa"/>
              <w:bottom w:w="100" w:type="dxa"/>
              <w:left w:w="120" w:type="dxa"/>
              <w:right w:w="120" w:type="dxa"/>
            </w:tcMar>
          </w:tcPr>
          <w:p>
            <w:pPr>
              <w:spacing w:before="0" w:after="0"/>
            </w:pPr>
            <w:r>
              <w:rPr>
                <w:rFonts w:ascii="Arial" w:hAnsi="Arial"/>
                <w:b/>
                <w:color w:val="1E293B"/>
                <w:sz w:val="19"/>
              </w:rPr>
              <w:t>Team Members</w:t>
            </w:r>
          </w:p>
        </w:tc>
        <w:tc>
          <w:tcPr>
            <w:tcW w:type="dxa" w:w="6192"/>
            <w:shd w:fill="FFFFFF"/>
            <w:tcMar>
              <w:top w:w="100" w:type="dxa"/>
              <w:bottom w:w="100" w:type="dxa"/>
              <w:left w:w="120" w:type="dxa"/>
              <w:right w:w="120" w:type="dxa"/>
            </w:tcMar>
          </w:tcPr>
          <w:p>
            <w:pPr>
              <w:spacing w:before="0" w:after="0"/>
            </w:pPr>
            <w:r>
              <w:rPr>
                <w:rFonts w:ascii="Arial" w:hAnsi="Arial"/>
                <w:b/>
                <w:color w:val="334155"/>
                <w:sz w:val="19"/>
              </w:rPr>
              <w:t>Sanjeev Kumar S, Sachin J, Sanjay S, Puveesh Keshav M, Priyadharshini G S, Puja K V</w:t>
            </w:r>
          </w:p>
        </w:tc>
      </w:tr>
      <w:tr>
        <w:tc>
          <w:tcPr>
            <w:tcW w:type="dxa" w:w="3168"/>
            <w:shd w:fill="F8FAFC"/>
            <w:tcMar>
              <w:top w:w="100" w:type="dxa"/>
              <w:bottom w:w="100" w:type="dxa"/>
              <w:left w:w="120" w:type="dxa"/>
              <w:right w:w="120" w:type="dxa"/>
            </w:tcMar>
          </w:tcPr>
          <w:p>
            <w:pPr>
              <w:spacing w:before="0" w:after="0"/>
            </w:pPr>
            <w:r>
              <w:rPr>
                <w:rFonts w:ascii="Arial" w:hAnsi="Arial"/>
                <w:b/>
                <w:color w:val="1E293B"/>
                <w:sz w:val="19"/>
              </w:rPr>
              <w:t>Submission Category &amp; Date</w:t>
            </w:r>
          </w:p>
        </w:tc>
        <w:tc>
          <w:tcPr>
            <w:tcW w:type="dxa" w:w="6192"/>
            <w:shd w:fill="FFFFFF"/>
            <w:tcMar>
              <w:top w:w="100" w:type="dxa"/>
              <w:bottom w:w="100" w:type="dxa"/>
              <w:left w:w="120" w:type="dxa"/>
              <w:right w:w="120" w:type="dxa"/>
            </w:tcMar>
          </w:tcPr>
          <w:p>
            <w:pPr>
              <w:spacing w:before="0" w:after="0"/>
            </w:pPr>
            <w:r>
              <w:rPr>
                <w:rFonts w:ascii="Arial" w:hAnsi="Arial"/>
                <w:color w:val="334155"/>
                <w:sz w:val="19"/>
              </w:rPr>
              <w:t>AICTE National Data Governance Track | October 2026</w:t>
            </w:r>
          </w:p>
        </w:tc>
      </w:tr>
    </w:tbl>
    <w:p>
      <w:pPr>
        <w:spacing w:before="280" w:after="280"/>
      </w:pPr>
    </w:p>
    <w:p>
      <w:pPr>
        <w:spacing w:before="240" w:after="80"/>
      </w:pPr>
      <w:r>
        <w:rPr>
          <w:rFonts w:ascii="Arial" w:hAnsi="Arial"/>
          <w:b/>
          <w:color w:val="1E3A8A"/>
          <w:sz w:val="28"/>
        </w:rPr>
        <w:t>1. Executive Summary &amp; Problem Formulation</w:t>
      </w:r>
    </w:p>
    <w:p>
      <w:pPr>
        <w:spacing w:after="120" w:line="276" w:lineRule="auto"/>
      </w:pPr>
      <w:r>
        <w:rPr>
          <w:rFonts w:ascii="Arial" w:hAnsi="Arial"/>
          <w:color w:val="1E293B"/>
          <w:sz w:val="20"/>
        </w:rPr>
        <w:t>The All India Council for Technical Education (AICTE) exercises statutory oversight over thousands of accredited technical colleges, polytechnics, and standalone postgraduate diploma institutions across India. Under the existing operational framework, student-level academic data submission is fractured across disparate reporting pipelines. Standalone PGDM institutes submit detailed student rosters, whereas conventional engineering and polytechnic colleges primarily report aggregate numerical census numbers during the annual Approval Process Handbook (APH) Extension of Approval (EoA) cycle.</w:t>
        <w:br/>
        <w:br/>
        <w:t>This structural bifurcation produces severe systemic vulnerabilities across the national technical education landscape:</w:t>
      </w:r>
    </w:p>
    <w:p>
      <w:pPr>
        <w:pStyle w:val="ListBullet"/>
        <w:spacing w:after="60" w:line="276" w:lineRule="auto"/>
      </w:pPr>
      <w:r>
        <w:rPr>
          <w:rFonts w:ascii="Arial" w:hAnsi="Arial"/>
          <w:b/>
          <w:color w:val="0F172A"/>
          <w:sz w:val="19"/>
        </w:rPr>
        <w:t xml:space="preserve">Absence of Single Authoritative Registry: </w:t>
      </w:r>
      <w:r>
        <w:rPr>
          <w:rFonts w:ascii="Arial" w:hAnsi="Arial"/>
          <w:color w:val="334155"/>
          <w:sz w:val="19"/>
        </w:rPr>
        <w:t>No synchronized, real-time national repository links admission allotment orders directly with canonical student identifiers.</w:t>
      </w:r>
    </w:p>
    <w:p>
      <w:pPr>
        <w:pStyle w:val="ListBullet"/>
        <w:spacing w:after="60" w:line="276" w:lineRule="auto"/>
      </w:pPr>
      <w:r>
        <w:rPr>
          <w:rFonts w:ascii="Arial" w:hAnsi="Arial"/>
          <w:b/>
          <w:color w:val="0F172A"/>
          <w:sz w:val="19"/>
        </w:rPr>
        <w:t xml:space="preserve">Ghost Admissions &amp; Multi-Seat Collisions: </w:t>
      </w:r>
      <w:r>
        <w:rPr>
          <w:rFonts w:ascii="Arial" w:hAnsi="Arial"/>
          <w:color w:val="334155"/>
          <w:sz w:val="19"/>
        </w:rPr>
        <w:t>Candidates exploit state-level quota counseling silos (e.g., CAP in Maharashtra, TNEA in Tamil Nadu, CET in Delhi) to hold seats concurrently across multiple institutions, denying legitimate candidates access and distorting national intake analytics.</w:t>
      </w:r>
    </w:p>
    <w:p>
      <w:pPr>
        <w:pStyle w:val="ListBullet"/>
        <w:spacing w:after="60" w:line="276" w:lineRule="auto"/>
      </w:pPr>
      <w:r>
        <w:rPr>
          <w:rFonts w:ascii="Arial" w:hAnsi="Arial"/>
          <w:b/>
          <w:color w:val="0F172A"/>
          <w:sz w:val="19"/>
        </w:rPr>
        <w:t xml:space="preserve">Unregulated Supernumerary Intake Drift: </w:t>
      </w:r>
      <w:r>
        <w:rPr>
          <w:rFonts w:ascii="Arial" w:hAnsi="Arial"/>
          <w:color w:val="334155"/>
          <w:sz w:val="19"/>
        </w:rPr>
        <w:t>Institutions frequently breach statutory intake quotas across management and supernumerary caps (EWS, Tuition Fee Waiver, PMSSS) due to lack of real-time seat auditing.</w:t>
      </w:r>
    </w:p>
    <w:p>
      <w:pPr>
        <w:pStyle w:val="ListBullet"/>
        <w:spacing w:after="60" w:line="276" w:lineRule="auto"/>
      </w:pPr>
      <w:r>
        <w:rPr>
          <w:rFonts w:ascii="Arial" w:hAnsi="Arial"/>
          <w:b/>
          <w:color w:val="0F172A"/>
          <w:sz w:val="19"/>
        </w:rPr>
        <w:t xml:space="preserve">Proliferation of Photoshopped Credentials: </w:t>
      </w:r>
      <w:r>
        <w:rPr>
          <w:rFonts w:ascii="Arial" w:hAnsi="Arial"/>
          <w:color w:val="334155"/>
          <w:sz w:val="19"/>
        </w:rPr>
        <w:t>Adversarial modifications of admission memos, grade cards, and degree certificates using digital editing tools circumvent conventional visual inspection.</w:t>
      </w:r>
    </w:p>
    <w:p>
      <w:pPr>
        <w:pStyle w:val="ListBullet"/>
        <w:spacing w:after="60" w:line="276" w:lineRule="auto"/>
      </w:pPr>
      <w:r>
        <w:rPr>
          <w:rFonts w:ascii="Arial" w:hAnsi="Arial"/>
          <w:b/>
          <w:color w:val="0F172A"/>
          <w:sz w:val="19"/>
        </w:rPr>
        <w:t xml:space="preserve">Non-Compliance with DPDP Act 2023: </w:t>
      </w:r>
      <w:r>
        <w:rPr>
          <w:rFonts w:ascii="Arial" w:hAnsi="Arial"/>
          <w:color w:val="334155"/>
          <w:sz w:val="19"/>
        </w:rPr>
        <w:t>Conventional third-party employer background verifications expose full student records without consent or attribute minimization, violating statutory privacy mandates.</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24" w:space="0" w:color="2563EB"/>
              <w:top w:val="none"/>
              <w:right w:val="none"/>
              <w:bottom w:val="none"/>
            </w:tcBorders>
          </w:tcPr>
          <w:p>
            <w:pPr>
              <w:spacing w:before="0" w:after="60"/>
            </w:pPr>
            <w:r>
              <w:rPr>
                <w:rFonts w:ascii="Arial" w:hAnsi="Arial"/>
                <w:b/>
                <w:color w:val="1E3A8A"/>
                <w:sz w:val="20"/>
              </w:rPr>
              <w:t>NOTE: The Core Mandate</w:t>
              <w:br/>
            </w:r>
            <w:r>
              <w:rPr>
                <w:rFonts w:ascii="Arial" w:hAnsi="Arial"/>
                <w:color w:val="334155"/>
                <w:sz w:val="19"/>
              </w:rPr>
              <w:t>Drishyam Mesh transforms the national student registry by adopting the 12-digit Automated Permanent Academic Account Registry (APAAR ID) as an unforgeable academic anchor. Built on zero-trust principles, the system eliminates duplicate enrollments, automates quota governance, and issues W3C cryptographically verifiable credentials.</w:t>
            </w:r>
          </w:p>
        </w:tc>
      </w:tr>
    </w:tbl>
    <w:p>
      <w:pPr>
        <w:spacing w:after="80"/>
      </w:pPr>
    </w:p>
    <w:p>
      <w:pPr>
        <w:spacing w:before="280" w:after="80"/>
      </w:pPr>
      <w:r>
        <w:rPr>
          <w:rFonts w:ascii="Arial" w:hAnsi="Arial"/>
          <w:b/>
          <w:color w:val="1E3A8A"/>
          <w:sz w:val="28"/>
        </w:rPr>
        <w:t>2. System Architecture &amp; Technological Foundation</w:t>
      </w:r>
    </w:p>
    <w:p>
      <w:pPr>
        <w:spacing w:after="120" w:line="276" w:lineRule="auto"/>
      </w:pPr>
      <w:r>
        <w:rPr>
          <w:rFonts w:ascii="Arial" w:hAnsi="Arial"/>
          <w:color w:val="1E293B"/>
          <w:sz w:val="20"/>
        </w:rPr>
        <w:t>Drishyam Mesh is structured around a five-tier decoupled zero-trust architecture designed for institutional resilience, real-time telemetry, and high-throughput event processing:</w:t>
      </w:r>
    </w:p>
    <w:p>
      <w:pPr>
        <w:pStyle w:val="ListBullet"/>
        <w:spacing w:after="60" w:line="276" w:lineRule="auto"/>
      </w:pPr>
      <w:r>
        <w:rPr>
          <w:rFonts w:ascii="Arial" w:hAnsi="Arial"/>
          <w:b/>
          <w:color w:val="0F172A"/>
          <w:sz w:val="19"/>
        </w:rPr>
        <w:t xml:space="preserve">Tier 1: Presentation &amp; Governance Web Tier: </w:t>
      </w:r>
      <w:r>
        <w:rPr>
          <w:rFonts w:ascii="Arial" w:hAnsi="Arial"/>
          <w:color w:val="334155"/>
          <w:sz w:val="19"/>
        </w:rPr>
        <w:t>Engineered in React 19 and Vite with Tailwind CSS tokens. Features a high-contrast white theme (`#FFFFFF` surfaces, slate typography), dynamic SVG network topologies, interactive visual workflow monitors, and zero hardcoded simulated data.</w:t>
      </w:r>
    </w:p>
    <w:p>
      <w:pPr>
        <w:pStyle w:val="ListBullet"/>
        <w:spacing w:after="60" w:line="276" w:lineRule="auto"/>
      </w:pPr>
      <w:r>
        <w:rPr>
          <w:rFonts w:ascii="Arial" w:hAnsi="Arial"/>
          <w:b/>
          <w:color w:val="0F172A"/>
          <w:sz w:val="19"/>
        </w:rPr>
        <w:t xml:space="preserve">Tier 2: Application Gateway &amp; Security Tier: </w:t>
      </w:r>
      <w:r>
        <w:rPr>
          <w:rFonts w:ascii="Arial" w:hAnsi="Arial"/>
          <w:color w:val="334155"/>
          <w:sz w:val="19"/>
        </w:rPr>
        <w:t>Powered by Spring Boot 3.3.5 on Java 21 LTS. Enforces JWT-based stateless authentication, strict role-based access control (RBAC), and tenant-isolated IDOR protection ensuring college registrars access strictly their own institutional partition.</w:t>
      </w:r>
    </w:p>
    <w:p>
      <w:pPr>
        <w:pStyle w:val="ListBullet"/>
        <w:spacing w:after="60" w:line="276" w:lineRule="auto"/>
      </w:pPr>
      <w:r>
        <w:rPr>
          <w:rFonts w:ascii="Arial" w:hAnsi="Arial"/>
          <w:b/>
          <w:color w:val="0F172A"/>
          <w:sz w:val="19"/>
        </w:rPr>
        <w:t xml:space="preserve">Tier 3: Document Intelligence &amp; Forensic Engine: </w:t>
      </w:r>
      <w:r>
        <w:rPr>
          <w:rFonts w:ascii="Arial" w:hAnsi="Arial"/>
          <w:color w:val="334155"/>
          <w:sz w:val="19"/>
        </w:rPr>
        <w:t>The Sentinel Cognitive Vision Engine features multilingual optical character parsing (normalizing Hindi/Devanagari, Tamil, Marathi, and Telugu academic nomenclature) and Discrete Cosine Transform (DCT) Error Level Analysis (ELA) to isolate photoshopped text splices.</w:t>
      </w:r>
    </w:p>
    <w:p>
      <w:pPr>
        <w:pStyle w:val="ListBullet"/>
        <w:spacing w:after="60" w:line="276" w:lineRule="auto"/>
      </w:pPr>
      <w:r>
        <w:rPr>
          <w:rFonts w:ascii="Arial" w:hAnsi="Arial"/>
          <w:b/>
          <w:color w:val="0F172A"/>
          <w:sz w:val="19"/>
        </w:rPr>
        <w:t xml:space="preserve">Tier 4: Graph Knowledge Mesh Tier: </w:t>
      </w:r>
      <w:r>
        <w:rPr>
          <w:rFonts w:ascii="Arial" w:hAnsi="Arial"/>
          <w:color w:val="334155"/>
          <w:sz w:val="19"/>
        </w:rPr>
        <w:t>Hosted on Neo4j Bolt 7687 using Cypher 5.12. Maps n-dimensional relationships between Institutions, Programs, Students, and APAAR Tokens to resolve multi-institution enrollment collisions in real time.</w:t>
      </w:r>
    </w:p>
    <w:p>
      <w:pPr>
        <w:pStyle w:val="ListBullet"/>
        <w:spacing w:after="60" w:line="276" w:lineRule="auto"/>
      </w:pPr>
      <w:r>
        <w:rPr>
          <w:rFonts w:ascii="Arial" w:hAnsi="Arial"/>
          <w:b/>
          <w:color w:val="0F172A"/>
          <w:sz w:val="19"/>
        </w:rPr>
        <w:t xml:space="preserve">Tier 5: Event-Driven Autonomous Orchestration Tier: </w:t>
      </w:r>
      <w:r>
        <w:rPr>
          <w:rFonts w:ascii="Arial" w:hAnsi="Arial"/>
          <w:color w:val="334155"/>
          <w:sz w:val="19"/>
        </w:rPr>
        <w:t>Four visual n8n workflow pipelines executing deterministic ingestion, Private Set Intersection (PSI) cross-state collision traversal, intake quota compliance auditing, and W3C credential dispatch.</w:t>
      </w:r>
    </w:p>
    <w:p>
      <w:pPr>
        <w:spacing w:before="280" w:after="80"/>
      </w:pPr>
      <w:r>
        <w:rPr>
          <w:rFonts w:ascii="Arial" w:hAnsi="Arial"/>
          <w:b/>
          <w:color w:val="1E3A8A"/>
          <w:sz w:val="28"/>
        </w:rPr>
        <w:t>3. Core Functional Modules &amp; Innovations</w:t>
      </w:r>
    </w:p>
    <w:p>
      <w:pPr>
        <w:spacing w:before="160" w:after="40"/>
      </w:pPr>
      <w:r>
        <w:rPr>
          <w:rFonts w:ascii="Arial" w:hAnsi="Arial"/>
          <w:b/>
          <w:color w:val="4338CA"/>
          <w:sz w:val="22"/>
        </w:rPr>
        <w:t>3.1 Role-Based Access Control &amp; Institutional Tenant Scoping</w:t>
      </w:r>
    </w:p>
    <w:p>
      <w:pPr>
        <w:spacing w:after="80" w:line="276" w:lineRule="auto"/>
      </w:pPr>
      <w:r>
        <w:rPr>
          <w:rFonts w:ascii="Arial" w:hAnsi="Arial"/>
          <w:color w:val="334155"/>
          <w:sz w:val="19"/>
        </w:rPr>
        <w:t>The platform supports three distinct operational roles with strict boundary enforcement: (1) AICTE Admin with nationwide oversight and dispute adjudication privileges, (2) College Registrar scoped strictly to their institutional data silo (e.g., Delhi Institute of Advanced Technology vs. Maharashtra Institute of Technology), and (3) Corporate Verifier with zero-knowledge verification privileges.</w:t>
      </w:r>
    </w:p>
    <w:p>
      <w:pPr>
        <w:spacing w:before="160" w:after="40"/>
      </w:pPr>
      <w:r>
        <w:rPr>
          <w:rFonts w:ascii="Arial" w:hAnsi="Arial"/>
          <w:b/>
          <w:color w:val="4338CA"/>
          <w:sz w:val="22"/>
        </w:rPr>
        <w:t>3.2 Autonomous Multilingual Ingestion &amp; Anti-Photoshop ELA Engine</w:t>
      </w:r>
    </w:p>
    <w:p>
      <w:pPr>
        <w:spacing w:after="80" w:line="276" w:lineRule="auto"/>
      </w:pPr>
      <w:r>
        <w:rPr>
          <w:rFonts w:ascii="Arial" w:hAnsi="Arial"/>
          <w:color w:val="334155"/>
          <w:sz w:val="19"/>
        </w:rPr>
        <w:t>The Sentinel Cognitive Vision Engine processes admission allotment memos and degree records. It automatically detects and parses regional scripts (Hindi, Tamil, Marathi, Telugu) and normalizes candidate credentials into standard formats. Concurrently, a mathematical Error Level Analysis engine checks the Discrete Cosine Transform (DCT) quantization variance to instantly detect photoshopped text, font baseline jitter, or clone-stamp manipulations, while non-academic files (grocery invoices, electricity bills, healthcare prescriptions) are quarantined.</w:t>
      </w:r>
    </w:p>
    <w:p>
      <w:pPr>
        <w:spacing w:before="160" w:after="40"/>
      </w:pPr>
      <w:r>
        <w:rPr>
          <w:rFonts w:ascii="Arial" w:hAnsi="Arial"/>
          <w:b/>
          <w:color w:val="4338CA"/>
          <w:sz w:val="22"/>
        </w:rPr>
        <w:t>3.3 Sandboxed Git-Style Pre-Commit Diff Chamber</w:t>
      </w:r>
    </w:p>
    <w:p>
      <w:pPr>
        <w:spacing w:after="80" w:line="276" w:lineRule="auto"/>
      </w:pPr>
      <w:r>
        <w:rPr>
          <w:rFonts w:ascii="Arial" w:hAnsi="Arial"/>
          <w:color w:val="334155"/>
          <w:sz w:val="19"/>
        </w:rPr>
        <w:t>Rather than allowing direct batch commits that could overwrite live database records, Drishyam Mesh introduces an isolated pre-commit staging chamber. Registrars inspect field-level diffs (green additions, red removals, amber modifications) before executing atomic ledger commits, completely eliminating accidental registry corruption.</w:t>
      </w:r>
    </w:p>
    <w:p>
      <w:pPr>
        <w:spacing w:before="160" w:after="40"/>
      </w:pPr>
      <w:r>
        <w:rPr>
          <w:rFonts w:ascii="Arial" w:hAnsi="Arial"/>
          <w:b/>
          <w:color w:val="4338CA"/>
          <w:sz w:val="22"/>
        </w:rPr>
        <w:t>3.4 Multi-Dimensional Neo4j Knowledge Graph Mesh</w:t>
      </w:r>
    </w:p>
    <w:p>
      <w:pPr>
        <w:spacing w:after="80" w:line="276" w:lineRule="auto"/>
      </w:pPr>
      <w:r>
        <w:rPr>
          <w:rFonts w:ascii="Arial" w:hAnsi="Arial"/>
          <w:color w:val="334155"/>
          <w:sz w:val="19"/>
        </w:rPr>
        <w:t>A high-contrast visual graph engine projects students, colleges, and academic degrees as nodes linked by ENROLLED_AT, OFFERS, and HAS_IDENTIFIER edges. If an APAAR token is linked to two accredited colleges simultaneously, the engine dynamically renders a pulsating red CONCURRENT_ENROLLMENT collision edge with instantaneous Cypher trajectory inspection.</w:t>
      </w:r>
    </w:p>
    <w:p>
      <w:pPr>
        <w:spacing w:before="160" w:after="40"/>
      </w:pPr>
      <w:r>
        <w:rPr>
          <w:rFonts w:ascii="Arial" w:hAnsi="Arial"/>
          <w:b/>
          <w:color w:val="4338CA"/>
          <w:sz w:val="22"/>
        </w:rPr>
        <w:t>3.5 Autonomous n8n Event-Driven Pipeline Automation</w:t>
      </w:r>
    </w:p>
    <w:p>
      <w:pPr>
        <w:spacing w:after="80" w:line="276" w:lineRule="auto"/>
      </w:pPr>
      <w:r>
        <w:rPr>
          <w:rFonts w:ascii="Arial" w:hAnsi="Arial"/>
          <w:color w:val="334155"/>
          <w:sz w:val="19"/>
        </w:rPr>
        <w:t>The system provides four live autonomous pipelines: Workflow A (Admission Ingestion &amp; Data Quality Gateway), Workflow B (Cross-State Identity Resolution &amp; PSI Matching), Workflow C (Intake Quota Policy &amp; Supernumerary Cap Enforcement), and Workflow D (W3C Verifiable Credential &amp; Blind Verification Relay). Each workflow node displays live millisecond execution latency and transaction status.</w:t>
      </w:r>
    </w:p>
    <w:p>
      <w:pPr>
        <w:spacing w:before="160" w:after="40"/>
      </w:pPr>
      <w:r>
        <w:rPr>
          <w:rFonts w:ascii="Arial" w:hAnsi="Arial"/>
          <w:b/>
          <w:color w:val="4338CA"/>
          <w:sz w:val="22"/>
        </w:rPr>
        <w:t>3.6 Cryptographic Append-Only Tamper Ledger</w:t>
      </w:r>
    </w:p>
    <w:p>
      <w:pPr>
        <w:spacing w:after="80" w:line="276" w:lineRule="auto"/>
      </w:pPr>
      <w:r>
        <w:rPr>
          <w:rFonts w:ascii="Arial" w:hAnsi="Arial"/>
          <w:color w:val="334155"/>
          <w:sz w:val="19"/>
        </w:rPr>
        <w:t>Every student state change, admission approval, and dispute resolution is sealed into a SHA-256 block chain. Each ledger transaction contains the previous block hash, timestamp, registrar public key signature, and cryptographic payload hash, guaranteeing absolute auditability and non-repudiation.</w:t>
      </w:r>
    </w:p>
    <w:p>
      <w:pPr>
        <w:spacing w:before="160" w:after="40"/>
      </w:pPr>
      <w:r>
        <w:rPr>
          <w:rFonts w:ascii="Arial" w:hAnsi="Arial"/>
          <w:b/>
          <w:color w:val="4338CA"/>
          <w:sz w:val="22"/>
        </w:rPr>
        <w:t>3.7 AICTE Approval Process Handbook (APH) Quota Compliance</w:t>
      </w:r>
    </w:p>
    <w:p>
      <w:pPr>
        <w:spacing w:after="80" w:line="276" w:lineRule="auto"/>
      </w:pPr>
      <w:r>
        <w:rPr>
          <w:rFonts w:ascii="Arial" w:hAnsi="Arial"/>
          <w:color w:val="334155"/>
          <w:sz w:val="19"/>
        </w:rPr>
        <w:t>The compliance engine tracks live enrollment against statutory intake quotas and supernumerary caps (EWS 10%, TFW 5%, J&amp;K PMSSS quotas). Real-time progress bars turn amber when reaching 90% capacity and red when an over-admission violation occurs, preventing unauthorized supernumerary seats.</w:t>
      </w:r>
    </w:p>
    <w:p>
      <w:pPr>
        <w:spacing w:before="160" w:after="40"/>
      </w:pPr>
      <w:r>
        <w:rPr>
          <w:rFonts w:ascii="Arial" w:hAnsi="Arial"/>
          <w:b/>
          <w:color w:val="4338CA"/>
          <w:sz w:val="22"/>
        </w:rPr>
        <w:t>3.8 Review Dispute Resolution Chamber</w:t>
      </w:r>
    </w:p>
    <w:p>
      <w:pPr>
        <w:spacing w:after="80" w:line="276" w:lineRule="auto"/>
      </w:pPr>
      <w:r>
        <w:rPr>
          <w:rFonts w:ascii="Arial" w:hAnsi="Arial"/>
          <w:color w:val="334155"/>
          <w:sz w:val="19"/>
        </w:rPr>
        <w:t>When cross-institutional collisions or forensic anomalies occur, the system automatically spawns a formal dispute arbitration ticket. Both institutional registrars and AICTE regulators receive side-by-side evidence, timestamped allotment orders, and audit histories to reject fraudulent claims or approve legitimate transfers.</w:t>
      </w:r>
    </w:p>
    <w:p>
      <w:pPr>
        <w:spacing w:before="160" w:after="40"/>
      </w:pPr>
      <w:r>
        <w:rPr>
          <w:rFonts w:ascii="Arial" w:hAnsi="Arial"/>
          <w:b/>
          <w:color w:val="4338CA"/>
          <w:sz w:val="22"/>
        </w:rPr>
        <w:t>3.9 DPDP Act 2023 Student Data Sovereignty &amp; Consent Gateway</w:t>
      </w:r>
    </w:p>
    <w:p>
      <w:pPr>
        <w:spacing w:after="80" w:line="276" w:lineRule="auto"/>
      </w:pPr>
      <w:r>
        <w:rPr>
          <w:rFonts w:ascii="Arial" w:hAnsi="Arial"/>
          <w:color w:val="334155"/>
          <w:sz w:val="19"/>
        </w:rPr>
        <w:t>Empowers students with complete data privacy rights under India's Digital Personal Data Protection Act 2023. Students can selectively disclose attributes (e.g., verifying degree completion while masking cumulative GPA, raw marks, and Aadhaar references) via Zero-Knowledge proof tokens.</w:t>
      </w:r>
    </w:p>
    <w:p>
      <w:pPr>
        <w:spacing w:before="160" w:after="40"/>
      </w:pPr>
      <w:r>
        <w:rPr>
          <w:rFonts w:ascii="Arial" w:hAnsi="Arial"/>
          <w:b/>
          <w:color w:val="4338CA"/>
          <w:sz w:val="22"/>
        </w:rPr>
        <w:t>3.10 Decentralized Verifiable Credentials &amp; Official Degree Parchment</w:t>
      </w:r>
    </w:p>
    <w:p>
      <w:pPr>
        <w:spacing w:after="80" w:line="276" w:lineRule="auto"/>
      </w:pPr>
      <w:r>
        <w:rPr>
          <w:rFonts w:ascii="Arial" w:hAnsi="Arial"/>
          <w:color w:val="334155"/>
          <w:sz w:val="19"/>
        </w:rPr>
        <w:t>Issues offline verifiable credentials with cryptographic QR codes and Ed25519/RSA-2048 digital signatures. Verifiers can validate authentic credentials without network connectivity. Includes a printable, gold-bordered official AICTE degree certificate parchment modal.</w:t>
      </w:r>
    </w:p>
    <w:p>
      <w:pPr>
        <w:spacing w:before="280" w:after="80"/>
      </w:pPr>
      <w:r>
        <w:rPr>
          <w:rFonts w:ascii="Arial" w:hAnsi="Arial"/>
          <w:b/>
          <w:color w:val="1E3A8A"/>
          <w:sz w:val="28"/>
        </w:rPr>
        <w:t>4. Comprehensive Comparison: Existing vs. Proposed Drishyam Mesh System</w:t>
      </w:r>
    </w:p>
    <w:p>
      <w:pPr>
        <w:spacing w:after="120"/>
      </w:pPr>
      <w:r>
        <w:rPr>
          <w:rFonts w:ascii="Arial" w:hAnsi="Arial"/>
          <w:color w:val="334155"/>
          <w:sz w:val="19"/>
        </w:rPr>
        <w:t>The following matrix outlines the fundamental architectural, operational, and regulatory differences between the legacy AICTE reporting workflow and the proposed Drishyam Mesh platform:</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20" w:type="dxa"/>
              <w:bottom w:w="120" w:type="dxa"/>
              <w:left w:w="100" w:type="dxa"/>
              <w:right w:w="100" w:type="dxa"/>
            </w:tcMar>
          </w:tcPr>
          <w:p>
            <w:pPr>
              <w:spacing w:before="0" w:after="0"/>
            </w:pPr>
            <w:r>
              <w:rPr>
                <w:rFonts w:ascii="Arial" w:hAnsi="Arial"/>
                <w:b/>
                <w:color w:val="FFFFFF"/>
                <w:sz w:val="19"/>
              </w:rPr>
              <w:t>Operational Dimension</w:t>
            </w:r>
          </w:p>
        </w:tc>
        <w:tc>
          <w:tcPr>
            <w:tcW w:type="dxa" w:w="3312"/>
            <w:shd w:fill="1E3A8A"/>
            <w:tcMar>
              <w:top w:w="120" w:type="dxa"/>
              <w:bottom w:w="120" w:type="dxa"/>
              <w:left w:w="100" w:type="dxa"/>
              <w:right w:w="100" w:type="dxa"/>
            </w:tcMar>
          </w:tcPr>
          <w:p>
            <w:pPr>
              <w:spacing w:before="0" w:after="0"/>
            </w:pPr>
            <w:r>
              <w:rPr>
                <w:rFonts w:ascii="Arial" w:hAnsi="Arial"/>
                <w:b/>
                <w:color w:val="FFFFFF"/>
                <w:sz w:val="19"/>
              </w:rPr>
              <w:t>Legacy AICTE Workflow</w:t>
            </w:r>
          </w:p>
        </w:tc>
        <w:tc>
          <w:tcPr>
            <w:tcW w:type="dxa" w:w="3456"/>
            <w:shd w:fill="1E3A8A"/>
            <w:tcMar>
              <w:top w:w="120" w:type="dxa"/>
              <w:bottom w:w="120" w:type="dxa"/>
              <w:left w:w="100" w:type="dxa"/>
              <w:right w:w="100" w:type="dxa"/>
            </w:tcMar>
          </w:tcPr>
          <w:p>
            <w:pPr>
              <w:spacing w:before="0" w:after="0"/>
            </w:pPr>
            <w:r>
              <w:rPr>
                <w:rFonts w:ascii="Arial" w:hAnsi="Arial"/>
                <w:b/>
                <w:color w:val="FFFFFF"/>
                <w:sz w:val="19"/>
              </w:rPr>
              <w:t>Drishyam Mesh Platform</w:t>
            </w:r>
          </w:p>
        </w:tc>
      </w:tr>
      <w:tr>
        <w:tc>
          <w:tcPr>
            <w:tcW w:type="dxa" w:w="2592"/>
            <w:shd w:fill="F8FAFC"/>
            <w:tcMar>
              <w:top w:w="90" w:type="dxa"/>
              <w:bottom w:w="90" w:type="dxa"/>
              <w:left w:w="100" w:type="dxa"/>
              <w:right w:w="100" w:type="dxa"/>
            </w:tcMar>
          </w:tcPr>
          <w:p>
            <w:pPr>
              <w:spacing w:before="0" w:after="0"/>
            </w:pPr>
            <w:r>
              <w:rPr>
                <w:rFonts w:ascii="Arial" w:hAnsi="Arial"/>
                <w:b/>
                <w:color w:val="0F172A"/>
                <w:sz w:val="17"/>
              </w:rPr>
              <w:t>Student Identifier</w:t>
            </w:r>
          </w:p>
        </w:tc>
        <w:tc>
          <w:tcPr>
            <w:tcW w:type="dxa" w:w="3312"/>
            <w:shd w:fill="F8FAFC"/>
            <w:tcMar>
              <w:top w:w="90" w:type="dxa"/>
              <w:bottom w:w="90" w:type="dxa"/>
              <w:left w:w="100" w:type="dxa"/>
              <w:right w:w="100" w:type="dxa"/>
            </w:tcMar>
          </w:tcPr>
          <w:p>
            <w:pPr>
              <w:spacing w:before="0" w:after="0"/>
            </w:pPr>
            <w:r>
              <w:rPr>
                <w:rFonts w:ascii="Arial" w:hAnsi="Arial"/>
                <w:color w:val="475569"/>
                <w:sz w:val="17"/>
              </w:rPr>
              <w:t>Decentralized internal Roll Numbers; disparate across colleges and universities</w:t>
            </w:r>
          </w:p>
        </w:tc>
        <w:tc>
          <w:tcPr>
            <w:tcW w:type="dxa" w:w="3456"/>
            <w:shd w:fill="EFF6FF"/>
            <w:tcMar>
              <w:top w:w="90" w:type="dxa"/>
              <w:bottom w:w="90" w:type="dxa"/>
              <w:left w:w="100" w:type="dxa"/>
              <w:right w:w="100" w:type="dxa"/>
            </w:tcMar>
          </w:tcPr>
          <w:p>
            <w:pPr>
              <w:spacing w:before="0" w:after="0"/>
            </w:pPr>
            <w:r>
              <w:rPr>
                <w:rFonts w:ascii="Arial" w:hAnsi="Arial"/>
                <w:b/>
                <w:color w:val="1E3A8A"/>
                <w:sz w:val="17"/>
              </w:rPr>
              <w:t>Unified 12-digit national APAAR ID (Automated Permanent Academic Account Registry)</w:t>
            </w:r>
          </w:p>
        </w:tc>
      </w:tr>
      <w:tr>
        <w:tc>
          <w:tcPr>
            <w:tcW w:type="dxa" w:w="2592"/>
            <w:shd w:fill="FFFFFF"/>
            <w:tcMar>
              <w:top w:w="90" w:type="dxa"/>
              <w:bottom w:w="90" w:type="dxa"/>
              <w:left w:w="100" w:type="dxa"/>
              <w:right w:w="100" w:type="dxa"/>
            </w:tcMar>
          </w:tcPr>
          <w:p>
            <w:pPr>
              <w:spacing w:before="0" w:after="0"/>
            </w:pPr>
            <w:r>
              <w:rPr>
                <w:rFonts w:ascii="Arial" w:hAnsi="Arial"/>
                <w:b/>
                <w:color w:val="0F172A"/>
                <w:sz w:val="17"/>
              </w:rPr>
              <w:t>Reporting Paradigm</w:t>
            </w:r>
          </w:p>
        </w:tc>
        <w:tc>
          <w:tcPr>
            <w:tcW w:type="dxa" w:w="3312"/>
            <w:shd w:fill="FFFFFF"/>
            <w:tcMar>
              <w:top w:w="90" w:type="dxa"/>
              <w:bottom w:w="90" w:type="dxa"/>
              <w:left w:w="100" w:type="dxa"/>
              <w:right w:w="100" w:type="dxa"/>
            </w:tcMar>
          </w:tcPr>
          <w:p>
            <w:pPr>
              <w:spacing w:before="0" w:after="0"/>
            </w:pPr>
            <w:r>
              <w:rPr>
                <w:rFonts w:ascii="Arial" w:hAnsi="Arial"/>
                <w:color w:val="475569"/>
                <w:sz w:val="17"/>
              </w:rPr>
              <w:t>Annual aggregated statistical headcount during APH Extension of Approval cycle</w:t>
            </w:r>
          </w:p>
        </w:tc>
        <w:tc>
          <w:tcPr>
            <w:tcW w:type="dxa" w:w="3456"/>
            <w:shd w:fill="F0FDF4"/>
            <w:tcMar>
              <w:top w:w="90" w:type="dxa"/>
              <w:bottom w:w="90" w:type="dxa"/>
              <w:left w:w="100" w:type="dxa"/>
              <w:right w:w="100" w:type="dxa"/>
            </w:tcMar>
          </w:tcPr>
          <w:p>
            <w:pPr>
              <w:spacing w:before="0" w:after="0"/>
            </w:pPr>
            <w:r>
              <w:rPr>
                <w:rFonts w:ascii="Arial" w:hAnsi="Arial"/>
                <w:b/>
                <w:color w:val="1E3A8A"/>
                <w:sz w:val="17"/>
              </w:rPr>
              <w:t>Real-time, student-level event-driven ledger updates on admission allotment</w:t>
            </w:r>
          </w:p>
        </w:tc>
      </w:tr>
      <w:tr>
        <w:tc>
          <w:tcPr>
            <w:tcW w:type="dxa" w:w="2592"/>
            <w:shd w:fill="F8FAFC"/>
            <w:tcMar>
              <w:top w:w="90" w:type="dxa"/>
              <w:bottom w:w="90" w:type="dxa"/>
              <w:left w:w="100" w:type="dxa"/>
              <w:right w:w="100" w:type="dxa"/>
            </w:tcMar>
          </w:tcPr>
          <w:p>
            <w:pPr>
              <w:spacing w:before="0" w:after="0"/>
            </w:pPr>
            <w:r>
              <w:rPr>
                <w:rFonts w:ascii="Arial" w:hAnsi="Arial"/>
                <w:b/>
                <w:color w:val="0F172A"/>
                <w:sz w:val="17"/>
              </w:rPr>
              <w:t>Cross-College Collisions</w:t>
            </w:r>
          </w:p>
        </w:tc>
        <w:tc>
          <w:tcPr>
            <w:tcW w:type="dxa" w:w="3312"/>
            <w:shd w:fill="F8FAFC"/>
            <w:tcMar>
              <w:top w:w="90" w:type="dxa"/>
              <w:bottom w:w="90" w:type="dxa"/>
              <w:left w:w="100" w:type="dxa"/>
              <w:right w:w="100" w:type="dxa"/>
            </w:tcMar>
          </w:tcPr>
          <w:p>
            <w:pPr>
              <w:spacing w:before="0" w:after="0"/>
            </w:pPr>
            <w:r>
              <w:rPr>
                <w:rFonts w:ascii="Arial" w:hAnsi="Arial"/>
                <w:color w:val="475569"/>
                <w:sz w:val="17"/>
              </w:rPr>
              <w:t>Undetected; state counseling councils operate in completely isolated silos</w:t>
            </w:r>
          </w:p>
        </w:tc>
        <w:tc>
          <w:tcPr>
            <w:tcW w:type="dxa" w:w="3456"/>
            <w:shd w:fill="EFF6FF"/>
            <w:tcMar>
              <w:top w:w="90" w:type="dxa"/>
              <w:bottom w:w="90" w:type="dxa"/>
              <w:left w:w="100" w:type="dxa"/>
              <w:right w:w="100" w:type="dxa"/>
            </w:tcMar>
          </w:tcPr>
          <w:p>
            <w:pPr>
              <w:spacing w:before="0" w:after="0"/>
            </w:pPr>
            <w:r>
              <w:rPr>
                <w:rFonts w:ascii="Arial" w:hAnsi="Arial"/>
                <w:b/>
                <w:color w:val="1E3A8A"/>
                <w:sz w:val="17"/>
              </w:rPr>
              <w:t>Autonomous Neo4j Cypher graph traversals detect multi-seat collisions in real-time</w:t>
            </w:r>
          </w:p>
        </w:tc>
      </w:tr>
      <w:tr>
        <w:tc>
          <w:tcPr>
            <w:tcW w:type="dxa" w:w="2592"/>
            <w:shd w:fill="FFFFFF"/>
            <w:tcMar>
              <w:top w:w="90" w:type="dxa"/>
              <w:bottom w:w="90" w:type="dxa"/>
              <w:left w:w="100" w:type="dxa"/>
              <w:right w:w="100" w:type="dxa"/>
            </w:tcMar>
          </w:tcPr>
          <w:p>
            <w:pPr>
              <w:spacing w:before="0" w:after="0"/>
            </w:pPr>
            <w:r>
              <w:rPr>
                <w:rFonts w:ascii="Arial" w:hAnsi="Arial"/>
                <w:b/>
                <w:color w:val="0F172A"/>
                <w:sz w:val="17"/>
              </w:rPr>
              <w:t>Document Verification</w:t>
            </w:r>
          </w:p>
        </w:tc>
        <w:tc>
          <w:tcPr>
            <w:tcW w:type="dxa" w:w="3312"/>
            <w:shd w:fill="FFFFFF"/>
            <w:tcMar>
              <w:top w:w="90" w:type="dxa"/>
              <w:bottom w:w="90" w:type="dxa"/>
              <w:left w:w="100" w:type="dxa"/>
              <w:right w:w="100" w:type="dxa"/>
            </w:tcMar>
          </w:tcPr>
          <w:p>
            <w:pPr>
              <w:spacing w:before="0" w:after="0"/>
            </w:pPr>
            <w:r>
              <w:rPr>
                <w:rFonts w:ascii="Arial" w:hAnsi="Arial"/>
                <w:color w:val="475569"/>
                <w:sz w:val="17"/>
              </w:rPr>
              <w:t>Manual paper inspection; easily vulnerable to Photoshop and seal tampering</w:t>
            </w:r>
          </w:p>
        </w:tc>
        <w:tc>
          <w:tcPr>
            <w:tcW w:type="dxa" w:w="3456"/>
            <w:shd w:fill="F0FDF4"/>
            <w:tcMar>
              <w:top w:w="90" w:type="dxa"/>
              <w:bottom w:w="90" w:type="dxa"/>
              <w:left w:w="100" w:type="dxa"/>
              <w:right w:w="100" w:type="dxa"/>
            </w:tcMar>
          </w:tcPr>
          <w:p>
            <w:pPr>
              <w:spacing w:before="0" w:after="0"/>
            </w:pPr>
            <w:r>
              <w:rPr>
                <w:rFonts w:ascii="Arial" w:hAnsi="Arial"/>
                <w:b/>
                <w:color w:val="1E3A8A"/>
                <w:sz w:val="17"/>
              </w:rPr>
              <w:t>Sentinel Cognitive Vision Engine with Error Level Analysis (ELA) and DCT quantization checking</w:t>
            </w:r>
          </w:p>
        </w:tc>
      </w:tr>
      <w:tr>
        <w:tc>
          <w:tcPr>
            <w:tcW w:type="dxa" w:w="2592"/>
            <w:shd w:fill="F8FAFC"/>
            <w:tcMar>
              <w:top w:w="90" w:type="dxa"/>
              <w:bottom w:w="90" w:type="dxa"/>
              <w:left w:w="100" w:type="dxa"/>
              <w:right w:w="100" w:type="dxa"/>
            </w:tcMar>
          </w:tcPr>
          <w:p>
            <w:pPr>
              <w:spacing w:before="0" w:after="0"/>
            </w:pPr>
            <w:r>
              <w:rPr>
                <w:rFonts w:ascii="Arial" w:hAnsi="Arial"/>
                <w:b/>
                <w:color w:val="0F172A"/>
                <w:sz w:val="17"/>
              </w:rPr>
              <w:t>Multilingual Script Support</w:t>
            </w:r>
          </w:p>
        </w:tc>
        <w:tc>
          <w:tcPr>
            <w:tcW w:type="dxa" w:w="3312"/>
            <w:shd w:fill="F8FAFC"/>
            <w:tcMar>
              <w:top w:w="90" w:type="dxa"/>
              <w:bottom w:w="90" w:type="dxa"/>
              <w:left w:w="100" w:type="dxa"/>
              <w:right w:w="100" w:type="dxa"/>
            </w:tcMar>
          </w:tcPr>
          <w:p>
            <w:pPr>
              <w:spacing w:before="0" w:after="0"/>
            </w:pPr>
            <w:r>
              <w:rPr>
                <w:rFonts w:ascii="Arial" w:hAnsi="Arial"/>
                <w:color w:val="475569"/>
                <w:sz w:val="17"/>
              </w:rPr>
              <w:t>English only; state allotment letters in Hindi, Tamil, or Marathi require manual translation</w:t>
            </w:r>
          </w:p>
        </w:tc>
        <w:tc>
          <w:tcPr>
            <w:tcW w:type="dxa" w:w="3456"/>
            <w:shd w:fill="EFF6FF"/>
            <w:tcMar>
              <w:top w:w="90" w:type="dxa"/>
              <w:bottom w:w="90" w:type="dxa"/>
              <w:left w:w="100" w:type="dxa"/>
              <w:right w:w="100" w:type="dxa"/>
            </w:tcMar>
          </w:tcPr>
          <w:p>
            <w:pPr>
              <w:spacing w:before="0" w:after="0"/>
            </w:pPr>
            <w:r>
              <w:rPr>
                <w:rFonts w:ascii="Arial" w:hAnsi="Arial"/>
                <w:b/>
                <w:color w:val="1E3A8A"/>
                <w:sz w:val="17"/>
              </w:rPr>
              <w:t>Automated multilingual OCR and semantic entity normalization across regional Indian scripts</w:t>
            </w:r>
          </w:p>
        </w:tc>
      </w:tr>
      <w:tr>
        <w:tc>
          <w:tcPr>
            <w:tcW w:type="dxa" w:w="2592"/>
            <w:shd w:fill="FFFFFF"/>
            <w:tcMar>
              <w:top w:w="90" w:type="dxa"/>
              <w:bottom w:w="90" w:type="dxa"/>
              <w:left w:w="100" w:type="dxa"/>
              <w:right w:w="100" w:type="dxa"/>
            </w:tcMar>
          </w:tcPr>
          <w:p>
            <w:pPr>
              <w:spacing w:before="0" w:after="0"/>
            </w:pPr>
            <w:r>
              <w:rPr>
                <w:rFonts w:ascii="Arial" w:hAnsi="Arial"/>
                <w:b/>
                <w:color w:val="0F172A"/>
                <w:sz w:val="17"/>
              </w:rPr>
              <w:t>Pre-Commit Safeguards</w:t>
            </w:r>
          </w:p>
        </w:tc>
        <w:tc>
          <w:tcPr>
            <w:tcW w:type="dxa" w:w="3312"/>
            <w:shd w:fill="FFFFFF"/>
            <w:tcMar>
              <w:top w:w="90" w:type="dxa"/>
              <w:bottom w:w="90" w:type="dxa"/>
              <w:left w:w="100" w:type="dxa"/>
              <w:right w:w="100" w:type="dxa"/>
            </w:tcMar>
          </w:tcPr>
          <w:p>
            <w:pPr>
              <w:spacing w:before="0" w:after="0"/>
            </w:pPr>
            <w:r>
              <w:rPr>
                <w:rFonts w:ascii="Arial" w:hAnsi="Arial"/>
                <w:color w:val="475569"/>
                <w:sz w:val="17"/>
              </w:rPr>
              <w:t>None; direct batch database uploads cause silent overwrites and data pollution</w:t>
            </w:r>
          </w:p>
        </w:tc>
        <w:tc>
          <w:tcPr>
            <w:tcW w:type="dxa" w:w="3456"/>
            <w:shd w:fill="F0FDF4"/>
            <w:tcMar>
              <w:top w:w="90" w:type="dxa"/>
              <w:bottom w:w="90" w:type="dxa"/>
              <w:left w:w="100" w:type="dxa"/>
              <w:right w:w="100" w:type="dxa"/>
            </w:tcMar>
          </w:tcPr>
          <w:p>
            <w:pPr>
              <w:spacing w:before="0" w:after="0"/>
            </w:pPr>
            <w:r>
              <w:rPr>
                <w:rFonts w:ascii="Arial" w:hAnsi="Arial"/>
                <w:b/>
                <w:color w:val="1E3A8A"/>
                <w:sz w:val="17"/>
              </w:rPr>
              <w:t>Sandboxed Git-style pre-commit diff chamber with atomic validation and reversible staging</w:t>
            </w:r>
          </w:p>
        </w:tc>
      </w:tr>
      <w:tr>
        <w:tc>
          <w:tcPr>
            <w:tcW w:type="dxa" w:w="2592"/>
            <w:shd w:fill="F8FAFC"/>
            <w:tcMar>
              <w:top w:w="90" w:type="dxa"/>
              <w:bottom w:w="90" w:type="dxa"/>
              <w:left w:w="100" w:type="dxa"/>
              <w:right w:w="100" w:type="dxa"/>
            </w:tcMar>
          </w:tcPr>
          <w:p>
            <w:pPr>
              <w:spacing w:before="0" w:after="0"/>
            </w:pPr>
            <w:r>
              <w:rPr>
                <w:rFonts w:ascii="Arial" w:hAnsi="Arial"/>
                <w:b/>
                <w:color w:val="0F172A"/>
                <w:sz w:val="17"/>
              </w:rPr>
              <w:t>Intake Quota Auditing</w:t>
            </w:r>
          </w:p>
        </w:tc>
        <w:tc>
          <w:tcPr>
            <w:tcW w:type="dxa" w:w="3312"/>
            <w:shd w:fill="F8FAFC"/>
            <w:tcMar>
              <w:top w:w="90" w:type="dxa"/>
              <w:bottom w:w="90" w:type="dxa"/>
              <w:left w:w="100" w:type="dxa"/>
              <w:right w:w="100" w:type="dxa"/>
            </w:tcMar>
          </w:tcPr>
          <w:p>
            <w:pPr>
              <w:spacing w:before="0" w:after="0"/>
            </w:pPr>
            <w:r>
              <w:rPr>
                <w:rFonts w:ascii="Arial" w:hAnsi="Arial"/>
                <w:color w:val="475569"/>
                <w:sz w:val="17"/>
              </w:rPr>
              <w:t>Post-facto manual census audit; violations discovered after session completion</w:t>
            </w:r>
          </w:p>
        </w:tc>
        <w:tc>
          <w:tcPr>
            <w:tcW w:type="dxa" w:w="3456"/>
            <w:shd w:fill="EFF6FF"/>
            <w:tcMar>
              <w:top w:w="90" w:type="dxa"/>
              <w:bottom w:w="90" w:type="dxa"/>
              <w:left w:w="100" w:type="dxa"/>
              <w:right w:w="100" w:type="dxa"/>
            </w:tcMar>
          </w:tcPr>
          <w:p>
            <w:pPr>
              <w:spacing w:before="0" w:after="0"/>
            </w:pPr>
            <w:r>
              <w:rPr>
                <w:rFonts w:ascii="Arial" w:hAnsi="Arial"/>
                <w:b/>
                <w:color w:val="1E3A8A"/>
                <w:sz w:val="17"/>
              </w:rPr>
              <w:t>Live Approval Process Handbook (APH) quota tracking with supernumerary cap enforcement</w:t>
            </w:r>
          </w:p>
        </w:tc>
      </w:tr>
      <w:tr>
        <w:tc>
          <w:tcPr>
            <w:tcW w:type="dxa" w:w="2592"/>
            <w:shd w:fill="FFFFFF"/>
            <w:tcMar>
              <w:top w:w="90" w:type="dxa"/>
              <w:bottom w:w="90" w:type="dxa"/>
              <w:left w:w="100" w:type="dxa"/>
              <w:right w:w="100" w:type="dxa"/>
            </w:tcMar>
          </w:tcPr>
          <w:p>
            <w:pPr>
              <w:spacing w:before="0" w:after="0"/>
            </w:pPr>
            <w:r>
              <w:rPr>
                <w:rFonts w:ascii="Arial" w:hAnsi="Arial"/>
                <w:b/>
                <w:color w:val="0F172A"/>
                <w:sz w:val="17"/>
              </w:rPr>
              <w:t>Fraud Dispute Handling</w:t>
            </w:r>
          </w:p>
        </w:tc>
        <w:tc>
          <w:tcPr>
            <w:tcW w:type="dxa" w:w="3312"/>
            <w:shd w:fill="FFFFFF"/>
            <w:tcMar>
              <w:top w:w="90" w:type="dxa"/>
              <w:bottom w:w="90" w:type="dxa"/>
              <w:left w:w="100" w:type="dxa"/>
              <w:right w:w="100" w:type="dxa"/>
            </w:tcMar>
          </w:tcPr>
          <w:p>
            <w:pPr>
              <w:spacing w:before="0" w:after="0"/>
            </w:pPr>
            <w:r>
              <w:rPr>
                <w:rFonts w:ascii="Arial" w:hAnsi="Arial"/>
                <w:color w:val="475569"/>
                <w:sz w:val="17"/>
              </w:rPr>
              <w:t>Lengthy paper correspondence, formal inquiry commissions taking months</w:t>
            </w:r>
          </w:p>
        </w:tc>
        <w:tc>
          <w:tcPr>
            <w:tcW w:type="dxa" w:w="3456"/>
            <w:shd w:fill="F0FDF4"/>
            <w:tcMar>
              <w:top w:w="90" w:type="dxa"/>
              <w:bottom w:w="90" w:type="dxa"/>
              <w:left w:w="100" w:type="dxa"/>
              <w:right w:w="100" w:type="dxa"/>
            </w:tcMar>
          </w:tcPr>
          <w:p>
            <w:pPr>
              <w:spacing w:before="0" w:after="0"/>
            </w:pPr>
            <w:r>
              <w:rPr>
                <w:rFonts w:ascii="Arial" w:hAnsi="Arial"/>
                <w:b/>
                <w:color w:val="1E3A8A"/>
                <w:sz w:val="17"/>
              </w:rPr>
              <w:t>Automated dispute ticket generation with side-by-side evidence, timeline, and audit logs</w:t>
            </w:r>
          </w:p>
        </w:tc>
      </w:tr>
      <w:tr>
        <w:tc>
          <w:tcPr>
            <w:tcW w:type="dxa" w:w="2592"/>
            <w:shd w:fill="F8FAFC"/>
            <w:tcMar>
              <w:top w:w="90" w:type="dxa"/>
              <w:bottom w:w="90" w:type="dxa"/>
              <w:left w:w="100" w:type="dxa"/>
              <w:right w:w="100" w:type="dxa"/>
            </w:tcMar>
          </w:tcPr>
          <w:p>
            <w:pPr>
              <w:spacing w:before="0" w:after="0"/>
            </w:pPr>
            <w:r>
              <w:rPr>
                <w:rFonts w:ascii="Arial" w:hAnsi="Arial"/>
                <w:b/>
                <w:color w:val="0F172A"/>
                <w:sz w:val="17"/>
              </w:rPr>
              <w:t>Student Data Privacy</w:t>
            </w:r>
          </w:p>
        </w:tc>
        <w:tc>
          <w:tcPr>
            <w:tcW w:type="dxa" w:w="3312"/>
            <w:shd w:fill="F8FAFC"/>
            <w:tcMar>
              <w:top w:w="90" w:type="dxa"/>
              <w:bottom w:w="90" w:type="dxa"/>
              <w:left w:w="100" w:type="dxa"/>
              <w:right w:w="100" w:type="dxa"/>
            </w:tcMar>
          </w:tcPr>
          <w:p>
            <w:pPr>
              <w:spacing w:before="0" w:after="0"/>
            </w:pPr>
            <w:r>
              <w:rPr>
                <w:rFonts w:ascii="Arial" w:hAnsi="Arial"/>
                <w:color w:val="475569"/>
                <w:sz w:val="17"/>
              </w:rPr>
              <w:t>Full records shared via email/letters; zero compliance with DPDP Act 2023</w:t>
            </w:r>
          </w:p>
        </w:tc>
        <w:tc>
          <w:tcPr>
            <w:tcW w:type="dxa" w:w="3456"/>
            <w:shd w:fill="EFF6FF"/>
            <w:tcMar>
              <w:top w:w="90" w:type="dxa"/>
              <w:bottom w:w="90" w:type="dxa"/>
              <w:left w:w="100" w:type="dxa"/>
              <w:right w:w="100" w:type="dxa"/>
            </w:tcMar>
          </w:tcPr>
          <w:p>
            <w:pPr>
              <w:spacing w:before="0" w:after="0"/>
            </w:pPr>
            <w:r>
              <w:rPr>
                <w:rFonts w:ascii="Arial" w:hAnsi="Arial"/>
                <w:b/>
                <w:color w:val="1E3A8A"/>
                <w:sz w:val="17"/>
              </w:rPr>
              <w:t>Full DPDP Act 2023 compliance with Zero-Knowledge proof selective attribute disclosure</w:t>
            </w:r>
          </w:p>
        </w:tc>
      </w:tr>
      <w:tr>
        <w:tc>
          <w:tcPr>
            <w:tcW w:type="dxa" w:w="2592"/>
            <w:shd w:fill="FFFFFF"/>
            <w:tcMar>
              <w:top w:w="90" w:type="dxa"/>
              <w:bottom w:w="90" w:type="dxa"/>
              <w:left w:w="100" w:type="dxa"/>
              <w:right w:w="100" w:type="dxa"/>
            </w:tcMar>
          </w:tcPr>
          <w:p>
            <w:pPr>
              <w:spacing w:before="0" w:after="0"/>
            </w:pPr>
            <w:r>
              <w:rPr>
                <w:rFonts w:ascii="Arial" w:hAnsi="Arial"/>
                <w:b/>
                <w:color w:val="0F172A"/>
                <w:sz w:val="17"/>
              </w:rPr>
              <w:t>Credential Verification</w:t>
            </w:r>
          </w:p>
        </w:tc>
        <w:tc>
          <w:tcPr>
            <w:tcW w:type="dxa" w:w="3312"/>
            <w:shd w:fill="FFFFFF"/>
            <w:tcMar>
              <w:top w:w="90" w:type="dxa"/>
              <w:bottom w:w="90" w:type="dxa"/>
              <w:left w:w="100" w:type="dxa"/>
              <w:right w:w="100" w:type="dxa"/>
            </w:tcMar>
          </w:tcPr>
          <w:p>
            <w:pPr>
              <w:spacing w:before="0" w:after="0"/>
            </w:pPr>
            <w:r>
              <w:rPr>
                <w:rFonts w:ascii="Arial" w:hAnsi="Arial"/>
                <w:color w:val="475569"/>
                <w:sz w:val="17"/>
              </w:rPr>
              <w:t>Manual university registrar verification requiring weeks of turnaround</w:t>
            </w:r>
          </w:p>
        </w:tc>
        <w:tc>
          <w:tcPr>
            <w:tcW w:type="dxa" w:w="3456"/>
            <w:shd w:fill="F0FDF4"/>
            <w:tcMar>
              <w:top w:w="90" w:type="dxa"/>
              <w:bottom w:w="90" w:type="dxa"/>
              <w:left w:w="100" w:type="dxa"/>
              <w:right w:w="100" w:type="dxa"/>
            </w:tcMar>
          </w:tcPr>
          <w:p>
            <w:pPr>
              <w:spacing w:before="0" w:after="0"/>
            </w:pPr>
            <w:r>
              <w:rPr>
                <w:rFonts w:ascii="Arial" w:hAnsi="Arial"/>
                <w:b/>
                <w:color w:val="1E3A8A"/>
                <w:sz w:val="17"/>
              </w:rPr>
              <w:t>Instant offline verification via W3C Verifiable Credentials and Ed25519 cryptographic QR</w:t>
            </w:r>
          </w:p>
        </w:tc>
      </w:tr>
      <w:tr>
        <w:tc>
          <w:tcPr>
            <w:tcW w:type="dxa" w:w="2592"/>
            <w:shd w:fill="F8FAFC"/>
            <w:tcMar>
              <w:top w:w="90" w:type="dxa"/>
              <w:bottom w:w="90" w:type="dxa"/>
              <w:left w:w="100" w:type="dxa"/>
              <w:right w:w="100" w:type="dxa"/>
            </w:tcMar>
          </w:tcPr>
          <w:p>
            <w:pPr>
              <w:spacing w:before="0" w:after="0"/>
            </w:pPr>
            <w:r>
              <w:rPr>
                <w:rFonts w:ascii="Arial" w:hAnsi="Arial"/>
                <w:b/>
                <w:color w:val="0F172A"/>
                <w:sz w:val="17"/>
              </w:rPr>
              <w:t>Auditability &amp; Non-Repudiation</w:t>
            </w:r>
          </w:p>
        </w:tc>
        <w:tc>
          <w:tcPr>
            <w:tcW w:type="dxa" w:w="3312"/>
            <w:shd w:fill="F8FAFC"/>
            <w:tcMar>
              <w:top w:w="90" w:type="dxa"/>
              <w:bottom w:w="90" w:type="dxa"/>
              <w:left w:w="100" w:type="dxa"/>
              <w:right w:w="100" w:type="dxa"/>
            </w:tcMar>
          </w:tcPr>
          <w:p>
            <w:pPr>
              <w:spacing w:before="0" w:after="0"/>
            </w:pPr>
            <w:r>
              <w:rPr>
                <w:rFonts w:ascii="Arial" w:hAnsi="Arial"/>
                <w:color w:val="475569"/>
                <w:sz w:val="17"/>
              </w:rPr>
              <w:t>Mutable relational database logs vulnerable to administrative tampering</w:t>
            </w:r>
          </w:p>
        </w:tc>
        <w:tc>
          <w:tcPr>
            <w:tcW w:type="dxa" w:w="3456"/>
            <w:shd w:fill="EFF6FF"/>
            <w:tcMar>
              <w:top w:w="90" w:type="dxa"/>
              <w:bottom w:w="90" w:type="dxa"/>
              <w:left w:w="100" w:type="dxa"/>
              <w:right w:w="100" w:type="dxa"/>
            </w:tcMar>
          </w:tcPr>
          <w:p>
            <w:pPr>
              <w:spacing w:before="0" w:after="0"/>
            </w:pPr>
            <w:r>
              <w:rPr>
                <w:rFonts w:ascii="Arial" w:hAnsi="Arial"/>
                <w:b/>
                <w:color w:val="1E3A8A"/>
                <w:sz w:val="17"/>
              </w:rPr>
              <w:t>Cryptographic append-only tamper ledger with SHA-256 block hash chaining</w:t>
            </w:r>
          </w:p>
        </w:tc>
      </w:tr>
      <w:tr>
        <w:tc>
          <w:tcPr>
            <w:tcW w:type="dxa" w:w="2592"/>
            <w:shd w:fill="FFFFFF"/>
            <w:tcMar>
              <w:top w:w="90" w:type="dxa"/>
              <w:bottom w:w="90" w:type="dxa"/>
              <w:left w:w="100" w:type="dxa"/>
              <w:right w:w="100" w:type="dxa"/>
            </w:tcMar>
          </w:tcPr>
          <w:p>
            <w:pPr>
              <w:spacing w:before="0" w:after="0"/>
            </w:pPr>
            <w:r>
              <w:rPr>
                <w:rFonts w:ascii="Arial" w:hAnsi="Arial"/>
                <w:b/>
                <w:color w:val="0F172A"/>
                <w:sz w:val="17"/>
              </w:rPr>
              <w:t>Workflow Automation</w:t>
            </w:r>
          </w:p>
        </w:tc>
        <w:tc>
          <w:tcPr>
            <w:tcW w:type="dxa" w:w="3312"/>
            <w:shd w:fill="FFFFFF"/>
            <w:tcMar>
              <w:top w:w="90" w:type="dxa"/>
              <w:bottom w:w="90" w:type="dxa"/>
              <w:left w:w="100" w:type="dxa"/>
              <w:right w:w="100" w:type="dxa"/>
            </w:tcMar>
          </w:tcPr>
          <w:p>
            <w:pPr>
              <w:spacing w:before="0" w:after="0"/>
            </w:pPr>
            <w:r>
              <w:rPr>
                <w:rFonts w:ascii="Arial" w:hAnsi="Arial"/>
                <w:color w:val="475569"/>
                <w:sz w:val="17"/>
              </w:rPr>
              <w:t>Fragmented manual clerical procedures across disparate departments</w:t>
            </w:r>
          </w:p>
        </w:tc>
        <w:tc>
          <w:tcPr>
            <w:tcW w:type="dxa" w:w="3456"/>
            <w:shd w:fill="F0FDF4"/>
            <w:tcMar>
              <w:top w:w="90" w:type="dxa"/>
              <w:bottom w:w="90" w:type="dxa"/>
              <w:left w:w="100" w:type="dxa"/>
              <w:right w:w="100" w:type="dxa"/>
            </w:tcMar>
          </w:tcPr>
          <w:p>
            <w:pPr>
              <w:spacing w:before="0" w:after="0"/>
            </w:pPr>
            <w:r>
              <w:rPr>
                <w:rFonts w:ascii="Arial" w:hAnsi="Arial"/>
                <w:b/>
                <w:color w:val="1E3A8A"/>
                <w:sz w:val="17"/>
              </w:rPr>
              <w:t>Four autonomous n8n event-driven pipelines executing with live latency telemetry</w:t>
            </w:r>
          </w:p>
        </w:tc>
      </w:tr>
    </w:tbl>
    <w:p>
      <w:pPr>
        <w:spacing w:before="280" w:after="80"/>
      </w:pPr>
      <w:r>
        <w:rPr>
          <w:rFonts w:ascii="Arial" w:hAnsi="Arial"/>
          <w:b/>
          <w:color w:val="1E3A8A"/>
          <w:sz w:val="28"/>
        </w:rPr>
        <w:t>5. Step-by-Step System Execution &amp; Operational Workflow</w:t>
      </w:r>
    </w:p>
    <w:p>
      <w:pPr>
        <w:spacing w:after="120"/>
      </w:pPr>
      <w:r>
        <w:rPr>
          <w:rFonts w:ascii="Arial" w:hAnsi="Arial"/>
          <w:color w:val="1E293B"/>
          <w:sz w:val="20"/>
        </w:rPr>
        <w:t>To evaluate the complete technical prototype of Drishyam Mesh, reviewers and judges should follow this standardized sequence of operational procedures:</w:t>
      </w:r>
    </w:p>
    <w:p>
      <w:pPr>
        <w:spacing w:before="160" w:after="40"/>
      </w:pPr>
      <w:r>
        <w:rPr>
          <w:rFonts w:ascii="Arial" w:hAnsi="Arial"/>
          <w:b/>
          <w:color w:val="1E3A8A"/>
          <w:sz w:val="21"/>
        </w:rPr>
        <w:t>Step 1: Role Authentication &amp; Institutional Scoping</w:t>
      </w:r>
    </w:p>
    <w:p>
      <w:pPr>
        <w:spacing w:after="80" w:line="276" w:lineRule="auto"/>
      </w:pPr>
      <w:r>
        <w:rPr>
          <w:rFonts w:ascii="Arial" w:hAnsi="Arial"/>
          <w:color w:val="334155"/>
          <w:sz w:val="19"/>
        </w:rPr>
        <w:t>Access the portal at `http://localhost:5173/login`. Reviewers can select the pre-configured quick login buttons. Selecting 'AICTE Admin' (`admin` / `Admin@123`) grants nationwide visibility. Selecting 'Delhi Registrar' (`registrar_delhi` / `Registrar@123`) confines operational boundaries strictly to Delhi Institute of Advanced Technology, enforcing zero-trust IDOR security.</w:t>
      </w:r>
    </w:p>
    <w:p>
      <w:pPr>
        <w:spacing w:before="160" w:after="40"/>
      </w:pPr>
      <w:r>
        <w:rPr>
          <w:rFonts w:ascii="Arial" w:hAnsi="Arial"/>
          <w:b/>
          <w:color w:val="1E3A8A"/>
          <w:sz w:val="21"/>
        </w:rPr>
        <w:t>Step 2: Multilingual Document Ingestion &amp; Forensic Evaluation</w:t>
      </w:r>
    </w:p>
    <w:p>
      <w:pPr>
        <w:spacing w:after="80" w:line="276" w:lineRule="auto"/>
      </w:pPr>
      <w:r>
        <w:rPr>
          <w:rFonts w:ascii="Arial" w:hAnsi="Arial"/>
          <w:color w:val="334155"/>
          <w:sz w:val="19"/>
        </w:rPr>
        <w:t>Navigate to the Imports tab (`/imports`). Scroll down to the Document Analyzer Test Bench. Select the official Hindi allotment letter (`राजकीय_प्रौद्योगिकी_संस्थान_प्रवेश_आवंटन_पत्र.pdf`) or Tamil TNEA allotment memo. Observe the Sentinel Cognitive Vision Engine parsing Devanagari/Tamil typography and extracting canonical student name, APAAR token, and institution code. Next, select the tampered document (`Tampered_CAP_Allotment_Letter.pdf`) and verify that Error Level Analysis (ELA) flags the file as FLAGGED_TAMPERED due to high DCT residual disparity.</w:t>
      </w:r>
    </w:p>
    <w:p>
      <w:pPr>
        <w:spacing w:before="160" w:after="40"/>
      </w:pPr>
      <w:r>
        <w:rPr>
          <w:rFonts w:ascii="Arial" w:hAnsi="Arial"/>
          <w:b/>
          <w:color w:val="1E3A8A"/>
          <w:sz w:val="21"/>
        </w:rPr>
        <w:t>Step 3: Sandboxed Diff Inspection &amp; Atomic Registry Commit</w:t>
      </w:r>
    </w:p>
    <w:p>
      <w:pPr>
        <w:spacing w:after="80" w:line="276" w:lineRule="auto"/>
      </w:pPr>
      <w:r>
        <w:rPr>
          <w:rFonts w:ascii="Arial" w:hAnsi="Arial"/>
          <w:color w:val="334155"/>
          <w:sz w:val="19"/>
        </w:rPr>
        <w:t>In the Imports section, view the Sandboxed Diff Chamber. Inspect the staged student entries color-coded with green addition badges and field deltas. Verify that changes can be examined before database commitment. Click 'Commit Batch to Authoritative Ledger' to atomically persist the records.</w:t>
      </w:r>
    </w:p>
    <w:p>
      <w:pPr>
        <w:spacing w:before="160" w:after="40"/>
      </w:pPr>
      <w:r>
        <w:rPr>
          <w:rFonts w:ascii="Arial" w:hAnsi="Arial"/>
          <w:b/>
          <w:color w:val="1E3A8A"/>
          <w:sz w:val="21"/>
        </w:rPr>
        <w:t>Step 4: Real-Time Neo4j Knowledge Graph Mesh Traversal</w:t>
      </w:r>
    </w:p>
    <w:p>
      <w:pPr>
        <w:spacing w:after="80" w:line="276" w:lineRule="auto"/>
      </w:pPr>
      <w:r>
        <w:rPr>
          <w:rFonts w:ascii="Arial" w:hAnsi="Arial"/>
          <w:color w:val="334155"/>
          <w:sz w:val="19"/>
        </w:rPr>
        <w:t>Click Knowledge Mesh (`/graph`) in the sidebar navigation. Observe the interactive pure-white network topology. Locate the student node linked concurrently to both 'Delhi Technological University' and 'COEP Technological University'. Observe the red pulsating CONCURRENT_ENROLLMENT edge. Click 'Run Cypher Traversal' to view the underlying graph query exposing the multi-institution seat claim.</w:t>
      </w:r>
    </w:p>
    <w:p>
      <w:pPr>
        <w:spacing w:before="160" w:after="40"/>
      </w:pPr>
      <w:r>
        <w:rPr>
          <w:rFonts w:ascii="Arial" w:hAnsi="Arial"/>
          <w:b/>
          <w:color w:val="1E3A8A"/>
          <w:sz w:val="21"/>
        </w:rPr>
        <w:t>Step 5: Autonomous n8n Workflow Orchestration Execution</w:t>
      </w:r>
    </w:p>
    <w:p>
      <w:pPr>
        <w:spacing w:after="80" w:line="276" w:lineRule="auto"/>
      </w:pPr>
      <w:r>
        <w:rPr>
          <w:rFonts w:ascii="Arial" w:hAnsi="Arial"/>
          <w:color w:val="334155"/>
          <w:sz w:val="19"/>
        </w:rPr>
        <w:t>Navigate to Workflows (`/workflows`). Select 'Workflow B: Cross-State Identity Resolution &amp; PSI Matching'. Click 'Execute Pipeline'. Observe the animated execution flow tracking each event-driven step with real-time latency indicators. Confirm that upon completing execution, a formal collision dispute is dispatched.</w:t>
      </w:r>
    </w:p>
    <w:p>
      <w:pPr>
        <w:spacing w:before="160" w:after="40"/>
      </w:pPr>
      <w:r>
        <w:rPr>
          <w:rFonts w:ascii="Arial" w:hAnsi="Arial"/>
          <w:b/>
          <w:color w:val="1E3A8A"/>
          <w:sz w:val="21"/>
        </w:rPr>
        <w:t>Step 6: Review Dispute Resolution &amp; Case Arbitration</w:t>
      </w:r>
    </w:p>
    <w:p>
      <w:pPr>
        <w:spacing w:after="80" w:line="276" w:lineRule="auto"/>
      </w:pPr>
      <w:r>
        <w:rPr>
          <w:rFonts w:ascii="Arial" w:hAnsi="Arial"/>
          <w:color w:val="334155"/>
          <w:sz w:val="19"/>
        </w:rPr>
        <w:t>Navigate to Reviews (`/reviews`). Open the collision dispute ticket for Candidate Devansh Gupta (`CASE-2024-001`). Examine the side-by-side evidence, timeline of admission claims, and regulatory audit notes. Registrars can select 'Escalate to AICTE Adjudication' or 'Reject Duplicate Claim'.</w:t>
      </w:r>
    </w:p>
    <w:p>
      <w:pPr>
        <w:spacing w:before="160" w:after="40"/>
      </w:pPr>
      <w:r>
        <w:rPr>
          <w:rFonts w:ascii="Arial" w:hAnsi="Arial"/>
          <w:b/>
          <w:color w:val="1E3A8A"/>
          <w:sz w:val="21"/>
        </w:rPr>
        <w:t>Step 7: Student Registry &amp; Cryptographic Audit Ledger</w:t>
      </w:r>
    </w:p>
    <w:p>
      <w:pPr>
        <w:spacing w:after="80" w:line="276" w:lineRule="auto"/>
      </w:pPr>
      <w:r>
        <w:rPr>
          <w:rFonts w:ascii="Arial" w:hAnsi="Arial"/>
          <w:color w:val="334155"/>
          <w:sz w:val="19"/>
        </w:rPr>
        <w:t>Navigate to Students (`/students`). Filter records by institution or program. Click the history icon on any student to open the 'Student Revision History Modal', showing previous versions and registrar modification logs. Open the 'Tamper Ledger Viewer' to verify SHA-256 block hash chaining and cryptographic integrity.</w:t>
      </w:r>
    </w:p>
    <w:p>
      <w:pPr>
        <w:spacing w:before="160" w:after="40"/>
      </w:pPr>
      <w:r>
        <w:rPr>
          <w:rFonts w:ascii="Arial" w:hAnsi="Arial"/>
          <w:b/>
          <w:color w:val="1E3A8A"/>
          <w:sz w:val="21"/>
        </w:rPr>
        <w:t>Step 8: DPDP Act 2023 Student Consent &amp; Selective Disclosure</w:t>
      </w:r>
    </w:p>
    <w:p>
      <w:pPr>
        <w:spacing w:after="80" w:line="276" w:lineRule="auto"/>
      </w:pPr>
      <w:r>
        <w:rPr>
          <w:rFonts w:ascii="Arial" w:hAnsi="Arial"/>
          <w:color w:val="334155"/>
          <w:sz w:val="19"/>
        </w:rPr>
        <w:t>Navigate to Verification (`/verification`). Click 'Open DPDP Student Consent Gateway'. Toggle sensitive fields (e.g., masking Cumulative GPA and raw Aadhaar references while keeping Degree status verified). Click 'Generate DPDP Consent Token'. Observe the issued Zero-Knowledge proof token and cryptographically masked QR payload.</w:t>
      </w:r>
    </w:p>
    <w:p>
      <w:pPr>
        <w:spacing w:before="160" w:after="40"/>
      </w:pPr>
      <w:r>
        <w:rPr>
          <w:rFonts w:ascii="Arial" w:hAnsi="Arial"/>
          <w:b/>
          <w:color w:val="1E3A8A"/>
          <w:sz w:val="21"/>
        </w:rPr>
        <w:t>Step 9: Offline QR Verification &amp; Official Degree Parchment Generation</w:t>
      </w:r>
    </w:p>
    <w:p>
      <w:pPr>
        <w:spacing w:after="80" w:line="276" w:lineRule="auto"/>
      </w:pPr>
      <w:r>
        <w:rPr>
          <w:rFonts w:ascii="Arial" w:hAnsi="Arial"/>
          <w:color w:val="334155"/>
          <w:sz w:val="19"/>
        </w:rPr>
        <w:t>In the Verification Gateway, enter a credential reference ID (`AICTE-CRED-1B80D166`) and click 'Verify Credential'. Confirm the green 'VALIDATED' cryptographic signature status. Click 'View Official Degree Certificate' to open the printable parchment modal complete with the gold-bordered AICTE seal, candidate details, and offline QR code.</w:t>
      </w:r>
    </w:p>
    <w:p>
      <w:pPr>
        <w:spacing w:before="280" w:after="80"/>
      </w:pPr>
      <w:r>
        <w:rPr>
          <w:rFonts w:ascii="Arial" w:hAnsi="Arial"/>
          <w:b/>
          <w:color w:val="1E3A8A"/>
          <w:sz w:val="28"/>
        </w:rPr>
        <w:t>6. Proof of Concept Verification Suite &amp; Benchmark Results</w:t>
      </w:r>
    </w:p>
    <w:p>
      <w:pPr>
        <w:spacing w:after="120"/>
      </w:pPr>
      <w:r>
        <w:rPr>
          <w:rFonts w:ascii="Arial" w:hAnsi="Arial"/>
          <w:color w:val="334155"/>
          <w:sz w:val="19"/>
        </w:rPr>
        <w:t>The Drishyam Mesh platform includes an automated 39-step end-to-end integration test harness (`pipeline_e2e_test.js`) validating every functional pipeline. The complete verification results are summarized below:</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728"/>
            <w:shd w:fill="1E3A8A"/>
            <w:tcMar>
              <w:top w:w="100" w:type="dxa"/>
              <w:bottom w:w="100" w:type="dxa"/>
              <w:left w:w="80" w:type="dxa"/>
              <w:right w:w="80" w:type="dxa"/>
            </w:tcMar>
          </w:tcPr>
          <w:p>
            <w:r>
              <w:rPr>
                <w:rFonts w:ascii="Arial" w:hAnsi="Arial"/>
                <w:b/>
                <w:color w:val="FFFFFF"/>
                <w:sz w:val="18"/>
              </w:rPr>
              <w:t>Test Group</w:t>
            </w:r>
          </w:p>
        </w:tc>
        <w:tc>
          <w:tcPr>
            <w:tcW w:type="dxa" w:w="3312"/>
            <w:shd w:fill="1E3A8A"/>
            <w:tcMar>
              <w:top w:w="100" w:type="dxa"/>
              <w:bottom w:w="100" w:type="dxa"/>
              <w:left w:w="80" w:type="dxa"/>
              <w:right w:w="80" w:type="dxa"/>
            </w:tcMar>
          </w:tcPr>
          <w:p>
            <w:r>
              <w:rPr>
                <w:rFonts w:ascii="Arial" w:hAnsi="Arial"/>
                <w:b/>
                <w:color w:val="FFFFFF"/>
                <w:sz w:val="18"/>
              </w:rPr>
              <w:t>Pipeline Target</w:t>
            </w:r>
          </w:p>
        </w:tc>
        <w:tc>
          <w:tcPr>
            <w:tcW w:type="dxa" w:w="2880"/>
            <w:shd w:fill="1E3A8A"/>
            <w:tcMar>
              <w:top w:w="100" w:type="dxa"/>
              <w:bottom w:w="100" w:type="dxa"/>
              <w:left w:w="80" w:type="dxa"/>
              <w:right w:w="80" w:type="dxa"/>
            </w:tcMar>
          </w:tcPr>
          <w:p>
            <w:r>
              <w:rPr>
                <w:rFonts w:ascii="Arial" w:hAnsi="Arial"/>
                <w:b/>
                <w:color w:val="FFFFFF"/>
                <w:sz w:val="18"/>
              </w:rPr>
              <w:t>Observed Evidence / Output</w:t>
            </w:r>
          </w:p>
        </w:tc>
        <w:tc>
          <w:tcPr>
            <w:tcW w:type="dxa" w:w="1440"/>
            <w:shd w:fill="1E3A8A"/>
            <w:tcMar>
              <w:top w:w="100" w:type="dxa"/>
              <w:bottom w:w="100" w:type="dxa"/>
              <w:left w:w="80" w:type="dxa"/>
              <w:right w:w="80" w:type="dxa"/>
            </w:tcMar>
          </w:tcPr>
          <w:p>
            <w:r>
              <w:rPr>
                <w:rFonts w:ascii="Arial" w:hAnsi="Arial"/>
                <w:b/>
                <w:color w:val="FFFFFF"/>
                <w:sz w:val="18"/>
              </w:rPr>
              <w:t>Result</w:t>
            </w:r>
          </w:p>
        </w:tc>
      </w:tr>
      <w:tr>
        <w:tc>
          <w:tcPr>
            <w:tcW w:type="dxa" w:w="1728"/>
            <w:shd w:fill="F8FAFC"/>
            <w:tcMar>
              <w:top w:w="80" w:type="dxa"/>
              <w:bottom w:w="80" w:type="dxa"/>
              <w:left w:w="80" w:type="dxa"/>
              <w:right w:w="80" w:type="dxa"/>
            </w:tcMar>
          </w:tcPr>
          <w:p>
            <w:pPr>
              <w:spacing w:before="0" w:after="0"/>
            </w:pPr>
            <w:r>
              <w:rPr>
                <w:rFonts w:ascii="Arial" w:hAnsi="Arial"/>
                <w:b/>
                <w:color w:val="0F172A"/>
                <w:sz w:val="17"/>
              </w:rPr>
              <w:t>Group 1</w:t>
            </w:r>
          </w:p>
        </w:tc>
        <w:tc>
          <w:tcPr>
            <w:tcW w:type="dxa" w:w="3312"/>
            <w:shd w:fill="F8FAFC"/>
            <w:tcMar>
              <w:top w:w="80" w:type="dxa"/>
              <w:bottom w:w="80" w:type="dxa"/>
              <w:left w:w="80" w:type="dxa"/>
              <w:right w:w="80" w:type="dxa"/>
            </w:tcMar>
          </w:tcPr>
          <w:p>
            <w:pPr>
              <w:spacing w:before="0" w:after="0"/>
            </w:pPr>
            <w:r>
              <w:rPr>
                <w:rFonts w:ascii="Arial" w:hAnsi="Arial"/>
                <w:color w:val="334155"/>
                <w:sz w:val="17"/>
              </w:rPr>
              <w:t>Authentic Central APAAR Parsing</w:t>
            </w:r>
          </w:p>
        </w:tc>
        <w:tc>
          <w:tcPr>
            <w:tcW w:type="dxa" w:w="2880"/>
            <w:shd w:fill="F8FAFC"/>
            <w:tcMar>
              <w:top w:w="80" w:type="dxa"/>
              <w:bottom w:w="80" w:type="dxa"/>
              <w:left w:w="80" w:type="dxa"/>
              <w:right w:w="80" w:type="dxa"/>
            </w:tcMar>
          </w:tcPr>
          <w:p>
            <w:pPr>
              <w:spacing w:before="0" w:after="0"/>
            </w:pPr>
            <w:r>
              <w:rPr>
                <w:rFonts w:ascii="Arial" w:hAnsi="Arial"/>
                <w:color w:val="334155"/>
                <w:sz w:val="17"/>
              </w:rPr>
              <w:t>Status: VERIFIED_ACADEMIC_RECORD; Token: 9082-3145-6671; ELA Passed</w:t>
            </w:r>
          </w:p>
        </w:tc>
        <w:tc>
          <w:tcPr>
            <w:tcW w:type="dxa" w:w="1440"/>
            <w:shd w:fill="F8FAFC"/>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FFFFF"/>
            <w:tcMar>
              <w:top w:w="80" w:type="dxa"/>
              <w:bottom w:w="80" w:type="dxa"/>
              <w:left w:w="80" w:type="dxa"/>
              <w:right w:w="80" w:type="dxa"/>
            </w:tcMar>
          </w:tcPr>
          <w:p>
            <w:pPr>
              <w:spacing w:before="0" w:after="0"/>
            </w:pPr>
            <w:r>
              <w:rPr>
                <w:rFonts w:ascii="Arial" w:hAnsi="Arial"/>
                <w:b/>
                <w:color w:val="0F172A"/>
                <w:sz w:val="17"/>
              </w:rPr>
              <w:t>Group 2</w:t>
            </w:r>
          </w:p>
        </w:tc>
        <w:tc>
          <w:tcPr>
            <w:tcW w:type="dxa" w:w="3312"/>
            <w:shd w:fill="FFFFFF"/>
            <w:tcMar>
              <w:top w:w="80" w:type="dxa"/>
              <w:bottom w:w="80" w:type="dxa"/>
              <w:left w:w="80" w:type="dxa"/>
              <w:right w:w="80" w:type="dxa"/>
            </w:tcMar>
          </w:tcPr>
          <w:p>
            <w:pPr>
              <w:spacing w:before="0" w:after="0"/>
            </w:pPr>
            <w:r>
              <w:rPr>
                <w:rFonts w:ascii="Arial" w:hAnsi="Arial"/>
                <w:color w:val="334155"/>
                <w:sz w:val="17"/>
              </w:rPr>
              <w:t>Multilingual Hindi / Devanagari OCR</w:t>
            </w:r>
          </w:p>
        </w:tc>
        <w:tc>
          <w:tcPr>
            <w:tcW w:type="dxa" w:w="2880"/>
            <w:shd w:fill="FFFFFF"/>
            <w:tcMar>
              <w:top w:w="80" w:type="dxa"/>
              <w:bottom w:w="80" w:type="dxa"/>
              <w:left w:w="80" w:type="dxa"/>
              <w:right w:w="80" w:type="dxa"/>
            </w:tcMar>
          </w:tcPr>
          <w:p>
            <w:pPr>
              <w:spacing w:before="0" w:after="0"/>
            </w:pPr>
            <w:r>
              <w:rPr>
                <w:rFonts w:ascii="Arial" w:hAnsi="Arial"/>
                <w:color w:val="334155"/>
                <w:sz w:val="17"/>
              </w:rPr>
              <w:t>Language: Hindi (हिन्दी); Normalized: देवांश गुप्ता to Devansh Gupta</w:t>
            </w:r>
          </w:p>
        </w:tc>
        <w:tc>
          <w:tcPr>
            <w:tcW w:type="dxa" w:w="1440"/>
            <w:shd w:fill="FFFFFF"/>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8FAFC"/>
            <w:tcMar>
              <w:top w:w="80" w:type="dxa"/>
              <w:bottom w:w="80" w:type="dxa"/>
              <w:left w:w="80" w:type="dxa"/>
              <w:right w:w="80" w:type="dxa"/>
            </w:tcMar>
          </w:tcPr>
          <w:p>
            <w:pPr>
              <w:spacing w:before="0" w:after="0"/>
            </w:pPr>
            <w:r>
              <w:rPr>
                <w:rFonts w:ascii="Arial" w:hAnsi="Arial"/>
                <w:b/>
                <w:color w:val="0F172A"/>
                <w:sz w:val="17"/>
              </w:rPr>
              <w:t>Group 3</w:t>
            </w:r>
          </w:p>
        </w:tc>
        <w:tc>
          <w:tcPr>
            <w:tcW w:type="dxa" w:w="3312"/>
            <w:shd w:fill="F8FAFC"/>
            <w:tcMar>
              <w:top w:w="80" w:type="dxa"/>
              <w:bottom w:w="80" w:type="dxa"/>
              <w:left w:w="80" w:type="dxa"/>
              <w:right w:w="80" w:type="dxa"/>
            </w:tcMar>
          </w:tcPr>
          <w:p>
            <w:pPr>
              <w:spacing w:before="0" w:after="0"/>
            </w:pPr>
            <w:r>
              <w:rPr>
                <w:rFonts w:ascii="Arial" w:hAnsi="Arial"/>
                <w:color w:val="334155"/>
                <w:sz w:val="17"/>
              </w:rPr>
              <w:t>Multilingual Tamil TNEA Memo</w:t>
            </w:r>
          </w:p>
        </w:tc>
        <w:tc>
          <w:tcPr>
            <w:tcW w:type="dxa" w:w="2880"/>
            <w:shd w:fill="F8FAFC"/>
            <w:tcMar>
              <w:top w:w="80" w:type="dxa"/>
              <w:bottom w:w="80" w:type="dxa"/>
              <w:left w:w="80" w:type="dxa"/>
              <w:right w:w="80" w:type="dxa"/>
            </w:tcMar>
          </w:tcPr>
          <w:p>
            <w:pPr>
              <w:spacing w:before="0" w:after="0"/>
            </w:pPr>
            <w:r>
              <w:rPr>
                <w:rFonts w:ascii="Arial" w:hAnsi="Arial"/>
                <w:color w:val="334155"/>
                <w:sz w:val="17"/>
              </w:rPr>
              <w:t>Language: Tamil (தமிழ்); Institutional Code: AICTE-TN-301</w:t>
            </w:r>
          </w:p>
        </w:tc>
        <w:tc>
          <w:tcPr>
            <w:tcW w:type="dxa" w:w="1440"/>
            <w:shd w:fill="F8FAFC"/>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FFFFF"/>
            <w:tcMar>
              <w:top w:w="80" w:type="dxa"/>
              <w:bottom w:w="80" w:type="dxa"/>
              <w:left w:w="80" w:type="dxa"/>
              <w:right w:w="80" w:type="dxa"/>
            </w:tcMar>
          </w:tcPr>
          <w:p>
            <w:pPr>
              <w:spacing w:before="0" w:after="0"/>
            </w:pPr>
            <w:r>
              <w:rPr>
                <w:rFonts w:ascii="Arial" w:hAnsi="Arial"/>
                <w:b/>
                <w:color w:val="0F172A"/>
                <w:sz w:val="17"/>
              </w:rPr>
              <w:t>Group 4</w:t>
            </w:r>
          </w:p>
        </w:tc>
        <w:tc>
          <w:tcPr>
            <w:tcW w:type="dxa" w:w="3312"/>
            <w:shd w:fill="FFFFFF"/>
            <w:tcMar>
              <w:top w:w="80" w:type="dxa"/>
              <w:bottom w:w="80" w:type="dxa"/>
              <w:left w:w="80" w:type="dxa"/>
              <w:right w:w="80" w:type="dxa"/>
            </w:tcMar>
          </w:tcPr>
          <w:p>
            <w:pPr>
              <w:spacing w:before="0" w:after="0"/>
            </w:pPr>
            <w:r>
              <w:rPr>
                <w:rFonts w:ascii="Arial" w:hAnsi="Arial"/>
                <w:color w:val="334155"/>
                <w:sz w:val="17"/>
              </w:rPr>
              <w:t>Multilingual Marathi DTE Allotment</w:t>
            </w:r>
          </w:p>
        </w:tc>
        <w:tc>
          <w:tcPr>
            <w:tcW w:type="dxa" w:w="2880"/>
            <w:shd w:fill="FFFFFF"/>
            <w:tcMar>
              <w:top w:w="80" w:type="dxa"/>
              <w:bottom w:w="80" w:type="dxa"/>
              <w:left w:w="80" w:type="dxa"/>
              <w:right w:w="80" w:type="dxa"/>
            </w:tcMar>
          </w:tcPr>
          <w:p>
            <w:pPr>
              <w:spacing w:before="0" w:after="0"/>
            </w:pPr>
            <w:r>
              <w:rPr>
                <w:rFonts w:ascii="Arial" w:hAnsi="Arial"/>
                <w:color w:val="334155"/>
                <w:sz w:val="17"/>
              </w:rPr>
              <w:t>Language: Marathi (मराठी); Mapped Code: AICTE-MAH-202</w:t>
            </w:r>
          </w:p>
        </w:tc>
        <w:tc>
          <w:tcPr>
            <w:tcW w:type="dxa" w:w="1440"/>
            <w:shd w:fill="FFFFFF"/>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8FAFC"/>
            <w:tcMar>
              <w:top w:w="80" w:type="dxa"/>
              <w:bottom w:w="80" w:type="dxa"/>
              <w:left w:w="80" w:type="dxa"/>
              <w:right w:w="80" w:type="dxa"/>
            </w:tcMar>
          </w:tcPr>
          <w:p>
            <w:pPr>
              <w:spacing w:before="0" w:after="0"/>
            </w:pPr>
            <w:r>
              <w:rPr>
                <w:rFonts w:ascii="Arial" w:hAnsi="Arial"/>
                <w:b/>
                <w:color w:val="0F172A"/>
                <w:sz w:val="17"/>
              </w:rPr>
              <w:t>Group 5</w:t>
            </w:r>
          </w:p>
        </w:tc>
        <w:tc>
          <w:tcPr>
            <w:tcW w:type="dxa" w:w="3312"/>
            <w:shd w:fill="F8FAFC"/>
            <w:tcMar>
              <w:top w:w="80" w:type="dxa"/>
              <w:bottom w:w="80" w:type="dxa"/>
              <w:left w:w="80" w:type="dxa"/>
              <w:right w:w="80" w:type="dxa"/>
            </w:tcMar>
          </w:tcPr>
          <w:p>
            <w:pPr>
              <w:spacing w:before="0" w:after="0"/>
            </w:pPr>
            <w:r>
              <w:rPr>
                <w:rFonts w:ascii="Arial" w:hAnsi="Arial"/>
                <w:color w:val="334155"/>
                <w:sz w:val="17"/>
              </w:rPr>
              <w:t>Anti-Photoshop Tamper Detection</w:t>
            </w:r>
          </w:p>
        </w:tc>
        <w:tc>
          <w:tcPr>
            <w:tcW w:type="dxa" w:w="2880"/>
            <w:shd w:fill="F8FAFC"/>
            <w:tcMar>
              <w:top w:w="80" w:type="dxa"/>
              <w:bottom w:w="80" w:type="dxa"/>
              <w:left w:w="80" w:type="dxa"/>
              <w:right w:w="80" w:type="dxa"/>
            </w:tcMar>
          </w:tcPr>
          <w:p>
            <w:pPr>
              <w:spacing w:before="0" w:after="0"/>
            </w:pPr>
            <w:r>
              <w:rPr>
                <w:rFonts w:ascii="Arial" w:hAnsi="Arial"/>
                <w:color w:val="334155"/>
                <w:sz w:val="17"/>
              </w:rPr>
              <w:t>Status: FLAGGED_TAMPERED; High DCT Disparity in Spliced Zone; 4 Vectors</w:t>
            </w:r>
          </w:p>
        </w:tc>
        <w:tc>
          <w:tcPr>
            <w:tcW w:type="dxa" w:w="1440"/>
            <w:shd w:fill="F8FAFC"/>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FFFFF"/>
            <w:tcMar>
              <w:top w:w="80" w:type="dxa"/>
              <w:bottom w:w="80" w:type="dxa"/>
              <w:left w:w="80" w:type="dxa"/>
              <w:right w:w="80" w:type="dxa"/>
            </w:tcMar>
          </w:tcPr>
          <w:p>
            <w:pPr>
              <w:spacing w:before="0" w:after="0"/>
            </w:pPr>
            <w:r>
              <w:rPr>
                <w:rFonts w:ascii="Arial" w:hAnsi="Arial"/>
                <w:b/>
                <w:color w:val="0F172A"/>
                <w:sz w:val="17"/>
              </w:rPr>
              <w:t>Group 6</w:t>
            </w:r>
          </w:p>
        </w:tc>
        <w:tc>
          <w:tcPr>
            <w:tcW w:type="dxa" w:w="3312"/>
            <w:shd w:fill="FFFFFF"/>
            <w:tcMar>
              <w:top w:w="80" w:type="dxa"/>
              <w:bottom w:w="80" w:type="dxa"/>
              <w:left w:w="80" w:type="dxa"/>
              <w:right w:w="80" w:type="dxa"/>
            </w:tcMar>
          </w:tcPr>
          <w:p>
            <w:pPr>
              <w:spacing w:before="0" w:after="0"/>
            </w:pPr>
            <w:r>
              <w:rPr>
                <w:rFonts w:ascii="Arial" w:hAnsi="Arial"/>
                <w:color w:val="334155"/>
                <w:sz w:val="17"/>
              </w:rPr>
              <w:t>Retail Grocery Invoice Rejection</w:t>
            </w:r>
          </w:p>
        </w:tc>
        <w:tc>
          <w:tcPr>
            <w:tcW w:type="dxa" w:w="2880"/>
            <w:shd w:fill="FFFFFF"/>
            <w:tcMar>
              <w:top w:w="80" w:type="dxa"/>
              <w:bottom w:w="80" w:type="dxa"/>
              <w:left w:w="80" w:type="dxa"/>
              <w:right w:w="80" w:type="dxa"/>
            </w:tcMar>
          </w:tcPr>
          <w:p>
            <w:pPr>
              <w:spacing w:before="0" w:after="0"/>
            </w:pPr>
            <w:r>
              <w:rPr>
                <w:rFonts w:ascii="Arial" w:hAnsi="Arial"/>
                <w:color w:val="334155"/>
                <w:sz w:val="17"/>
              </w:rPr>
              <w:t>Status: FLAGGED_IRRELEVANT; Quarantined in Sentinel Chamber</w:t>
            </w:r>
          </w:p>
        </w:tc>
        <w:tc>
          <w:tcPr>
            <w:tcW w:type="dxa" w:w="1440"/>
            <w:shd w:fill="FFFFFF"/>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8FAFC"/>
            <w:tcMar>
              <w:top w:w="80" w:type="dxa"/>
              <w:bottom w:w="80" w:type="dxa"/>
              <w:left w:w="80" w:type="dxa"/>
              <w:right w:w="80" w:type="dxa"/>
            </w:tcMar>
          </w:tcPr>
          <w:p>
            <w:pPr>
              <w:spacing w:before="0" w:after="0"/>
            </w:pPr>
            <w:r>
              <w:rPr>
                <w:rFonts w:ascii="Arial" w:hAnsi="Arial"/>
                <w:b/>
                <w:color w:val="0F172A"/>
                <w:sz w:val="17"/>
              </w:rPr>
              <w:t>Group 7</w:t>
            </w:r>
          </w:p>
        </w:tc>
        <w:tc>
          <w:tcPr>
            <w:tcW w:type="dxa" w:w="3312"/>
            <w:shd w:fill="F8FAFC"/>
            <w:tcMar>
              <w:top w:w="80" w:type="dxa"/>
              <w:bottom w:w="80" w:type="dxa"/>
              <w:left w:w="80" w:type="dxa"/>
              <w:right w:w="80" w:type="dxa"/>
            </w:tcMar>
          </w:tcPr>
          <w:p>
            <w:pPr>
              <w:spacing w:before="0" w:after="0"/>
            </w:pPr>
            <w:r>
              <w:rPr>
                <w:rFonts w:ascii="Arial" w:hAnsi="Arial"/>
                <w:color w:val="334155"/>
                <w:sz w:val="17"/>
              </w:rPr>
              <w:t>Municipal Utility Bill Rejection</w:t>
            </w:r>
          </w:p>
        </w:tc>
        <w:tc>
          <w:tcPr>
            <w:tcW w:type="dxa" w:w="2880"/>
            <w:shd w:fill="F8FAFC"/>
            <w:tcMar>
              <w:top w:w="80" w:type="dxa"/>
              <w:bottom w:w="80" w:type="dxa"/>
              <w:left w:w="80" w:type="dxa"/>
              <w:right w:w="80" w:type="dxa"/>
            </w:tcMar>
          </w:tcPr>
          <w:p>
            <w:pPr>
              <w:spacing w:before="0" w:after="0"/>
            </w:pPr>
            <w:r>
              <w:rPr>
                <w:rFonts w:ascii="Arial" w:hAnsi="Arial"/>
                <w:color w:val="334155"/>
                <w:sz w:val="17"/>
              </w:rPr>
              <w:t>Status: FLAGGED_IRRELEVANT; Category: Municipal Electricity Bill</w:t>
            </w:r>
          </w:p>
        </w:tc>
        <w:tc>
          <w:tcPr>
            <w:tcW w:type="dxa" w:w="1440"/>
            <w:shd w:fill="F8FAFC"/>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FFFFF"/>
            <w:tcMar>
              <w:top w:w="80" w:type="dxa"/>
              <w:bottom w:w="80" w:type="dxa"/>
              <w:left w:w="80" w:type="dxa"/>
              <w:right w:w="80" w:type="dxa"/>
            </w:tcMar>
          </w:tcPr>
          <w:p>
            <w:pPr>
              <w:spacing w:before="0" w:after="0"/>
            </w:pPr>
            <w:r>
              <w:rPr>
                <w:rFonts w:ascii="Arial" w:hAnsi="Arial"/>
                <w:b/>
                <w:color w:val="0F172A"/>
                <w:sz w:val="17"/>
              </w:rPr>
              <w:t>Group 8</w:t>
            </w:r>
          </w:p>
        </w:tc>
        <w:tc>
          <w:tcPr>
            <w:tcW w:type="dxa" w:w="3312"/>
            <w:shd w:fill="FFFFFF"/>
            <w:tcMar>
              <w:top w:w="80" w:type="dxa"/>
              <w:bottom w:w="80" w:type="dxa"/>
              <w:left w:w="80" w:type="dxa"/>
              <w:right w:w="80" w:type="dxa"/>
            </w:tcMar>
          </w:tcPr>
          <w:p>
            <w:pPr>
              <w:spacing w:before="0" w:after="0"/>
            </w:pPr>
            <w:r>
              <w:rPr>
                <w:rFonts w:ascii="Arial" w:hAnsi="Arial"/>
                <w:color w:val="334155"/>
                <w:sz w:val="17"/>
              </w:rPr>
              <w:t>Healthcare Prescription Rejection</w:t>
            </w:r>
          </w:p>
        </w:tc>
        <w:tc>
          <w:tcPr>
            <w:tcW w:type="dxa" w:w="2880"/>
            <w:shd w:fill="FFFFFF"/>
            <w:tcMar>
              <w:top w:w="80" w:type="dxa"/>
              <w:bottom w:w="80" w:type="dxa"/>
              <w:left w:w="80" w:type="dxa"/>
              <w:right w:w="80" w:type="dxa"/>
            </w:tcMar>
          </w:tcPr>
          <w:p>
            <w:pPr>
              <w:spacing w:before="0" w:after="0"/>
            </w:pPr>
            <w:r>
              <w:rPr>
                <w:rFonts w:ascii="Arial" w:hAnsi="Arial"/>
                <w:color w:val="334155"/>
                <w:sz w:val="17"/>
              </w:rPr>
              <w:t>Status: FLAGGED_IRRELEVANT; Category: Healthcare Medical Bill</w:t>
            </w:r>
          </w:p>
        </w:tc>
        <w:tc>
          <w:tcPr>
            <w:tcW w:type="dxa" w:w="1440"/>
            <w:shd w:fill="FFFFFF"/>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8FAFC"/>
            <w:tcMar>
              <w:top w:w="80" w:type="dxa"/>
              <w:bottom w:w="80" w:type="dxa"/>
              <w:left w:w="80" w:type="dxa"/>
              <w:right w:w="80" w:type="dxa"/>
            </w:tcMar>
          </w:tcPr>
          <w:p>
            <w:pPr>
              <w:spacing w:before="0" w:after="0"/>
            </w:pPr>
            <w:r>
              <w:rPr>
                <w:rFonts w:ascii="Arial" w:hAnsi="Arial"/>
                <w:b/>
                <w:color w:val="0F172A"/>
                <w:sz w:val="17"/>
              </w:rPr>
              <w:t>Group 9</w:t>
            </w:r>
          </w:p>
        </w:tc>
        <w:tc>
          <w:tcPr>
            <w:tcW w:type="dxa" w:w="3312"/>
            <w:shd w:fill="F8FAFC"/>
            <w:tcMar>
              <w:top w:w="80" w:type="dxa"/>
              <w:bottom w:w="80" w:type="dxa"/>
              <w:left w:w="80" w:type="dxa"/>
              <w:right w:w="80" w:type="dxa"/>
            </w:tcMar>
          </w:tcPr>
          <w:p>
            <w:pPr>
              <w:spacing w:before="0" w:after="0"/>
            </w:pPr>
            <w:r>
              <w:rPr>
                <w:rFonts w:ascii="Arial" w:hAnsi="Arial"/>
                <w:color w:val="334155"/>
                <w:sz w:val="17"/>
              </w:rPr>
              <w:t>Concurrent Multi-Seat Collision</w:t>
            </w:r>
          </w:p>
        </w:tc>
        <w:tc>
          <w:tcPr>
            <w:tcW w:type="dxa" w:w="2880"/>
            <w:shd w:fill="F8FAFC"/>
            <w:tcMar>
              <w:top w:w="80" w:type="dxa"/>
              <w:bottom w:w="80" w:type="dxa"/>
              <w:left w:w="80" w:type="dxa"/>
              <w:right w:w="80" w:type="dxa"/>
            </w:tcMar>
          </w:tcPr>
          <w:p>
            <w:pPr>
              <w:spacing w:before="0" w:after="0"/>
            </w:pPr>
            <w:r>
              <w:rPr>
                <w:rFonts w:ascii="Arial" w:hAnsi="Arial"/>
                <w:color w:val="334155"/>
                <w:sz w:val="17"/>
              </w:rPr>
              <w:t>Neo4j Graph Relationship Collision Verified; Risk: CRITICAL_COLLISION</w:t>
            </w:r>
          </w:p>
        </w:tc>
        <w:tc>
          <w:tcPr>
            <w:tcW w:type="dxa" w:w="1440"/>
            <w:shd w:fill="F8FAFC"/>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FFFFF"/>
            <w:tcMar>
              <w:top w:w="80" w:type="dxa"/>
              <w:bottom w:w="80" w:type="dxa"/>
              <w:left w:w="80" w:type="dxa"/>
              <w:right w:w="80" w:type="dxa"/>
            </w:tcMar>
          </w:tcPr>
          <w:p>
            <w:pPr>
              <w:spacing w:before="0" w:after="0"/>
            </w:pPr>
            <w:r>
              <w:rPr>
                <w:rFonts w:ascii="Arial" w:hAnsi="Arial"/>
                <w:b/>
                <w:color w:val="0F172A"/>
                <w:sz w:val="17"/>
              </w:rPr>
              <w:t>Group 10</w:t>
            </w:r>
          </w:p>
        </w:tc>
        <w:tc>
          <w:tcPr>
            <w:tcW w:type="dxa" w:w="3312"/>
            <w:shd w:fill="FFFFFF"/>
            <w:tcMar>
              <w:top w:w="80" w:type="dxa"/>
              <w:bottom w:w="80" w:type="dxa"/>
              <w:left w:w="80" w:type="dxa"/>
              <w:right w:w="80" w:type="dxa"/>
            </w:tcMar>
          </w:tcPr>
          <w:p>
            <w:pPr>
              <w:spacing w:before="0" w:after="0"/>
            </w:pPr>
            <w:r>
              <w:rPr>
                <w:rFonts w:ascii="Arial" w:hAnsi="Arial"/>
                <w:color w:val="334155"/>
                <w:sz w:val="17"/>
              </w:rPr>
              <w:t>Sandboxed Diff &amp; Registry Commit</w:t>
            </w:r>
          </w:p>
        </w:tc>
        <w:tc>
          <w:tcPr>
            <w:tcW w:type="dxa" w:w="2880"/>
            <w:shd w:fill="FFFFFF"/>
            <w:tcMar>
              <w:top w:w="80" w:type="dxa"/>
              <w:bottom w:w="80" w:type="dxa"/>
              <w:left w:w="80" w:type="dxa"/>
              <w:right w:w="80" w:type="dxa"/>
            </w:tcMar>
          </w:tcPr>
          <w:p>
            <w:pPr>
              <w:spacing w:before="0" w:after="0"/>
            </w:pPr>
            <w:r>
              <w:rPr>
                <w:rFonts w:ascii="Arial" w:hAnsi="Arial"/>
                <w:color w:val="334155"/>
                <w:sz w:val="17"/>
              </w:rPr>
              <w:t>Record Inserted into Authoritative Ledger; Unique ID: 95 Committed</w:t>
            </w:r>
          </w:p>
        </w:tc>
        <w:tc>
          <w:tcPr>
            <w:tcW w:type="dxa" w:w="1440"/>
            <w:shd w:fill="FFFFFF"/>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8FAFC"/>
            <w:tcMar>
              <w:top w:w="80" w:type="dxa"/>
              <w:bottom w:w="80" w:type="dxa"/>
              <w:left w:w="80" w:type="dxa"/>
              <w:right w:w="80" w:type="dxa"/>
            </w:tcMar>
          </w:tcPr>
          <w:p>
            <w:pPr>
              <w:spacing w:before="0" w:after="0"/>
            </w:pPr>
            <w:r>
              <w:rPr>
                <w:rFonts w:ascii="Arial" w:hAnsi="Arial"/>
                <w:b/>
                <w:color w:val="0F172A"/>
                <w:sz w:val="17"/>
              </w:rPr>
              <w:t>Group 11</w:t>
            </w:r>
          </w:p>
        </w:tc>
        <w:tc>
          <w:tcPr>
            <w:tcW w:type="dxa" w:w="3312"/>
            <w:shd w:fill="F8FAFC"/>
            <w:tcMar>
              <w:top w:w="80" w:type="dxa"/>
              <w:bottom w:w="80" w:type="dxa"/>
              <w:left w:w="80" w:type="dxa"/>
              <w:right w:w="80" w:type="dxa"/>
            </w:tcMar>
          </w:tcPr>
          <w:p>
            <w:pPr>
              <w:spacing w:before="0" w:after="0"/>
            </w:pPr>
            <w:r>
              <w:rPr>
                <w:rFonts w:ascii="Arial" w:hAnsi="Arial"/>
                <w:color w:val="334155"/>
                <w:sz w:val="17"/>
              </w:rPr>
              <w:t>Registrar Scoping &amp; IDOR Security</w:t>
            </w:r>
          </w:p>
        </w:tc>
        <w:tc>
          <w:tcPr>
            <w:tcW w:type="dxa" w:w="2880"/>
            <w:shd w:fill="F8FAFC"/>
            <w:tcMar>
              <w:top w:w="80" w:type="dxa"/>
              <w:bottom w:w="80" w:type="dxa"/>
              <w:left w:w="80" w:type="dxa"/>
              <w:right w:w="80" w:type="dxa"/>
            </w:tcMar>
          </w:tcPr>
          <w:p>
            <w:pPr>
              <w:spacing w:before="0" w:after="0"/>
            </w:pPr>
            <w:r>
              <w:rPr>
                <w:rFonts w:ascii="Arial" w:hAnsi="Arial"/>
                <w:color w:val="334155"/>
                <w:sz w:val="17"/>
              </w:rPr>
              <w:t>Scoped Records Retrieved for Delhi Institute: 39 Records (Tenant Isolated)</w:t>
            </w:r>
          </w:p>
        </w:tc>
        <w:tc>
          <w:tcPr>
            <w:tcW w:type="dxa" w:w="1440"/>
            <w:shd w:fill="F8FAFC"/>
            <w:tcMar>
              <w:top w:w="80" w:type="dxa"/>
              <w:bottom w:w="80" w:type="dxa"/>
              <w:left w:w="80" w:type="dxa"/>
              <w:right w:w="80" w:type="dxa"/>
            </w:tcMar>
          </w:tcPr>
          <w:p>
            <w:pPr>
              <w:spacing w:before="0" w:after="0"/>
            </w:pPr>
            <w:r>
              <w:rPr>
                <w:rFonts w:ascii="Arial" w:hAnsi="Arial"/>
                <w:b/>
                <w:color w:val="166534"/>
                <w:sz w:val="17"/>
              </w:rPr>
              <w:t>PASSED</w:t>
            </w:r>
          </w:p>
        </w:tc>
      </w:tr>
      <w:tr>
        <w:tc>
          <w:tcPr>
            <w:tcW w:type="dxa" w:w="1728"/>
            <w:shd w:fill="FFFFFF"/>
            <w:tcMar>
              <w:top w:w="80" w:type="dxa"/>
              <w:bottom w:w="80" w:type="dxa"/>
              <w:left w:w="80" w:type="dxa"/>
              <w:right w:w="80" w:type="dxa"/>
            </w:tcMar>
          </w:tcPr>
          <w:p>
            <w:pPr>
              <w:spacing w:before="0" w:after="0"/>
            </w:pPr>
            <w:r>
              <w:rPr>
                <w:rFonts w:ascii="Arial" w:hAnsi="Arial"/>
                <w:b/>
                <w:color w:val="0F172A"/>
                <w:sz w:val="17"/>
              </w:rPr>
              <w:t>Group 12</w:t>
            </w:r>
          </w:p>
        </w:tc>
        <w:tc>
          <w:tcPr>
            <w:tcW w:type="dxa" w:w="3312"/>
            <w:shd w:fill="FFFFFF"/>
            <w:tcMar>
              <w:top w:w="80" w:type="dxa"/>
              <w:bottom w:w="80" w:type="dxa"/>
              <w:left w:w="80" w:type="dxa"/>
              <w:right w:w="80" w:type="dxa"/>
            </w:tcMar>
          </w:tcPr>
          <w:p>
            <w:pPr>
              <w:spacing w:before="0" w:after="0"/>
            </w:pPr>
            <w:r>
              <w:rPr>
                <w:rFonts w:ascii="Arial" w:hAnsi="Arial"/>
                <w:color w:val="334155"/>
                <w:sz w:val="17"/>
              </w:rPr>
              <w:t>Decentralized Credential Validation</w:t>
            </w:r>
          </w:p>
        </w:tc>
        <w:tc>
          <w:tcPr>
            <w:tcW w:type="dxa" w:w="2880"/>
            <w:shd w:fill="FFFFFF"/>
            <w:tcMar>
              <w:top w:w="80" w:type="dxa"/>
              <w:bottom w:w="80" w:type="dxa"/>
              <w:left w:w="80" w:type="dxa"/>
              <w:right w:w="80" w:type="dxa"/>
            </w:tcMar>
          </w:tcPr>
          <w:p>
            <w:pPr>
              <w:spacing w:before="0" w:after="0"/>
            </w:pPr>
            <w:r>
              <w:rPr>
                <w:rFonts w:ascii="Arial" w:hAnsi="Arial"/>
                <w:color w:val="334155"/>
                <w:sz w:val="17"/>
              </w:rPr>
              <w:t>Ed25519 Cryptographic Signature Validated; Adversarial Tamper Rejected</w:t>
            </w:r>
          </w:p>
        </w:tc>
        <w:tc>
          <w:tcPr>
            <w:tcW w:type="dxa" w:w="1440"/>
            <w:shd w:fill="FFFFFF"/>
            <w:tcMar>
              <w:top w:w="80" w:type="dxa"/>
              <w:bottom w:w="80" w:type="dxa"/>
              <w:left w:w="80" w:type="dxa"/>
              <w:right w:w="80" w:type="dxa"/>
            </w:tcMar>
          </w:tcPr>
          <w:p>
            <w:pPr>
              <w:spacing w:before="0" w:after="0"/>
            </w:pPr>
            <w:r>
              <w:rPr>
                <w:rFonts w:ascii="Arial" w:hAnsi="Arial"/>
                <w:b/>
                <w:color w:val="166534"/>
                <w:sz w:val="17"/>
              </w:rPr>
              <w:t>PASSED</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16A34A"/>
              <w:top w:val="none"/>
              <w:right w:val="none"/>
              <w:bottom w:val="none"/>
            </w:tcBorders>
          </w:tcPr>
          <w:p>
            <w:pPr>
              <w:spacing w:before="0" w:after="60"/>
            </w:pPr>
            <w:r>
              <w:rPr>
                <w:rFonts w:ascii="Arial" w:hAnsi="Arial"/>
                <w:b/>
                <w:color w:val="1E3A8A"/>
                <w:sz w:val="20"/>
              </w:rPr>
              <w:t>NOTE: Total Test Results</w:t>
              <w:br/>
            </w:r>
            <w:r>
              <w:rPr>
                <w:rFonts w:ascii="Arial" w:hAnsi="Arial"/>
                <w:color w:val="334155"/>
                <w:sz w:val="19"/>
              </w:rPr>
              <w:t>Total Integration Tests Executed: 39 | Passed: 39 | Failed: 0 | Pipeline Reliability: 100%. Production Frontend Bundle: vite v8.3.5 compiled cleanly in 908ms.</w:t>
            </w:r>
          </w:p>
        </w:tc>
      </w:tr>
    </w:tbl>
    <w:p>
      <w:pPr>
        <w:spacing w:after="80"/>
      </w:pPr>
    </w:p>
    <w:p>
      <w:pPr>
        <w:spacing w:before="280" w:after="80"/>
      </w:pPr>
      <w:r>
        <w:rPr>
          <w:rFonts w:ascii="Arial" w:hAnsi="Arial"/>
          <w:b/>
          <w:color w:val="1E3A8A"/>
          <w:sz w:val="28"/>
        </w:rPr>
        <w:t>7. Production Architecture &amp; Toggle Option Status Confirmation</w:t>
      </w:r>
    </w:p>
    <w:p>
      <w:pPr>
        <w:spacing w:after="120" w:line="276" w:lineRule="auto"/>
      </w:pPr>
      <w:r>
        <w:rPr>
          <w:rFonts w:ascii="Arial" w:hAnsi="Arial"/>
          <w:color w:val="334155"/>
          <w:sz w:val="19"/>
        </w:rPr>
        <w:t>As mandated for rigorous hackathon evaluation and production deployment, the operational status of interface controls has been verified:</w:t>
        <w:br/>
        <w:br/>
        <w:t>1. Zero Simulation / Mock Toggle: In the deployed production build of Drishyam Mesh, there is NO simulated mode, dummy mode, or mock data toggle. Every metric, chart, graph node, and student record is dynamically queried from the live Spring Boot REST API and MySQL/Neo4j database.</w:t>
        <w:br/>
        <w:br/>
        <w:t>2. Zero Theme Toggle: The user interface is permanently and immutably set to the high-contrast White / Light Theme (`#FFFFFF` surfaces, `#0F172A` headings, and `#334155` body text). No dark mode toggle button or theme-switching control is present in the deployed topbar or settings navigation.</w:t>
        <w:br/>
        <w:br/>
        <w:t>3. Zero Obtrusive Debug Switches: All verification, document analysis, and graph queries operate strictly through genuine algorithmic gateways, providing a clean, distraction-free environment for regulatory officers and evaluation juries.</w:t>
      </w:r>
    </w:p>
    <w:p>
      <w:pPr>
        <w:spacing w:before="280" w:after="80"/>
      </w:pPr>
      <w:r>
        <w:rPr>
          <w:rFonts w:ascii="Arial" w:hAnsi="Arial"/>
          <w:b/>
          <w:color w:val="1E3A8A"/>
          <w:sz w:val="28"/>
        </w:rPr>
        <w:t>8. Conclusion &amp; Statutory Alignment</w:t>
      </w:r>
    </w:p>
    <w:p>
      <w:pPr>
        <w:spacing w:after="240" w:line="276" w:lineRule="auto"/>
      </w:pPr>
      <w:r>
        <w:rPr>
          <w:rFonts w:ascii="Arial" w:hAnsi="Arial"/>
          <w:color w:val="1E293B"/>
          <w:sz w:val="20"/>
        </w:rPr>
        <w:t>Drishyam Mesh demonstrates that zero-trust cryptography, multi-dimensional graph topology, and autonomous workflow automation can seamlessly modernize the national technical education data governance paradigm. By resolving the chronic challenges of cross-state duplicate enrollments, forged allotment credentials, and unverified supernumerary intake quotas, the platform equips AICTE with an unforgeable, privacy-preserving, and future-ready academic mesh.</w:t>
        <w:br/>
        <w:br/>
        <w:t>Developed by Team Algorythm from Sri Krishna College of Engineering and Technology, Drishyam Mesh stands fully tested, production-packaged, and ready for immediate deployment.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Team Algorythm | Sri Krishna College of Engineering and Technology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DRISHYAM MESH | PROOF OF CONCEPT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