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Arial" w:hAnsi="Arial"/>
          <w:b/>
          <w:color w:val="0F172A"/>
          <w:sz w:val="48"/>
        </w:rPr>
        <w:t>PROJECT SENTINEL-LEDGER</w:t>
      </w:r>
    </w:p>
    <w:p>
      <w:pPr>
        <w:spacing w:before="0" w:after="280"/>
      </w:pPr>
      <w:r>
        <w:rPr>
          <w:rFonts w:ascii="Arial" w:hAnsi="Arial"/>
          <w:i/>
          <w:color w:val="1E3A8A"/>
          <w:sz w:val="26"/>
        </w:rPr>
        <w:t>Drishyam Mesh: A Privacy-Preserving, Zero-Trust Academic Admission Intelligence, Compliance and Credential Verification Platform</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3168"/>
            <w:shd w:fill="1E3A8A"/>
            <w:tcMar>
              <w:top w:w="90" w:type="dxa"/>
              <w:bottom w:w="90" w:type="dxa"/>
              <w:left w:w="120" w:type="dxa"/>
              <w:right w:w="120" w:type="dxa"/>
            </w:tcMar>
          </w:tcPr>
          <w:p>
            <w:pPr>
              <w:jc w:val="left"/>
            </w:pPr>
            <w:r>
              <w:rPr>
                <w:rFonts w:ascii="Arial" w:hAnsi="Arial"/>
                <w:b/>
                <w:color w:val="FFFFFF"/>
                <w:sz w:val="17"/>
              </w:rPr>
              <w:t>Attribute</w:t>
            </w:r>
          </w:p>
        </w:tc>
        <w:tc>
          <w:tcPr>
            <w:tcW w:type="dxa" w:w="6192"/>
            <w:shd w:fill="1E3A8A"/>
            <w:tcMar>
              <w:top w:w="90" w:type="dxa"/>
              <w:bottom w:w="90" w:type="dxa"/>
              <w:left w:w="120" w:type="dxa"/>
              <w:right w:w="120" w:type="dxa"/>
            </w:tcMar>
          </w:tcPr>
          <w:p>
            <w:pPr>
              <w:jc w:val="left"/>
            </w:pPr>
            <w:r>
              <w:rPr>
                <w:rFonts w:ascii="Arial" w:hAnsi="Arial"/>
                <w:b/>
                <w:color w:val="FFFFFF"/>
                <w:sz w:val="17"/>
              </w:rPr>
              <w:t>Specification Details</w:t>
            </w:r>
          </w:p>
        </w:tc>
      </w:tr>
      <w:tr>
        <w:tc>
          <w:tcPr>
            <w:tcW w:type="dxa" w:w="3168"/>
            <w:shd w:fill="FFFFFF"/>
            <w:tcMar>
              <w:top w:w="70" w:type="dxa"/>
              <w:bottom w:w="70" w:type="dxa"/>
              <w:left w:w="120" w:type="dxa"/>
              <w:right w:w="120" w:type="dxa"/>
            </w:tcMar>
          </w:tcPr>
          <w:p>
            <w:r>
              <w:rPr>
                <w:rFonts w:ascii="Arial" w:hAnsi="Arial"/>
                <w:color w:val="1E293B"/>
                <w:sz w:val="16"/>
              </w:rPr>
              <w:t>Problem Statement Domain</w:t>
            </w:r>
          </w:p>
        </w:tc>
        <w:tc>
          <w:tcPr>
            <w:tcW w:type="dxa" w:w="6192"/>
            <w:shd w:fill="FFFFFF"/>
            <w:tcMar>
              <w:top w:w="70" w:type="dxa"/>
              <w:bottom w:w="70" w:type="dxa"/>
              <w:left w:w="120" w:type="dxa"/>
              <w:right w:w="120" w:type="dxa"/>
            </w:tcMar>
          </w:tcPr>
          <w:p>
            <w:r>
              <w:rPr>
                <w:rFonts w:ascii="Arial" w:hAnsi="Arial"/>
                <w:color w:val="1E293B"/>
                <w:sz w:val="16"/>
              </w:rPr>
              <w:t>AICTE Student Data Management and Verification System with APAAR Integration</w:t>
            </w:r>
          </w:p>
        </w:tc>
      </w:tr>
      <w:tr>
        <w:tc>
          <w:tcPr>
            <w:tcW w:type="dxa" w:w="3168"/>
            <w:shd w:fill="F8FAFC"/>
            <w:tcMar>
              <w:top w:w="70" w:type="dxa"/>
              <w:bottom w:w="70" w:type="dxa"/>
              <w:left w:w="120" w:type="dxa"/>
              <w:right w:w="120" w:type="dxa"/>
            </w:tcMar>
          </w:tcPr>
          <w:p>
            <w:r>
              <w:rPr>
                <w:rFonts w:ascii="Arial" w:hAnsi="Arial"/>
                <w:color w:val="1E293B"/>
                <w:sz w:val="16"/>
              </w:rPr>
              <w:t>Institutional Regulatory Scope</w:t>
            </w:r>
          </w:p>
        </w:tc>
        <w:tc>
          <w:tcPr>
            <w:tcW w:type="dxa" w:w="6192"/>
            <w:shd w:fill="F8FAFC"/>
            <w:tcMar>
              <w:top w:w="70" w:type="dxa"/>
              <w:bottom w:w="70" w:type="dxa"/>
              <w:left w:w="120" w:type="dxa"/>
              <w:right w:w="120" w:type="dxa"/>
            </w:tcMar>
          </w:tcPr>
          <w:p>
            <w:r>
              <w:rPr>
                <w:rFonts w:ascii="Arial" w:hAnsi="Arial"/>
                <w:color w:val="1E293B"/>
                <w:sz w:val="16"/>
              </w:rPr>
              <w:t>10,000+ AICTE-Approved Engineering, Technology, Management &amp; Technical Institutions</w:t>
            </w:r>
          </w:p>
        </w:tc>
      </w:tr>
      <w:tr>
        <w:tc>
          <w:tcPr>
            <w:tcW w:type="dxa" w:w="3168"/>
            <w:shd w:fill="FFFFFF"/>
            <w:tcMar>
              <w:top w:w="70" w:type="dxa"/>
              <w:bottom w:w="70" w:type="dxa"/>
              <w:left w:w="120" w:type="dxa"/>
              <w:right w:w="120" w:type="dxa"/>
            </w:tcMar>
          </w:tcPr>
          <w:p>
            <w:r>
              <w:rPr>
                <w:rFonts w:ascii="Arial" w:hAnsi="Arial"/>
                <w:color w:val="1E293B"/>
                <w:sz w:val="16"/>
              </w:rPr>
              <w:t>Team Name &amp; Organization</w:t>
            </w:r>
          </w:p>
        </w:tc>
        <w:tc>
          <w:tcPr>
            <w:tcW w:type="dxa" w:w="6192"/>
            <w:shd w:fill="FFFFFF"/>
            <w:tcMar>
              <w:top w:w="70" w:type="dxa"/>
              <w:bottom w:w="70" w:type="dxa"/>
              <w:left w:w="120" w:type="dxa"/>
              <w:right w:w="120" w:type="dxa"/>
            </w:tcMar>
          </w:tcPr>
          <w:p>
            <w:r>
              <w:rPr>
                <w:rFonts w:ascii="Arial" w:hAnsi="Arial"/>
                <w:color w:val="1E293B"/>
                <w:sz w:val="16"/>
              </w:rPr>
              <w:t>Team Algorythm • Sri Krishna College of Engineering and Technology</w:t>
            </w:r>
          </w:p>
        </w:tc>
      </w:tr>
      <w:tr>
        <w:tc>
          <w:tcPr>
            <w:tcW w:type="dxa" w:w="3168"/>
            <w:shd w:fill="F8FAFC"/>
            <w:tcMar>
              <w:top w:w="70" w:type="dxa"/>
              <w:bottom w:w="70" w:type="dxa"/>
              <w:left w:w="120" w:type="dxa"/>
              <w:right w:w="120" w:type="dxa"/>
            </w:tcMar>
          </w:tcPr>
          <w:p>
            <w:r>
              <w:rPr>
                <w:rFonts w:ascii="Arial" w:hAnsi="Arial"/>
                <w:color w:val="1E293B"/>
                <w:sz w:val="16"/>
              </w:rPr>
              <w:t>Core Authors &amp; Contributors</w:t>
            </w:r>
          </w:p>
        </w:tc>
        <w:tc>
          <w:tcPr>
            <w:tcW w:type="dxa" w:w="6192"/>
            <w:shd w:fill="F8FAFC"/>
            <w:tcMar>
              <w:top w:w="70" w:type="dxa"/>
              <w:bottom w:w="70" w:type="dxa"/>
              <w:left w:w="120" w:type="dxa"/>
              <w:right w:w="120" w:type="dxa"/>
            </w:tcMar>
          </w:tcPr>
          <w:p>
            <w:r>
              <w:rPr>
                <w:rFonts w:ascii="Arial" w:hAnsi="Arial"/>
                <w:color w:val="1E293B"/>
                <w:sz w:val="16"/>
              </w:rPr>
              <w:t>Sanjeev Kumar S, Sachin J, Sanjay S, Puveesh Keshav M, Priyadharshini G S, Puja K V</w:t>
            </w:r>
          </w:p>
        </w:tc>
      </w:tr>
      <w:tr>
        <w:tc>
          <w:tcPr>
            <w:tcW w:type="dxa" w:w="3168"/>
            <w:shd w:fill="FFFFFF"/>
            <w:tcMar>
              <w:top w:w="70" w:type="dxa"/>
              <w:bottom w:w="70" w:type="dxa"/>
              <w:left w:w="120" w:type="dxa"/>
              <w:right w:w="120" w:type="dxa"/>
            </w:tcMar>
          </w:tcPr>
          <w:p>
            <w:r>
              <w:rPr>
                <w:rFonts w:ascii="Arial" w:hAnsi="Arial"/>
                <w:color w:val="1E293B"/>
                <w:sz w:val="16"/>
              </w:rPr>
              <w:t>Core Architectural Innovation</w:t>
            </w:r>
          </w:p>
        </w:tc>
        <w:tc>
          <w:tcPr>
            <w:tcW w:type="dxa" w:w="6192"/>
            <w:shd w:fill="FFFFFF"/>
            <w:tcMar>
              <w:top w:w="70" w:type="dxa"/>
              <w:bottom w:w="70" w:type="dxa"/>
              <w:left w:w="120" w:type="dxa"/>
              <w:right w:w="120" w:type="dxa"/>
            </w:tcMar>
          </w:tcPr>
          <w:p>
            <w:r>
              <w:rPr>
                <w:rFonts w:ascii="Arial" w:hAnsi="Arial"/>
                <w:color w:val="1E293B"/>
                <w:sz w:val="16"/>
              </w:rPr>
              <w:t>Private Set Intersection (PSI), Autonomous n8n Mesh, Neo4j Topology &amp; SHA-256 Chaining</w:t>
            </w:r>
          </w:p>
        </w:tc>
      </w:tr>
      <w:tr>
        <w:tc>
          <w:tcPr>
            <w:tcW w:type="dxa" w:w="3168"/>
            <w:shd w:fill="F8FAFC"/>
            <w:tcMar>
              <w:top w:w="70" w:type="dxa"/>
              <w:bottom w:w="70" w:type="dxa"/>
              <w:left w:w="120" w:type="dxa"/>
              <w:right w:w="120" w:type="dxa"/>
            </w:tcMar>
          </w:tcPr>
          <w:p>
            <w:r>
              <w:rPr>
                <w:rFonts w:ascii="Arial" w:hAnsi="Arial"/>
                <w:color w:val="1E293B"/>
                <w:sz w:val="16"/>
              </w:rPr>
              <w:t>Document Classification</w:t>
            </w:r>
          </w:p>
        </w:tc>
        <w:tc>
          <w:tcPr>
            <w:tcW w:type="dxa" w:w="6192"/>
            <w:shd w:fill="F8FAFC"/>
            <w:tcMar>
              <w:top w:w="70" w:type="dxa"/>
              <w:bottom w:w="70" w:type="dxa"/>
              <w:left w:w="120" w:type="dxa"/>
              <w:right w:w="120" w:type="dxa"/>
            </w:tcMar>
          </w:tcPr>
          <w:p>
            <w:r>
              <w:rPr>
                <w:rFonts w:ascii="Arial" w:hAnsi="Arial"/>
                <w:color w:val="1E293B"/>
                <w:sz w:val="16"/>
              </w:rPr>
              <w:t>Official Technical Proof of Concept (POC) &amp; Enterprise Architecture Whitepaper v4.2</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2563EB"/>
              <w:top w:val="none"/>
              <w:right w:val="none"/>
              <w:bottom w:val="none"/>
            </w:tcBorders>
          </w:tcPr>
          <w:p>
            <w:pPr>
              <w:spacing w:before="0" w:after="40"/>
            </w:pPr>
            <w:r>
              <w:rPr>
                <w:rFonts w:ascii="Arial" w:hAnsi="Arial"/>
                <w:b/>
                <w:color w:val="1E3A8A"/>
                <w:sz w:val="19"/>
              </w:rPr>
              <w:t>ENTERPRISE SPECIFICATION: REGULATORY COMPLIANCE MANDATE</w:t>
              <w:br/>
            </w:r>
            <w:r>
              <w:rPr>
                <w:rFonts w:ascii="Arial" w:hAnsi="Arial"/>
                <w:color w:val="334155"/>
                <w:sz w:val="18"/>
              </w:rPr>
              <w:t>This document establishes the enterprise architectural blueprint for transitioning AICTE from retrospective, institution-reported admission data to an event-driven, proactive governance model compliant with NEP 2020, NCrF, and the DPDP Act 2023.</w:t>
            </w:r>
          </w:p>
        </w:tc>
      </w:tr>
    </w:tbl>
    <w:p>
      <w:pPr>
        <w:spacing w:after="80"/>
      </w:pPr>
    </w:p>
    <w:p>
      <w:pPr>
        <w:keepNext/>
        <w:spacing w:before="280" w:after="120"/>
      </w:pPr>
      <w:r>
        <w:rPr>
          <w:rFonts w:ascii="Arial" w:hAnsi="Arial"/>
          <w:b/>
          <w:color w:val="0F172A"/>
          <w:sz w:val="30"/>
        </w:rPr>
        <w:t>1. Executive Summary &amp; Core Innovation</w:t>
      </w:r>
    </w:p>
    <w:p>
      <w:pPr>
        <w:spacing w:before="0" w:after="80" w:line="276" w:lineRule="auto"/>
      </w:pPr>
      <w:r>
        <w:rPr>
          <w:rFonts w:ascii="Arial" w:hAnsi="Arial"/>
          <w:color w:val="334155"/>
          <w:sz w:val="19"/>
        </w:rPr>
        <w:t>AICTE's institutional oversight requires reliable, timely student admission records, yet delayed reporting, disconnected college ERP systems, inconsistent student identities, and insufficient cross-institution verification can create systemic vulnerabilities: duplicate enrollment, unauthorized intake, phantom student records, and admission quota manipulation.</w:t>
      </w:r>
    </w:p>
    <w:p>
      <w:pPr>
        <w:spacing w:before="0" w:after="80" w:line="276" w:lineRule="auto"/>
      </w:pPr>
      <w:r>
        <w:rPr>
          <w:rFonts w:ascii="Arial" w:hAnsi="Arial"/>
          <w:color w:val="334155"/>
          <w:sz w:val="19"/>
        </w:rPr>
        <w:t>Project Sentinel-Ledger (Drishyam Mesh) transforms traditional post-admission reporting into a proactive, event-driven academic governance platform. It combines the autonomous workflow orchestration of n8n, privacy-preserving record matching, AI-assisted identity resolution, institutional anomaly detection, and a cryptographically verifiable academic audit ledger.</w:t>
      </w:r>
    </w:p>
    <w:p>
      <w:pPr>
        <w:spacing w:before="0" w:after="80" w:line="276" w:lineRule="auto"/>
      </w:pPr>
      <w:r>
        <w:rPr>
          <w:rFonts w:ascii="Arial" w:hAnsi="Arial"/>
          <w:color w:val="334155"/>
          <w:sz w:val="19"/>
        </w:rPr>
        <w:t>Instead of treating every incoming record as a trusted database entry, the system evaluates each admission event before accepting it into the authoritative registry. It checks identity evidence, compares active enrollment claims across participating institutions, evaluates approved intake and quota rules, and routes suspicious or incomplete records for resolution.</w:t>
      </w:r>
    </w:p>
    <w:p>
      <w:pPr>
        <w:spacing w:before="0" w:after="80" w:line="276" w:lineRule="auto"/>
      </w:pPr>
      <w:r>
        <w:rPr>
          <w:rFonts w:ascii="Arial" w:hAnsi="Arial"/>
          <w:color w:val="334155"/>
          <w:sz w:val="19"/>
        </w:rPr>
        <w:t>The platform follows a privacy-by-design, zero-trust architecture: institutions retain control of their source ERP data, while AICTE receives only the minimum information required for authorized verification, regulatory monitoring, and audit. Private Set Intersection (PSI) supports cross-institution duplicate detection without requiring the central matching service to receive raw identifiers. Where legally authorized and technically supported, APAAR-related verification is integrated through approved services.</w:t>
      </w:r>
    </w:p>
    <w:p>
      <w:pPr>
        <w:spacing w:before="0" w:after="80" w:line="276" w:lineRule="auto"/>
      </w:pPr>
      <w:r>
        <w:rPr>
          <w:rFonts w:ascii="Arial" w:hAnsi="Arial"/>
          <w:color w:val="334155"/>
          <w:sz w:val="19"/>
        </w:rPr>
        <w:t>The solution also introduces a self-healing integrity monitor that detects unauthorized registry changes, an explainable AI risk engine that identifies suspicious admission patterns, a student-consent-based selective credential verification gateway, and an offline credential verification mechanism. The result is a unified platform for trusted admissions, privacy-preserving identity resolution, explainable compliance intelligence, and independently verifiable academic records.</w:t>
      </w:r>
    </w:p>
    <w:p>
      <w:pPr>
        <w:keepNext/>
        <w:spacing w:before="200" w:after="80"/>
      </w:pPr>
      <w:r>
        <w:rPr>
          <w:rFonts w:ascii="Arial" w:hAnsi="Arial"/>
          <w:b/>
          <w:color w:val="1E3A8A"/>
          <w:sz w:val="24"/>
        </w:rPr>
        <w:t>1.1 Comparative Paradigm Shift: Legacy ERP vs. Drishyam Mesh</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1E3A8A"/>
            <w:tcMar>
              <w:top w:w="90" w:type="dxa"/>
              <w:bottom w:w="90" w:type="dxa"/>
              <w:left w:w="120" w:type="dxa"/>
              <w:right w:w="120" w:type="dxa"/>
            </w:tcMar>
          </w:tcPr>
          <w:p>
            <w:pPr>
              <w:jc w:val="left"/>
            </w:pPr>
            <w:r>
              <w:rPr>
                <w:rFonts w:ascii="Arial" w:hAnsi="Arial"/>
                <w:b/>
                <w:color w:val="FFFFFF"/>
                <w:sz w:val="17"/>
              </w:rPr>
              <w:t>Governance Dimension</w:t>
            </w:r>
          </w:p>
        </w:tc>
        <w:tc>
          <w:tcPr>
            <w:tcW w:type="dxa" w:w="3312"/>
            <w:shd w:fill="1E3A8A"/>
            <w:tcMar>
              <w:top w:w="90" w:type="dxa"/>
              <w:bottom w:w="90" w:type="dxa"/>
              <w:left w:w="120" w:type="dxa"/>
              <w:right w:w="120" w:type="dxa"/>
            </w:tcMar>
          </w:tcPr>
          <w:p>
            <w:pPr>
              <w:jc w:val="left"/>
            </w:pPr>
            <w:r>
              <w:rPr>
                <w:rFonts w:ascii="Arial" w:hAnsi="Arial"/>
                <w:b/>
                <w:color w:val="FFFFFF"/>
                <w:sz w:val="17"/>
              </w:rPr>
              <w:t>Legacy AICTE ERP &amp; Reporting</w:t>
            </w:r>
          </w:p>
        </w:tc>
        <w:tc>
          <w:tcPr>
            <w:tcW w:type="dxa" w:w="3456"/>
            <w:shd w:fill="1E3A8A"/>
            <w:tcMar>
              <w:top w:w="90" w:type="dxa"/>
              <w:bottom w:w="90" w:type="dxa"/>
              <w:left w:w="120" w:type="dxa"/>
              <w:right w:w="120" w:type="dxa"/>
            </w:tcMar>
          </w:tcPr>
          <w:p>
            <w:pPr>
              <w:jc w:val="left"/>
            </w:pPr>
            <w:r>
              <w:rPr>
                <w:rFonts w:ascii="Arial" w:hAnsi="Arial"/>
                <w:b/>
                <w:color w:val="FFFFFF"/>
                <w:sz w:val="17"/>
              </w:rPr>
              <w:t>Drishyam Mesh (Project Sentinel-Ledger)</w:t>
            </w:r>
          </w:p>
        </w:tc>
      </w:tr>
      <w:tr>
        <w:tc>
          <w:tcPr>
            <w:tcW w:type="dxa" w:w="2592"/>
            <w:shd w:fill="FFFFFF"/>
            <w:tcMar>
              <w:top w:w="70" w:type="dxa"/>
              <w:bottom w:w="70" w:type="dxa"/>
              <w:left w:w="120" w:type="dxa"/>
              <w:right w:w="120" w:type="dxa"/>
            </w:tcMar>
          </w:tcPr>
          <w:p>
            <w:r>
              <w:rPr>
                <w:rFonts w:ascii="Arial" w:hAnsi="Arial"/>
                <w:color w:val="1E293B"/>
                <w:sz w:val="16"/>
              </w:rPr>
              <w:t>Admission Ingestion Mode</w:t>
            </w:r>
          </w:p>
        </w:tc>
        <w:tc>
          <w:tcPr>
            <w:tcW w:type="dxa" w:w="3312"/>
            <w:shd w:fill="FFFFFF"/>
            <w:tcMar>
              <w:top w:w="70" w:type="dxa"/>
              <w:bottom w:w="70" w:type="dxa"/>
              <w:left w:w="120" w:type="dxa"/>
              <w:right w:w="120" w:type="dxa"/>
            </w:tcMar>
          </w:tcPr>
          <w:p>
            <w:r>
              <w:rPr>
                <w:rFonts w:ascii="Arial" w:hAnsi="Arial"/>
                <w:color w:val="1E293B"/>
                <w:sz w:val="16"/>
              </w:rPr>
              <w:t>Periodic, manual batch CSV upload weeks after cutoff</w:t>
            </w:r>
          </w:p>
        </w:tc>
        <w:tc>
          <w:tcPr>
            <w:tcW w:type="dxa" w:w="3456"/>
            <w:shd w:fill="FFFFFF"/>
            <w:tcMar>
              <w:top w:w="70" w:type="dxa"/>
              <w:bottom w:w="70" w:type="dxa"/>
              <w:left w:w="120" w:type="dxa"/>
              <w:right w:w="120" w:type="dxa"/>
            </w:tcMar>
          </w:tcPr>
          <w:p>
            <w:r>
              <w:rPr>
                <w:rFonts w:ascii="Arial" w:hAnsi="Arial"/>
                <w:color w:val="1E293B"/>
                <w:sz w:val="16"/>
              </w:rPr>
              <w:t>Real-time, event-driven autonomous webhook ingestion via n8n</w:t>
            </w:r>
          </w:p>
        </w:tc>
      </w:tr>
      <w:tr>
        <w:tc>
          <w:tcPr>
            <w:tcW w:type="dxa" w:w="2592"/>
            <w:shd w:fill="F8FAFC"/>
            <w:tcMar>
              <w:top w:w="70" w:type="dxa"/>
              <w:bottom w:w="70" w:type="dxa"/>
              <w:left w:w="120" w:type="dxa"/>
              <w:right w:w="120" w:type="dxa"/>
            </w:tcMar>
          </w:tcPr>
          <w:p>
            <w:r>
              <w:rPr>
                <w:rFonts w:ascii="Arial" w:hAnsi="Arial"/>
                <w:color w:val="1E293B"/>
                <w:sz w:val="16"/>
              </w:rPr>
              <w:t>Cross-College Duplicate Detection</w:t>
            </w:r>
          </w:p>
        </w:tc>
        <w:tc>
          <w:tcPr>
            <w:tcW w:type="dxa" w:w="3312"/>
            <w:shd w:fill="F8FAFC"/>
            <w:tcMar>
              <w:top w:w="70" w:type="dxa"/>
              <w:bottom w:w="70" w:type="dxa"/>
              <w:left w:w="120" w:type="dxa"/>
              <w:right w:w="120" w:type="dxa"/>
            </w:tcMar>
          </w:tcPr>
          <w:p>
            <w:r>
              <w:rPr>
                <w:rFonts w:ascii="Arial" w:hAnsi="Arial"/>
                <w:color w:val="1E293B"/>
                <w:sz w:val="16"/>
              </w:rPr>
              <w:t>None in real-time; discovered retrospectively post-exam</w:t>
            </w:r>
          </w:p>
        </w:tc>
        <w:tc>
          <w:tcPr>
            <w:tcW w:type="dxa" w:w="3456"/>
            <w:shd w:fill="F8FAFC"/>
            <w:tcMar>
              <w:top w:w="70" w:type="dxa"/>
              <w:bottom w:w="70" w:type="dxa"/>
              <w:left w:w="120" w:type="dxa"/>
              <w:right w:w="120" w:type="dxa"/>
            </w:tcMar>
          </w:tcPr>
          <w:p>
            <w:r>
              <w:rPr>
                <w:rFonts w:ascii="Arial" w:hAnsi="Arial"/>
                <w:color w:val="1E293B"/>
                <w:sz w:val="16"/>
              </w:rPr>
              <w:t>O(1) Redis Bloom filter pre-screen + Diffie-Hellman PSI matching</w:t>
            </w:r>
          </w:p>
        </w:tc>
      </w:tr>
      <w:tr>
        <w:tc>
          <w:tcPr>
            <w:tcW w:type="dxa" w:w="2592"/>
            <w:shd w:fill="FFFFFF"/>
            <w:tcMar>
              <w:top w:w="70" w:type="dxa"/>
              <w:bottom w:w="70" w:type="dxa"/>
              <w:left w:w="120" w:type="dxa"/>
              <w:right w:w="120" w:type="dxa"/>
            </w:tcMar>
          </w:tcPr>
          <w:p>
            <w:r>
              <w:rPr>
                <w:rFonts w:ascii="Arial" w:hAnsi="Arial"/>
                <w:color w:val="1E293B"/>
                <w:sz w:val="16"/>
              </w:rPr>
              <w:t>Student Identity Verification</w:t>
            </w:r>
          </w:p>
        </w:tc>
        <w:tc>
          <w:tcPr>
            <w:tcW w:type="dxa" w:w="3312"/>
            <w:shd w:fill="FFFFFF"/>
            <w:tcMar>
              <w:top w:w="70" w:type="dxa"/>
              <w:bottom w:w="70" w:type="dxa"/>
              <w:left w:w="120" w:type="dxa"/>
              <w:right w:w="120" w:type="dxa"/>
            </w:tcMar>
          </w:tcPr>
          <w:p>
            <w:r>
              <w:rPr>
                <w:rFonts w:ascii="Arial" w:hAnsi="Arial"/>
                <w:color w:val="1E293B"/>
                <w:sz w:val="16"/>
              </w:rPr>
              <w:t>Unchecked student names and unvalidated college roll numbers</w:t>
            </w:r>
          </w:p>
        </w:tc>
        <w:tc>
          <w:tcPr>
            <w:tcW w:type="dxa" w:w="3456"/>
            <w:shd w:fill="FFFFFF"/>
            <w:tcMar>
              <w:top w:w="70" w:type="dxa"/>
              <w:bottom w:w="70" w:type="dxa"/>
              <w:left w:w="120" w:type="dxa"/>
              <w:right w:w="120" w:type="dxa"/>
            </w:tcMar>
          </w:tcPr>
          <w:p>
            <w:r>
              <w:rPr>
                <w:rFonts w:ascii="Arial" w:hAnsi="Arial"/>
                <w:color w:val="1E293B"/>
                <w:sz w:val="16"/>
              </w:rPr>
              <w:t>Multilingual OCR, APAAR canonicalization, and anti-tamper ELA</w:t>
            </w:r>
          </w:p>
        </w:tc>
      </w:tr>
      <w:tr>
        <w:tc>
          <w:tcPr>
            <w:tcW w:type="dxa" w:w="2592"/>
            <w:shd w:fill="F8FAFC"/>
            <w:tcMar>
              <w:top w:w="70" w:type="dxa"/>
              <w:bottom w:w="70" w:type="dxa"/>
              <w:left w:w="120" w:type="dxa"/>
              <w:right w:w="120" w:type="dxa"/>
            </w:tcMar>
          </w:tcPr>
          <w:p>
            <w:r>
              <w:rPr>
                <w:rFonts w:ascii="Arial" w:hAnsi="Arial"/>
                <w:color w:val="1E293B"/>
                <w:sz w:val="16"/>
              </w:rPr>
              <w:t>Data Privacy &amp; Identifiers</w:t>
            </w:r>
          </w:p>
        </w:tc>
        <w:tc>
          <w:tcPr>
            <w:tcW w:type="dxa" w:w="3312"/>
            <w:shd w:fill="F8FAFC"/>
            <w:tcMar>
              <w:top w:w="70" w:type="dxa"/>
              <w:bottom w:w="70" w:type="dxa"/>
              <w:left w:w="120" w:type="dxa"/>
              <w:right w:w="120" w:type="dxa"/>
            </w:tcMar>
          </w:tcPr>
          <w:p>
            <w:r>
              <w:rPr>
                <w:rFonts w:ascii="Arial" w:hAnsi="Arial"/>
                <w:color w:val="1E293B"/>
                <w:sz w:val="16"/>
              </w:rPr>
              <w:t>Unencrypted student records centralized, exposing Aadhaar/PII</w:t>
            </w:r>
          </w:p>
        </w:tc>
        <w:tc>
          <w:tcPr>
            <w:tcW w:type="dxa" w:w="3456"/>
            <w:shd w:fill="F8FAFC"/>
            <w:tcMar>
              <w:top w:w="70" w:type="dxa"/>
              <w:bottom w:w="70" w:type="dxa"/>
              <w:left w:w="120" w:type="dxa"/>
              <w:right w:w="120" w:type="dxa"/>
            </w:tcMar>
          </w:tcPr>
          <w:p>
            <w:r>
              <w:rPr>
                <w:rFonts w:ascii="Arial" w:hAnsi="Arial"/>
                <w:color w:val="1E293B"/>
                <w:sz w:val="16"/>
              </w:rPr>
              <w:t>Zero-Knowledge Diffie-Hellman PSI; zero central raw identifier exposure</w:t>
            </w:r>
          </w:p>
        </w:tc>
      </w:tr>
      <w:tr>
        <w:tc>
          <w:tcPr>
            <w:tcW w:type="dxa" w:w="2592"/>
            <w:shd w:fill="FFFFFF"/>
            <w:tcMar>
              <w:top w:w="70" w:type="dxa"/>
              <w:bottom w:w="70" w:type="dxa"/>
              <w:left w:w="120" w:type="dxa"/>
              <w:right w:w="120" w:type="dxa"/>
            </w:tcMar>
          </w:tcPr>
          <w:p>
            <w:r>
              <w:rPr>
                <w:rFonts w:ascii="Arial" w:hAnsi="Arial"/>
                <w:color w:val="1E293B"/>
                <w:sz w:val="16"/>
              </w:rPr>
              <w:t>Intake Quota Enforcement</w:t>
            </w:r>
          </w:p>
        </w:tc>
        <w:tc>
          <w:tcPr>
            <w:tcW w:type="dxa" w:w="3312"/>
            <w:shd w:fill="FFFFFF"/>
            <w:tcMar>
              <w:top w:w="70" w:type="dxa"/>
              <w:bottom w:w="70" w:type="dxa"/>
              <w:left w:w="120" w:type="dxa"/>
              <w:right w:w="120" w:type="dxa"/>
            </w:tcMar>
          </w:tcPr>
          <w:p>
            <w:r>
              <w:rPr>
                <w:rFonts w:ascii="Arial" w:hAnsi="Arial"/>
                <w:color w:val="1E293B"/>
                <w:sz w:val="16"/>
              </w:rPr>
              <w:t>Post-admission retrospective penalty or audit inspection</w:t>
            </w:r>
          </w:p>
        </w:tc>
        <w:tc>
          <w:tcPr>
            <w:tcW w:type="dxa" w:w="3456"/>
            <w:shd w:fill="FFFFFF"/>
            <w:tcMar>
              <w:top w:w="70" w:type="dxa"/>
              <w:bottom w:w="70" w:type="dxa"/>
              <w:left w:w="120" w:type="dxa"/>
              <w:right w:w="120" w:type="dxa"/>
            </w:tcMar>
          </w:tcPr>
          <w:p>
            <w:r>
              <w:rPr>
                <w:rFonts w:ascii="Arial" w:hAnsi="Arial"/>
                <w:color w:val="1E293B"/>
                <w:sz w:val="16"/>
              </w:rPr>
              <w:t>Real-time Intake Circuit Breaker; lockouts prior to database commit</w:t>
            </w:r>
          </w:p>
        </w:tc>
      </w:tr>
      <w:tr>
        <w:tc>
          <w:tcPr>
            <w:tcW w:type="dxa" w:w="2592"/>
            <w:shd w:fill="F8FAFC"/>
            <w:tcMar>
              <w:top w:w="70" w:type="dxa"/>
              <w:bottom w:w="70" w:type="dxa"/>
              <w:left w:w="120" w:type="dxa"/>
              <w:right w:w="120" w:type="dxa"/>
            </w:tcMar>
          </w:tcPr>
          <w:p>
            <w:r>
              <w:rPr>
                <w:rFonts w:ascii="Arial" w:hAnsi="Arial"/>
                <w:color w:val="1E293B"/>
                <w:sz w:val="16"/>
              </w:rPr>
              <w:t>Registry Auditability</w:t>
            </w:r>
          </w:p>
        </w:tc>
        <w:tc>
          <w:tcPr>
            <w:tcW w:type="dxa" w:w="3312"/>
            <w:shd w:fill="F8FAFC"/>
            <w:tcMar>
              <w:top w:w="70" w:type="dxa"/>
              <w:bottom w:w="70" w:type="dxa"/>
              <w:left w:w="120" w:type="dxa"/>
              <w:right w:w="120" w:type="dxa"/>
            </w:tcMar>
          </w:tcPr>
          <w:p>
            <w:r>
              <w:rPr>
                <w:rFonts w:ascii="Arial" w:hAnsi="Arial"/>
                <w:color w:val="1E293B"/>
                <w:sz w:val="16"/>
              </w:rPr>
              <w:t>Mutable relational database tables; prone to silent overwriting</w:t>
            </w:r>
          </w:p>
        </w:tc>
        <w:tc>
          <w:tcPr>
            <w:tcW w:type="dxa" w:w="3456"/>
            <w:shd w:fill="F8FAFC"/>
            <w:tcMar>
              <w:top w:w="70" w:type="dxa"/>
              <w:bottom w:w="70" w:type="dxa"/>
              <w:left w:w="120" w:type="dxa"/>
              <w:right w:w="120" w:type="dxa"/>
            </w:tcMar>
          </w:tcPr>
          <w:p>
            <w:r>
              <w:rPr>
                <w:rFonts w:ascii="Arial" w:hAnsi="Arial"/>
                <w:color w:val="1E293B"/>
                <w:sz w:val="16"/>
              </w:rPr>
              <w:t>Append-only SHA-256 block hash chaining &amp; Merkle root integrity ledger</w:t>
            </w:r>
          </w:p>
        </w:tc>
      </w:tr>
      <w:tr>
        <w:tc>
          <w:tcPr>
            <w:tcW w:type="dxa" w:w="2592"/>
            <w:shd w:fill="FFFFFF"/>
            <w:tcMar>
              <w:top w:w="70" w:type="dxa"/>
              <w:bottom w:w="70" w:type="dxa"/>
              <w:left w:w="120" w:type="dxa"/>
              <w:right w:w="120" w:type="dxa"/>
            </w:tcMar>
          </w:tcPr>
          <w:p>
            <w:r>
              <w:rPr>
                <w:rFonts w:ascii="Arial" w:hAnsi="Arial"/>
                <w:color w:val="1E293B"/>
                <w:sz w:val="16"/>
              </w:rPr>
              <w:t>Credential Verification</w:t>
            </w:r>
          </w:p>
        </w:tc>
        <w:tc>
          <w:tcPr>
            <w:tcW w:type="dxa" w:w="3312"/>
            <w:shd w:fill="FFFFFF"/>
            <w:tcMar>
              <w:top w:w="70" w:type="dxa"/>
              <w:bottom w:w="70" w:type="dxa"/>
              <w:left w:w="120" w:type="dxa"/>
              <w:right w:w="120" w:type="dxa"/>
            </w:tcMar>
          </w:tcPr>
          <w:p>
            <w:r>
              <w:rPr>
                <w:rFonts w:ascii="Arial" w:hAnsi="Arial"/>
                <w:color w:val="1E293B"/>
                <w:sz w:val="16"/>
              </w:rPr>
              <w:t>Manual paper parchment inspection or slow email verification</w:t>
            </w:r>
          </w:p>
        </w:tc>
        <w:tc>
          <w:tcPr>
            <w:tcW w:type="dxa" w:w="3456"/>
            <w:shd w:fill="FFFFFF"/>
            <w:tcMar>
              <w:top w:w="70" w:type="dxa"/>
              <w:bottom w:w="70" w:type="dxa"/>
              <w:left w:w="120" w:type="dxa"/>
              <w:right w:w="120" w:type="dxa"/>
            </w:tcMar>
          </w:tcPr>
          <w:p>
            <w:r>
              <w:rPr>
                <w:rFonts w:ascii="Arial" w:hAnsi="Arial"/>
                <w:color w:val="1E293B"/>
                <w:sz w:val="16"/>
              </w:rPr>
              <w:t>W3C Verifiable Credentials with Ed25519 signatures and offline QR validation</w:t>
            </w:r>
          </w:p>
        </w:tc>
      </w:tr>
    </w:tbl>
    <w:p>
      <w:pPr>
        <w:spacing w:after="80"/>
      </w:pPr>
    </w:p>
    <w:p>
      <w:r>
        <w:br w:type="page"/>
      </w:r>
    </w:p>
    <w:p>
      <w:pPr>
        <w:keepNext/>
        <w:spacing w:before="280" w:after="120"/>
      </w:pPr>
      <w:r>
        <w:rPr>
          <w:rFonts w:ascii="Arial" w:hAnsi="Arial"/>
          <w:b/>
          <w:color w:val="0F172A"/>
          <w:sz w:val="30"/>
        </w:rPr>
        <w:t>2. Problem Statement Domain &amp; Regulatory Context</w:t>
      </w:r>
    </w:p>
    <w:p>
      <w:pPr>
        <w:keepNext/>
        <w:spacing w:before="200" w:after="80"/>
      </w:pPr>
      <w:r>
        <w:rPr>
          <w:rFonts w:ascii="Arial" w:hAnsi="Arial"/>
          <w:b/>
          <w:color w:val="1E3A8A"/>
          <w:sz w:val="24"/>
        </w:rPr>
        <w:t>2.1 AICTE Student Data Management and APAAR Integration Mandate</w:t>
      </w:r>
    </w:p>
    <w:p>
      <w:pPr>
        <w:spacing w:before="0" w:after="80" w:line="276" w:lineRule="auto"/>
      </w:pPr>
      <w:r>
        <w:rPr>
          <w:rFonts w:ascii="Arial" w:hAnsi="Arial"/>
          <w:color w:val="334155"/>
          <w:sz w:val="19"/>
        </w:rPr>
        <w:t>Under the National Education Policy (NEP 2020) and the Ministry of Education's digital governance roadmap, the Automated Permanent Academic Account Registry (APAAR) serves as the foundational 12-digit digital identifier for all enrolled students across India. However, integrating APAAR across 10,000+ AICTE-approved institutions presents significant operational, regulatory, and technical hurdles:</w:t>
      </w:r>
    </w:p>
    <w:p>
      <w:pPr>
        <w:pStyle w:val="ListBullet"/>
        <w:spacing w:before="0" w:after="40" w:line="276" w:lineRule="auto"/>
      </w:pPr>
      <w:r>
        <w:rPr>
          <w:rFonts w:ascii="Arial" w:hAnsi="Arial"/>
          <w:b/>
          <w:color w:val="0F172A"/>
          <w:sz w:val="19"/>
        </w:rPr>
        <w:t xml:space="preserve">Heterogeneous Systems: </w:t>
      </w:r>
      <w:r>
        <w:rPr>
          <w:rFonts w:ascii="Arial" w:hAnsi="Arial"/>
          <w:color w:val="334155"/>
          <w:sz w:val="19"/>
        </w:rPr>
        <w:t>Fragmented College ERP Topologies: Institutions deploy disparate commercial ERP products, custom open-source portals, or legacy standalone databases with incompatible schemas, preventing real-time synchronous synchronization.</w:t>
      </w:r>
    </w:p>
    <w:p>
      <w:pPr>
        <w:pStyle w:val="ListBullet"/>
        <w:spacing w:before="0" w:after="40" w:line="276" w:lineRule="auto"/>
      </w:pPr>
      <w:r>
        <w:rPr>
          <w:rFonts w:ascii="Arial" w:hAnsi="Arial"/>
          <w:b/>
          <w:color w:val="0F172A"/>
          <w:sz w:val="19"/>
        </w:rPr>
        <w:t xml:space="preserve">Seat Hoarding: </w:t>
      </w:r>
      <w:r>
        <w:rPr>
          <w:rFonts w:ascii="Arial" w:hAnsi="Arial"/>
          <w:color w:val="334155"/>
          <w:sz w:val="19"/>
        </w:rPr>
        <w:t>Cross-State Concurrent Admission Fraud: Students frequently accept allotted seats across multiple state Common Entrance Tests (e.g., MHT-CET in Maharashtra, KCET in Karnataka, and IPU-CET in Delhi) simultaneously, blocking genuine candidates and manipulating seat vacancy counts.</w:t>
      </w:r>
    </w:p>
    <w:p>
      <w:pPr>
        <w:pStyle w:val="ListBullet"/>
        <w:spacing w:before="0" w:after="40" w:line="276" w:lineRule="auto"/>
      </w:pPr>
      <w:r>
        <w:rPr>
          <w:rFonts w:ascii="Arial" w:hAnsi="Arial"/>
          <w:b/>
          <w:color w:val="0F172A"/>
          <w:sz w:val="19"/>
        </w:rPr>
        <w:t xml:space="preserve">Intake Manipulation: </w:t>
      </w:r>
      <w:r>
        <w:rPr>
          <w:rFonts w:ascii="Arial" w:hAnsi="Arial"/>
          <w:color w:val="334155"/>
          <w:sz w:val="19"/>
        </w:rPr>
        <w:t>Supernumerary Quota Abuse: Sanctioned branch capacities are frequently breached through unmonitored lateral entry, Tuition Fee Waiver (TFW), NRI, and foreign national quotas without central AICTE circuit breakers.</w:t>
      </w:r>
    </w:p>
    <w:p>
      <w:pPr>
        <w:pStyle w:val="ListBullet"/>
        <w:spacing w:before="0" w:after="40" w:line="276" w:lineRule="auto"/>
      </w:pPr>
      <w:r>
        <w:rPr>
          <w:rFonts w:ascii="Arial" w:hAnsi="Arial"/>
          <w:b/>
          <w:color w:val="0F172A"/>
          <w:sz w:val="19"/>
        </w:rPr>
        <w:t xml:space="preserve">Document Tampering: </w:t>
      </w:r>
      <w:r>
        <w:rPr>
          <w:rFonts w:ascii="Arial" w:hAnsi="Arial"/>
          <w:color w:val="334155"/>
          <w:sz w:val="19"/>
        </w:rPr>
        <w:t>Credential Forgery &amp; Photoshop Tampering: Scanned allotment orders, caste certificates, and marks memos are increasingly subjected to digital image manipulation, evading standard text-only OCR engines.</w:t>
      </w:r>
    </w:p>
    <w:p>
      <w:pPr>
        <w:pStyle w:val="ListBullet"/>
        <w:spacing w:before="0" w:after="40" w:line="276" w:lineRule="auto"/>
      </w:pPr>
      <w:r>
        <w:rPr>
          <w:rFonts w:ascii="Arial" w:hAnsi="Arial"/>
          <w:b/>
          <w:color w:val="0F172A"/>
          <w:sz w:val="19"/>
        </w:rPr>
        <w:t xml:space="preserve">Data Exposure Risk: </w:t>
      </w:r>
      <w:r>
        <w:rPr>
          <w:rFonts w:ascii="Arial" w:hAnsi="Arial"/>
          <w:color w:val="334155"/>
          <w:sz w:val="19"/>
        </w:rPr>
        <w:t>DPDP Act 2023 Statutory Liability: Centralizing raw student PII, Aadhaar numbers, and biometric tokens across a central database exposes AICTE and colleges to severe non-compliance liabilities under the Digital Personal Data Protection Act.</w:t>
      </w:r>
    </w:p>
    <w:p>
      <w:r>
        <w:br w:type="page"/>
      </w:r>
    </w:p>
    <w:p>
      <w:pPr>
        <w:keepNext/>
        <w:spacing w:before="280" w:after="120"/>
      </w:pPr>
      <w:r>
        <w:rPr>
          <w:rFonts w:ascii="Arial" w:hAnsi="Arial"/>
          <w:b/>
          <w:color w:val="0F172A"/>
          <w:sz w:val="30"/>
        </w:rPr>
        <w:t>3. Unified System Architecture &amp; Technology Stack</w:t>
      </w:r>
    </w:p>
    <w:p>
      <w:pPr>
        <w:spacing w:before="0" w:after="80" w:line="276" w:lineRule="auto"/>
      </w:pPr>
      <w:r>
        <w:rPr>
          <w:rFonts w:ascii="Arial" w:hAnsi="Arial"/>
          <w:color w:val="334155"/>
          <w:sz w:val="19"/>
        </w:rPr>
        <w:t>Drishyam Mesh is built upon a resilient 5-tier architecture engineered for horizontal scalability, zero-trust cryptographic verification, and seamless integration with legacy college infrastructure without requiring institutions to discard their existing ERP investments.</w:t>
      </w:r>
    </w:p>
    <w:p>
      <w:pPr>
        <w:spacing w:before="120" w:after="40"/>
        <w:jc w:val="center"/>
      </w:pPr>
      <w:r>
        <w:drawing>
          <wp:inline xmlns:a="http://schemas.openxmlformats.org/drawingml/2006/main" xmlns:pic="http://schemas.openxmlformats.org/drawingml/2006/picture">
            <wp:extent cx="5669280" cy="337675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669280" cy="3376753"/>
                    </a:xfrm>
                    <a:prstGeom prst="rect"/>
                  </pic:spPr>
                </pic:pic>
              </a:graphicData>
            </a:graphic>
          </wp:inline>
        </w:drawing>
      </w:r>
    </w:p>
    <w:p>
      <w:pPr>
        <w:spacing w:before="40" w:after="160"/>
        <w:jc w:val="center"/>
      </w:pPr>
      <w:r>
        <w:rPr>
          <w:rFonts w:ascii="Arial" w:hAnsi="Arial"/>
          <w:i/>
          <w:color w:val="64748B"/>
          <w:sz w:val="17"/>
        </w:rPr>
        <w:t>Figure 1: Drishyam Mesh 5-Layer Zero-Trust Enterprise Architecture</w:t>
      </w:r>
    </w:p>
    <w:p>
      <w:pPr>
        <w:keepNext/>
        <w:spacing w:before="200" w:after="80"/>
      </w:pPr>
      <w:r>
        <w:rPr>
          <w:rFonts w:ascii="Arial" w:hAnsi="Arial"/>
          <w:b/>
          <w:color w:val="1E3A8A"/>
          <w:sz w:val="24"/>
        </w:rPr>
        <w:t>3.1 Component Architecture Breakdown</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1E3A8A"/>
            <w:tcMar>
              <w:top w:w="90" w:type="dxa"/>
              <w:bottom w:w="90" w:type="dxa"/>
              <w:left w:w="120" w:type="dxa"/>
              <w:right w:w="120" w:type="dxa"/>
            </w:tcMar>
          </w:tcPr>
          <w:p>
            <w:pPr>
              <w:jc w:val="left"/>
            </w:pPr>
            <w:r>
              <w:rPr>
                <w:rFonts w:ascii="Arial" w:hAnsi="Arial"/>
                <w:b/>
                <w:color w:val="FFFFFF"/>
                <w:sz w:val="17"/>
              </w:rPr>
              <w:t>Layer / Subsystem</w:t>
            </w:r>
          </w:p>
        </w:tc>
        <w:tc>
          <w:tcPr>
            <w:tcW w:type="dxa" w:w="3024"/>
            <w:shd w:fill="1E3A8A"/>
            <w:tcMar>
              <w:top w:w="90" w:type="dxa"/>
              <w:bottom w:w="90" w:type="dxa"/>
              <w:left w:w="120" w:type="dxa"/>
              <w:right w:w="120" w:type="dxa"/>
            </w:tcMar>
          </w:tcPr>
          <w:p>
            <w:pPr>
              <w:jc w:val="left"/>
            </w:pPr>
            <w:r>
              <w:rPr>
                <w:rFonts w:ascii="Arial" w:hAnsi="Arial"/>
                <w:b/>
                <w:color w:val="FFFFFF"/>
                <w:sz w:val="17"/>
              </w:rPr>
              <w:t>Enterprise Technology</w:t>
            </w:r>
          </w:p>
        </w:tc>
        <w:tc>
          <w:tcPr>
            <w:tcW w:type="dxa" w:w="3744"/>
            <w:shd w:fill="1E3A8A"/>
            <w:tcMar>
              <w:top w:w="90" w:type="dxa"/>
              <w:bottom w:w="90" w:type="dxa"/>
              <w:left w:w="120" w:type="dxa"/>
              <w:right w:w="120" w:type="dxa"/>
            </w:tcMar>
          </w:tcPr>
          <w:p>
            <w:pPr>
              <w:jc w:val="left"/>
            </w:pPr>
            <w:r>
              <w:rPr>
                <w:rFonts w:ascii="Arial" w:hAnsi="Arial"/>
                <w:b/>
                <w:color w:val="FFFFFF"/>
                <w:sz w:val="17"/>
              </w:rPr>
              <w:t>Functional Mandate &amp; Implementation Purpose</w:t>
            </w:r>
          </w:p>
        </w:tc>
      </w:tr>
      <w:tr>
        <w:tc>
          <w:tcPr>
            <w:tcW w:type="dxa" w:w="2592"/>
            <w:shd w:fill="FFFFFF"/>
            <w:tcMar>
              <w:top w:w="70" w:type="dxa"/>
              <w:bottom w:w="70" w:type="dxa"/>
              <w:left w:w="120" w:type="dxa"/>
              <w:right w:w="120" w:type="dxa"/>
            </w:tcMar>
          </w:tcPr>
          <w:p>
            <w:r>
              <w:rPr>
                <w:rFonts w:ascii="Arial" w:hAnsi="Arial"/>
                <w:color w:val="1E293B"/>
                <w:sz w:val="16"/>
              </w:rPr>
              <w:t>Workflow Orchestration</w:t>
            </w:r>
          </w:p>
        </w:tc>
        <w:tc>
          <w:tcPr>
            <w:tcW w:type="dxa" w:w="3024"/>
            <w:shd w:fill="FFFFFF"/>
            <w:tcMar>
              <w:top w:w="70" w:type="dxa"/>
              <w:bottom w:w="70" w:type="dxa"/>
              <w:left w:w="120" w:type="dxa"/>
              <w:right w:w="120" w:type="dxa"/>
            </w:tcMar>
          </w:tcPr>
          <w:p>
            <w:r>
              <w:rPr>
                <w:rFonts w:ascii="Arial" w:hAnsi="Arial"/>
                <w:color w:val="1E293B"/>
                <w:sz w:val="16"/>
              </w:rPr>
              <w:t>Self-hosted n8n Daemon (Port 5678)</w:t>
            </w:r>
          </w:p>
        </w:tc>
        <w:tc>
          <w:tcPr>
            <w:tcW w:type="dxa" w:w="3744"/>
            <w:shd w:fill="FFFFFF"/>
            <w:tcMar>
              <w:top w:w="70" w:type="dxa"/>
              <w:bottom w:w="70" w:type="dxa"/>
              <w:left w:w="120" w:type="dxa"/>
              <w:right w:w="120" w:type="dxa"/>
            </w:tcMar>
          </w:tcPr>
          <w:p>
            <w:r>
              <w:rPr>
                <w:rFonts w:ascii="Arial" w:hAnsi="Arial"/>
                <w:color w:val="1E293B"/>
                <w:sz w:val="16"/>
              </w:rPr>
              <w:t>Coordinates admission events, verification pipelines, retry queues, alerts, and reconciliation jobs.</w:t>
            </w:r>
          </w:p>
        </w:tc>
      </w:tr>
      <w:tr>
        <w:tc>
          <w:tcPr>
            <w:tcW w:type="dxa" w:w="2592"/>
            <w:shd w:fill="F8FAFC"/>
            <w:tcMar>
              <w:top w:w="70" w:type="dxa"/>
              <w:bottom w:w="70" w:type="dxa"/>
              <w:left w:w="120" w:type="dxa"/>
              <w:right w:w="120" w:type="dxa"/>
            </w:tcMar>
          </w:tcPr>
          <w:p>
            <w:r>
              <w:rPr>
                <w:rFonts w:ascii="Arial" w:hAnsi="Arial"/>
                <w:color w:val="1E293B"/>
                <w:sz w:val="16"/>
              </w:rPr>
              <w:t>Integration Gateway</w:t>
            </w:r>
          </w:p>
        </w:tc>
        <w:tc>
          <w:tcPr>
            <w:tcW w:type="dxa" w:w="3024"/>
            <w:shd w:fill="F8FAFC"/>
            <w:tcMar>
              <w:top w:w="70" w:type="dxa"/>
              <w:bottom w:w="70" w:type="dxa"/>
              <w:left w:w="120" w:type="dxa"/>
              <w:right w:w="120" w:type="dxa"/>
            </w:tcMar>
          </w:tcPr>
          <w:p>
            <w:r>
              <w:rPr>
                <w:rFonts w:ascii="Arial" w:hAnsi="Arial"/>
                <w:color w:val="1E293B"/>
                <w:sz w:val="16"/>
              </w:rPr>
              <w:t>Spring Boot 3.2 / Java 17 REST Core</w:t>
            </w:r>
          </w:p>
        </w:tc>
        <w:tc>
          <w:tcPr>
            <w:tcW w:type="dxa" w:w="3744"/>
            <w:shd w:fill="F8FAFC"/>
            <w:tcMar>
              <w:top w:w="70" w:type="dxa"/>
              <w:bottom w:w="70" w:type="dxa"/>
              <w:left w:w="120" w:type="dxa"/>
              <w:right w:w="120" w:type="dxa"/>
            </w:tcMar>
          </w:tcPr>
          <w:p>
            <w:r>
              <w:rPr>
                <w:rFonts w:ascii="Arial" w:hAnsi="Arial"/>
                <w:color w:val="1E293B"/>
                <w:sz w:val="16"/>
              </w:rPr>
              <w:t>Provides authenticated APIs, webhooks, schema validation, and controlled access to the registry.</w:t>
            </w:r>
          </w:p>
        </w:tc>
      </w:tr>
      <w:tr>
        <w:tc>
          <w:tcPr>
            <w:tcW w:type="dxa" w:w="2592"/>
            <w:shd w:fill="FFFFFF"/>
            <w:tcMar>
              <w:top w:w="70" w:type="dxa"/>
              <w:bottom w:w="70" w:type="dxa"/>
              <w:left w:w="120" w:type="dxa"/>
              <w:right w:w="120" w:type="dxa"/>
            </w:tcMar>
          </w:tcPr>
          <w:p>
            <w:r>
              <w:rPr>
                <w:rFonts w:ascii="Arial" w:hAnsi="Arial"/>
                <w:color w:val="1E293B"/>
                <w:sz w:val="16"/>
              </w:rPr>
              <w:t>Legacy ERP Adapters</w:t>
            </w:r>
          </w:p>
        </w:tc>
        <w:tc>
          <w:tcPr>
            <w:tcW w:type="dxa" w:w="3024"/>
            <w:shd w:fill="FFFFFF"/>
            <w:tcMar>
              <w:top w:w="70" w:type="dxa"/>
              <w:bottom w:w="70" w:type="dxa"/>
              <w:left w:w="120" w:type="dxa"/>
              <w:right w:w="120" w:type="dxa"/>
            </w:tcMar>
          </w:tcPr>
          <w:p>
            <w:r>
              <w:rPr>
                <w:rFonts w:ascii="Arial" w:hAnsi="Arial"/>
                <w:color w:val="1E293B"/>
                <w:sz w:val="16"/>
              </w:rPr>
              <w:t>REST, Webhooks, CSV/XML/JSON</w:t>
            </w:r>
          </w:p>
        </w:tc>
        <w:tc>
          <w:tcPr>
            <w:tcW w:type="dxa" w:w="3744"/>
            <w:shd w:fill="FFFFFF"/>
            <w:tcMar>
              <w:top w:w="70" w:type="dxa"/>
              <w:bottom w:w="70" w:type="dxa"/>
              <w:left w:w="120" w:type="dxa"/>
              <w:right w:w="120" w:type="dxa"/>
            </w:tcMar>
          </w:tcPr>
          <w:p>
            <w:r>
              <w:rPr>
                <w:rFonts w:ascii="Arial" w:hAnsi="Arial"/>
                <w:color w:val="1E293B"/>
                <w:sz w:val="16"/>
              </w:rPr>
              <w:t>Connects existing college management systems without requiring expensive ERP redesign.</w:t>
            </w:r>
          </w:p>
        </w:tc>
      </w:tr>
      <w:tr>
        <w:tc>
          <w:tcPr>
            <w:tcW w:type="dxa" w:w="2592"/>
            <w:shd w:fill="F8FAFC"/>
            <w:tcMar>
              <w:top w:w="70" w:type="dxa"/>
              <w:bottom w:w="70" w:type="dxa"/>
              <w:left w:w="120" w:type="dxa"/>
              <w:right w:w="120" w:type="dxa"/>
            </w:tcMar>
          </w:tcPr>
          <w:p>
            <w:r>
              <w:rPr>
                <w:rFonts w:ascii="Arial" w:hAnsi="Arial"/>
                <w:color w:val="1E293B"/>
                <w:sz w:val="16"/>
              </w:rPr>
              <w:t>Privacy-Preserving Matching</w:t>
            </w:r>
          </w:p>
        </w:tc>
        <w:tc>
          <w:tcPr>
            <w:tcW w:type="dxa" w:w="3024"/>
            <w:shd w:fill="F8FAFC"/>
            <w:tcMar>
              <w:top w:w="70" w:type="dxa"/>
              <w:bottom w:w="70" w:type="dxa"/>
              <w:left w:w="120" w:type="dxa"/>
              <w:right w:w="120" w:type="dxa"/>
            </w:tcMar>
          </w:tcPr>
          <w:p>
            <w:r>
              <w:rPr>
                <w:rFonts w:ascii="Arial" w:hAnsi="Arial"/>
                <w:color w:val="1E293B"/>
                <w:sz w:val="16"/>
              </w:rPr>
              <w:t>Diffie-Hellman Private Set Intersection</w:t>
            </w:r>
          </w:p>
        </w:tc>
        <w:tc>
          <w:tcPr>
            <w:tcW w:type="dxa" w:w="3744"/>
            <w:shd w:fill="F8FAFC"/>
            <w:tcMar>
              <w:top w:w="70" w:type="dxa"/>
              <w:bottom w:w="70" w:type="dxa"/>
              <w:left w:w="120" w:type="dxa"/>
              <w:right w:w="120" w:type="dxa"/>
            </w:tcMar>
          </w:tcPr>
          <w:p>
            <w:r>
              <w:rPr>
                <w:rFonts w:ascii="Arial" w:hAnsi="Arial"/>
                <w:color w:val="1E293B"/>
                <w:sz w:val="16"/>
              </w:rPr>
              <w:t>Detects overlapping identifiers across participating colleges while minimizing raw-data disclosure.</w:t>
            </w:r>
          </w:p>
        </w:tc>
      </w:tr>
      <w:tr>
        <w:tc>
          <w:tcPr>
            <w:tcW w:type="dxa" w:w="2592"/>
            <w:shd w:fill="FFFFFF"/>
            <w:tcMar>
              <w:top w:w="70" w:type="dxa"/>
              <w:bottom w:w="70" w:type="dxa"/>
              <w:left w:w="120" w:type="dxa"/>
              <w:right w:w="120" w:type="dxa"/>
            </w:tcMar>
          </w:tcPr>
          <w:p>
            <w:r>
              <w:rPr>
                <w:rFonts w:ascii="Arial" w:hAnsi="Arial"/>
                <w:color w:val="1E293B"/>
                <w:sz w:val="16"/>
              </w:rPr>
              <w:t>Rapid Candidate Screening</w:t>
            </w:r>
          </w:p>
        </w:tc>
        <w:tc>
          <w:tcPr>
            <w:tcW w:type="dxa" w:w="3024"/>
            <w:shd w:fill="FFFFFF"/>
            <w:tcMar>
              <w:top w:w="70" w:type="dxa"/>
              <w:bottom w:w="70" w:type="dxa"/>
              <w:left w:w="120" w:type="dxa"/>
              <w:right w:w="120" w:type="dxa"/>
            </w:tcMar>
          </w:tcPr>
          <w:p>
            <w:r>
              <w:rPr>
                <w:rFonts w:ascii="Arial" w:hAnsi="Arial"/>
                <w:color w:val="1E293B"/>
                <w:sz w:val="16"/>
              </w:rPr>
              <w:t>Redis Bloom Filters (O(1))</w:t>
            </w:r>
          </w:p>
        </w:tc>
        <w:tc>
          <w:tcPr>
            <w:tcW w:type="dxa" w:w="3744"/>
            <w:shd w:fill="FFFFFF"/>
            <w:tcMar>
              <w:top w:w="70" w:type="dxa"/>
              <w:bottom w:w="70" w:type="dxa"/>
              <w:left w:w="120" w:type="dxa"/>
              <w:right w:w="120" w:type="dxa"/>
            </w:tcMar>
          </w:tcPr>
          <w:p>
            <w:r>
              <w:rPr>
                <w:rFonts w:ascii="Arial" w:hAnsi="Arial"/>
                <w:color w:val="1E293B"/>
                <w:sz w:val="16"/>
              </w:rPr>
              <w:t>Eliminates unnecessary exact-match or cryptographic matching operations before expensive verification.</w:t>
            </w:r>
          </w:p>
        </w:tc>
      </w:tr>
      <w:tr>
        <w:tc>
          <w:tcPr>
            <w:tcW w:type="dxa" w:w="2592"/>
            <w:shd w:fill="F8FAFC"/>
            <w:tcMar>
              <w:top w:w="70" w:type="dxa"/>
              <w:bottom w:w="70" w:type="dxa"/>
              <w:left w:w="120" w:type="dxa"/>
              <w:right w:w="120" w:type="dxa"/>
            </w:tcMar>
          </w:tcPr>
          <w:p>
            <w:r>
              <w:rPr>
                <w:rFonts w:ascii="Arial" w:hAnsi="Arial"/>
                <w:color w:val="1E293B"/>
                <w:sz w:val="16"/>
              </w:rPr>
              <w:t>Identity Resolution</w:t>
            </w:r>
          </w:p>
        </w:tc>
        <w:tc>
          <w:tcPr>
            <w:tcW w:type="dxa" w:w="3024"/>
            <w:shd w:fill="F8FAFC"/>
            <w:tcMar>
              <w:top w:w="70" w:type="dxa"/>
              <w:bottom w:w="70" w:type="dxa"/>
              <w:left w:w="120" w:type="dxa"/>
              <w:right w:w="120" w:type="dxa"/>
            </w:tcMar>
          </w:tcPr>
          <w:p>
            <w:r>
              <w:rPr>
                <w:rFonts w:ascii="Arial" w:hAnsi="Arial"/>
                <w:color w:val="1E293B"/>
                <w:sz w:val="16"/>
              </w:rPr>
              <w:t>Fuzzy Jaro-Winkler &amp; Phonetic Models</w:t>
            </w:r>
          </w:p>
        </w:tc>
        <w:tc>
          <w:tcPr>
            <w:tcW w:type="dxa" w:w="3744"/>
            <w:shd w:fill="F8FAFC"/>
            <w:tcMar>
              <w:top w:w="70" w:type="dxa"/>
              <w:bottom w:w="70" w:type="dxa"/>
              <w:left w:w="120" w:type="dxa"/>
              <w:right w:w="120" w:type="dxa"/>
            </w:tcMar>
          </w:tcPr>
          <w:p>
            <w:r>
              <w:rPr>
                <w:rFonts w:ascii="Arial" w:hAnsi="Arial"/>
                <w:color w:val="1E293B"/>
                <w:sz w:val="16"/>
              </w:rPr>
              <w:t>Identifies potentially related profiles despite spelling variations or inconsistent source data.</w:t>
            </w:r>
          </w:p>
        </w:tc>
      </w:tr>
      <w:tr>
        <w:tc>
          <w:tcPr>
            <w:tcW w:type="dxa" w:w="2592"/>
            <w:shd w:fill="FFFFFF"/>
            <w:tcMar>
              <w:top w:w="70" w:type="dxa"/>
              <w:bottom w:w="70" w:type="dxa"/>
              <w:left w:w="120" w:type="dxa"/>
              <w:right w:w="120" w:type="dxa"/>
            </w:tcMar>
          </w:tcPr>
          <w:p>
            <w:r>
              <w:rPr>
                <w:rFonts w:ascii="Arial" w:hAnsi="Arial"/>
                <w:color w:val="1E293B"/>
                <w:sz w:val="16"/>
              </w:rPr>
              <w:t>Relationship Mesh</w:t>
            </w:r>
          </w:p>
        </w:tc>
        <w:tc>
          <w:tcPr>
            <w:tcW w:type="dxa" w:w="3024"/>
            <w:shd w:fill="FFFFFF"/>
            <w:tcMar>
              <w:top w:w="70" w:type="dxa"/>
              <w:bottom w:w="70" w:type="dxa"/>
              <w:left w:w="120" w:type="dxa"/>
              <w:right w:w="120" w:type="dxa"/>
            </w:tcMar>
          </w:tcPr>
          <w:p>
            <w:r>
              <w:rPr>
                <w:rFonts w:ascii="Arial" w:hAnsi="Arial"/>
                <w:color w:val="1E293B"/>
                <w:sz w:val="16"/>
              </w:rPr>
              <w:t>Neo4j Graph Database (Bolt v5.12)</w:t>
            </w:r>
          </w:p>
        </w:tc>
        <w:tc>
          <w:tcPr>
            <w:tcW w:type="dxa" w:w="3744"/>
            <w:shd w:fill="FFFFFF"/>
            <w:tcMar>
              <w:top w:w="70" w:type="dxa"/>
              <w:bottom w:w="70" w:type="dxa"/>
              <w:left w:w="120" w:type="dxa"/>
              <w:right w:w="120" w:type="dxa"/>
            </w:tcMar>
          </w:tcPr>
          <w:p>
            <w:r>
              <w:rPr>
                <w:rFonts w:ascii="Arial" w:hAnsi="Arial"/>
                <w:color w:val="1E293B"/>
                <w:sz w:val="16"/>
              </w:rPr>
              <w:t>Maps admission claims, institutional relationships, identity evidence, and suspicious cross-institution clusters.</w:t>
            </w:r>
          </w:p>
        </w:tc>
      </w:tr>
      <w:tr>
        <w:tc>
          <w:tcPr>
            <w:tcW w:type="dxa" w:w="2592"/>
            <w:shd w:fill="F8FAFC"/>
            <w:tcMar>
              <w:top w:w="70" w:type="dxa"/>
              <w:bottom w:w="70" w:type="dxa"/>
              <w:left w:w="120" w:type="dxa"/>
              <w:right w:w="120" w:type="dxa"/>
            </w:tcMar>
          </w:tcPr>
          <w:p>
            <w:r>
              <w:rPr>
                <w:rFonts w:ascii="Arial" w:hAnsi="Arial"/>
                <w:color w:val="1E293B"/>
                <w:sz w:val="16"/>
              </w:rPr>
              <w:t>Risk Intelligence Engine</w:t>
            </w:r>
          </w:p>
        </w:tc>
        <w:tc>
          <w:tcPr>
            <w:tcW w:type="dxa" w:w="3024"/>
            <w:shd w:fill="F8FAFC"/>
            <w:tcMar>
              <w:top w:w="70" w:type="dxa"/>
              <w:bottom w:w="70" w:type="dxa"/>
              <w:left w:w="120" w:type="dxa"/>
              <w:right w:w="120" w:type="dxa"/>
            </w:tcMar>
          </w:tcPr>
          <w:p>
            <w:r>
              <w:rPr>
                <w:rFonts w:ascii="Arial" w:hAnsi="Arial"/>
                <w:color w:val="1E293B"/>
                <w:sz w:val="16"/>
              </w:rPr>
              <w:t>Python, scikit-learn Isolation Forest</w:t>
            </w:r>
          </w:p>
        </w:tc>
        <w:tc>
          <w:tcPr>
            <w:tcW w:type="dxa" w:w="3744"/>
            <w:shd w:fill="F8FAFC"/>
            <w:tcMar>
              <w:top w:w="70" w:type="dxa"/>
              <w:bottom w:w="70" w:type="dxa"/>
              <w:left w:w="120" w:type="dxa"/>
              <w:right w:w="120" w:type="dxa"/>
            </w:tcMar>
          </w:tcPr>
          <w:p>
            <w:r>
              <w:rPr>
                <w:rFonts w:ascii="Arial" w:hAnsi="Arial"/>
                <w:color w:val="1E293B"/>
                <w:sz w:val="16"/>
              </w:rPr>
              <w:t>Identifies unusual admission, cancellation, upload-timing, and quota-utilization patterns.</w:t>
            </w:r>
          </w:p>
        </w:tc>
      </w:tr>
      <w:tr>
        <w:tc>
          <w:tcPr>
            <w:tcW w:type="dxa" w:w="2592"/>
            <w:shd w:fill="FFFFFF"/>
            <w:tcMar>
              <w:top w:w="70" w:type="dxa"/>
              <w:bottom w:w="70" w:type="dxa"/>
              <w:left w:w="120" w:type="dxa"/>
              <w:right w:w="120" w:type="dxa"/>
            </w:tcMar>
          </w:tcPr>
          <w:p>
            <w:r>
              <w:rPr>
                <w:rFonts w:ascii="Arial" w:hAnsi="Arial"/>
                <w:color w:val="1E293B"/>
                <w:sz w:val="16"/>
              </w:rPr>
              <w:t>Authoritative Registry</w:t>
            </w:r>
          </w:p>
        </w:tc>
        <w:tc>
          <w:tcPr>
            <w:tcW w:type="dxa" w:w="3024"/>
            <w:shd w:fill="FFFFFF"/>
            <w:tcMar>
              <w:top w:w="70" w:type="dxa"/>
              <w:bottom w:w="70" w:type="dxa"/>
              <w:left w:w="120" w:type="dxa"/>
              <w:right w:w="120" w:type="dxa"/>
            </w:tcMar>
          </w:tcPr>
          <w:p>
            <w:r>
              <w:rPr>
                <w:rFonts w:ascii="Arial" w:hAnsi="Arial"/>
                <w:color w:val="1E293B"/>
                <w:sz w:val="16"/>
              </w:rPr>
              <w:t>PostgreSQL / Persistent H2 Ledger</w:t>
            </w:r>
          </w:p>
        </w:tc>
        <w:tc>
          <w:tcPr>
            <w:tcW w:type="dxa" w:w="3744"/>
            <w:shd w:fill="FFFFFF"/>
            <w:tcMar>
              <w:top w:w="70" w:type="dxa"/>
              <w:bottom w:w="70" w:type="dxa"/>
              <w:left w:w="120" w:type="dxa"/>
              <w:right w:w="120" w:type="dxa"/>
            </w:tcMar>
          </w:tcPr>
          <w:p>
            <w:r>
              <w:rPr>
                <w:rFonts w:ascii="Arial" w:hAnsi="Arial"/>
                <w:color w:val="1E293B"/>
                <w:sz w:val="16"/>
              </w:rPr>
              <w:t>Stores authorized enrollment states, verification outcomes, and review decisions under role-based access.</w:t>
            </w:r>
          </w:p>
        </w:tc>
      </w:tr>
      <w:tr>
        <w:tc>
          <w:tcPr>
            <w:tcW w:type="dxa" w:w="2592"/>
            <w:shd w:fill="F8FAFC"/>
            <w:tcMar>
              <w:top w:w="70" w:type="dxa"/>
              <w:bottom w:w="70" w:type="dxa"/>
              <w:left w:w="120" w:type="dxa"/>
              <w:right w:w="120" w:type="dxa"/>
            </w:tcMar>
          </w:tcPr>
          <w:p>
            <w:r>
              <w:rPr>
                <w:rFonts w:ascii="Arial" w:hAnsi="Arial"/>
                <w:color w:val="1E293B"/>
                <w:sz w:val="16"/>
              </w:rPr>
              <w:t>Tamper-Evident Audit</w:t>
            </w:r>
          </w:p>
        </w:tc>
        <w:tc>
          <w:tcPr>
            <w:tcW w:type="dxa" w:w="3024"/>
            <w:shd w:fill="F8FAFC"/>
            <w:tcMar>
              <w:top w:w="70" w:type="dxa"/>
              <w:bottom w:w="70" w:type="dxa"/>
              <w:left w:w="120" w:type="dxa"/>
              <w:right w:w="120" w:type="dxa"/>
            </w:tcMar>
          </w:tcPr>
          <w:p>
            <w:r>
              <w:rPr>
                <w:rFonts w:ascii="Arial" w:hAnsi="Arial"/>
                <w:color w:val="1E293B"/>
                <w:sz w:val="16"/>
              </w:rPr>
              <w:t>SHA-256 Hash Chaining &amp; Merkle Roots</w:t>
            </w:r>
          </w:p>
        </w:tc>
        <w:tc>
          <w:tcPr>
            <w:tcW w:type="dxa" w:w="3744"/>
            <w:shd w:fill="F8FAFC"/>
            <w:tcMar>
              <w:top w:w="70" w:type="dxa"/>
              <w:bottom w:w="70" w:type="dxa"/>
              <w:left w:w="120" w:type="dxa"/>
              <w:right w:w="120" w:type="dxa"/>
            </w:tcMar>
          </w:tcPr>
          <w:p>
            <w:r>
              <w:rPr>
                <w:rFonts w:ascii="Arial" w:hAnsi="Arial"/>
                <w:color w:val="1E293B"/>
                <w:sz w:val="16"/>
              </w:rPr>
              <w:t>Detects unauthorized changes and verifies the integrity and provenance of all accepted events.</w:t>
            </w:r>
          </w:p>
        </w:tc>
      </w:tr>
      <w:tr>
        <w:tc>
          <w:tcPr>
            <w:tcW w:type="dxa" w:w="2592"/>
            <w:shd w:fill="FFFFFF"/>
            <w:tcMar>
              <w:top w:w="70" w:type="dxa"/>
              <w:bottom w:w="70" w:type="dxa"/>
              <w:left w:w="120" w:type="dxa"/>
              <w:right w:w="120" w:type="dxa"/>
            </w:tcMar>
          </w:tcPr>
          <w:p>
            <w:r>
              <w:rPr>
                <w:rFonts w:ascii="Arial" w:hAnsi="Arial"/>
                <w:color w:val="1E293B"/>
                <w:sz w:val="16"/>
              </w:rPr>
              <w:t>Credential Verification</w:t>
            </w:r>
          </w:p>
        </w:tc>
        <w:tc>
          <w:tcPr>
            <w:tcW w:type="dxa" w:w="3024"/>
            <w:shd w:fill="FFFFFF"/>
            <w:tcMar>
              <w:top w:w="70" w:type="dxa"/>
              <w:bottom w:w="70" w:type="dxa"/>
              <w:left w:w="120" w:type="dxa"/>
              <w:right w:w="120" w:type="dxa"/>
            </w:tcMar>
          </w:tcPr>
          <w:p>
            <w:r>
              <w:rPr>
                <w:rFonts w:ascii="Arial" w:hAnsi="Arial"/>
                <w:color w:val="1E293B"/>
                <w:sz w:val="16"/>
              </w:rPr>
              <w:t>W3C Verifiable Credentials (Ed25519)</w:t>
            </w:r>
          </w:p>
        </w:tc>
        <w:tc>
          <w:tcPr>
            <w:tcW w:type="dxa" w:w="3744"/>
            <w:shd w:fill="FFFFFF"/>
            <w:tcMar>
              <w:top w:w="70" w:type="dxa"/>
              <w:bottom w:w="70" w:type="dxa"/>
              <w:left w:w="120" w:type="dxa"/>
              <w:right w:w="120" w:type="dxa"/>
            </w:tcMar>
          </w:tcPr>
          <w:p>
            <w:r>
              <w:rPr>
                <w:rFonts w:ascii="Arial" w:hAnsi="Arial"/>
                <w:color w:val="1E293B"/>
                <w:sz w:val="16"/>
              </w:rPr>
              <w:t>Enables online selective verification and offline public-key authenticity checks via compressed QR codes.</w:t>
            </w:r>
          </w:p>
        </w:tc>
      </w:tr>
      <w:tr>
        <w:tc>
          <w:tcPr>
            <w:tcW w:type="dxa" w:w="2592"/>
            <w:shd w:fill="F8FAFC"/>
            <w:tcMar>
              <w:top w:w="70" w:type="dxa"/>
              <w:bottom w:w="70" w:type="dxa"/>
              <w:left w:w="120" w:type="dxa"/>
              <w:right w:w="120" w:type="dxa"/>
            </w:tcMar>
          </w:tcPr>
          <w:p>
            <w:r>
              <w:rPr>
                <w:rFonts w:ascii="Arial" w:hAnsi="Arial"/>
                <w:color w:val="1E293B"/>
                <w:sz w:val="16"/>
              </w:rPr>
              <w:t>User Interface Layer</w:t>
            </w:r>
          </w:p>
        </w:tc>
        <w:tc>
          <w:tcPr>
            <w:tcW w:type="dxa" w:w="3024"/>
            <w:shd w:fill="F8FAFC"/>
            <w:tcMar>
              <w:top w:w="70" w:type="dxa"/>
              <w:bottom w:w="70" w:type="dxa"/>
              <w:left w:w="120" w:type="dxa"/>
              <w:right w:w="120" w:type="dxa"/>
            </w:tcMar>
          </w:tcPr>
          <w:p>
            <w:r>
              <w:rPr>
                <w:rFonts w:ascii="Arial" w:hAnsi="Arial"/>
                <w:color w:val="1E293B"/>
                <w:sz w:val="16"/>
              </w:rPr>
              <w:t>React, Vite, Tailwind CSS, Lucide Icons</w:t>
            </w:r>
          </w:p>
        </w:tc>
        <w:tc>
          <w:tcPr>
            <w:tcW w:type="dxa" w:w="3744"/>
            <w:shd w:fill="F8FAFC"/>
            <w:tcMar>
              <w:top w:w="70" w:type="dxa"/>
              <w:bottom w:w="70" w:type="dxa"/>
              <w:left w:w="120" w:type="dxa"/>
              <w:right w:w="120" w:type="dxa"/>
            </w:tcMar>
          </w:tcPr>
          <w:p>
            <w:r>
              <w:rPr>
                <w:rFonts w:ascii="Arial" w:hAnsi="Arial"/>
                <w:color w:val="1E293B"/>
                <w:sz w:val="16"/>
              </w:rPr>
              <w:t>Provides institutional portals, student consent screens, verification tools, and AICTE analytics dashboards.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2563EB"/>
              <w:top w:val="none"/>
              <w:right w:val="none"/>
              <w:bottom w:val="none"/>
            </w:tcBorders>
          </w:tcPr>
          <w:p>
            <w:pPr>
              <w:spacing w:before="0" w:after="40"/>
            </w:pPr>
            <w:r>
              <w:rPr>
                <w:rFonts w:ascii="Arial" w:hAnsi="Arial"/>
                <w:b/>
                <w:color w:val="1E3A8A"/>
                <w:sz w:val="19"/>
              </w:rPr>
              <w:t>ENTERPRISE SPECIFICATION: ARCHITECTURAL PRINCIPLE</w:t>
              <w:br/>
            </w:r>
            <w:r>
              <w:rPr>
                <w:rFonts w:ascii="Arial" w:hAnsi="Arial"/>
                <w:color w:val="334155"/>
                <w:sz w:val="18"/>
              </w:rPr>
              <w:t>n8n coordinates the workflow; dedicated microservices execute security-critical matching, verification, and policy decisions. The persistent database stores authoritative state, while the audit ledger provides an independently verifiable cryptographic history of all transitions.</w:t>
            </w:r>
          </w:p>
        </w:tc>
      </w:tr>
    </w:tbl>
    <w:p>
      <w:pPr>
        <w:spacing w:after="80"/>
      </w:pPr>
    </w:p>
    <w:p>
      <w:r>
        <w:br w:type="page"/>
      </w:r>
    </w:p>
    <w:p>
      <w:pPr>
        <w:keepNext/>
        <w:spacing w:before="280" w:after="120"/>
      </w:pPr>
      <w:r>
        <w:rPr>
          <w:rFonts w:ascii="Arial" w:hAnsi="Arial"/>
          <w:b/>
          <w:color w:val="0F172A"/>
          <w:sz w:val="30"/>
        </w:rPr>
        <w:t>4. End-to-End Architectural Data Flow &amp; Execution Pipeline</w:t>
      </w:r>
    </w:p>
    <w:p>
      <w:pPr>
        <w:spacing w:before="0" w:after="80" w:line="276" w:lineRule="auto"/>
      </w:pPr>
      <w:r>
        <w:rPr>
          <w:rFonts w:ascii="Arial" w:hAnsi="Arial"/>
          <w:color w:val="334155"/>
          <w:sz w:val="19"/>
        </w:rPr>
        <w:t>The platform operates as a continuous zero-trust verification pipeline where every admission claim undergoes rigorous, multi-stage validation before being recognized as an authoritative academic record. The end-to-end execution path progresses through six distinct phases:</w:t>
      </w:r>
    </w:p>
    <w:p>
      <w:pPr>
        <w:pStyle w:val="ListBullet"/>
        <w:spacing w:before="0" w:after="40" w:line="276" w:lineRule="auto"/>
      </w:pPr>
      <w:r>
        <w:rPr>
          <w:rFonts w:ascii="Arial" w:hAnsi="Arial"/>
          <w:b/>
          <w:color w:val="0F172A"/>
          <w:sz w:val="19"/>
        </w:rPr>
        <w:t xml:space="preserve">1. Admission Event Submission: </w:t>
      </w:r>
      <w:r>
        <w:rPr>
          <w:rFonts w:ascii="Arial" w:hAnsi="Arial"/>
          <w:color w:val="334155"/>
          <w:sz w:val="19"/>
        </w:rPr>
        <w:t>College ERPs transmit admission batches or individual student records via authenticated TLS 1.3 endpoints, webhooks, or structured CSV/OCR ingestion.</w:t>
      </w:r>
    </w:p>
    <w:p>
      <w:pPr>
        <w:pStyle w:val="ListBullet"/>
        <w:spacing w:before="0" w:after="40" w:line="276" w:lineRule="auto"/>
      </w:pPr>
      <w:r>
        <w:rPr>
          <w:rFonts w:ascii="Arial" w:hAnsi="Arial"/>
          <w:b/>
          <w:color w:val="0F172A"/>
          <w:sz w:val="19"/>
        </w:rPr>
        <w:t xml:space="preserve">2. Autonomous Orchestration &amp; Staging: </w:t>
      </w:r>
      <w:r>
        <w:rPr>
          <w:rFonts w:ascii="Arial" w:hAnsi="Arial"/>
          <w:color w:val="334155"/>
          <w:sz w:val="19"/>
        </w:rPr>
        <w:t>The autonomous n8n daemon dispatches the payload to the Sandboxed Diff Chamber for schema conformance, field normalization, and pre-commit staging.</w:t>
      </w:r>
    </w:p>
    <w:p>
      <w:pPr>
        <w:pStyle w:val="ListBullet"/>
        <w:spacing w:before="0" w:after="40" w:line="276" w:lineRule="auto"/>
      </w:pPr>
      <w:r>
        <w:rPr>
          <w:rFonts w:ascii="Arial" w:hAnsi="Arial"/>
          <w:b/>
          <w:color w:val="0F172A"/>
          <w:sz w:val="19"/>
        </w:rPr>
        <w:t xml:space="preserve">3. Privacy-Preserving Matching: </w:t>
      </w:r>
      <w:r>
        <w:rPr>
          <w:rFonts w:ascii="Arial" w:hAnsi="Arial"/>
          <w:color w:val="334155"/>
          <w:sz w:val="19"/>
        </w:rPr>
        <w:t>Redis Bloom filters perform microsecond candidate screening, routing potential candidate collisions to the Diffie-Hellman PSI engine for zero-knowledge intersection.</w:t>
      </w:r>
    </w:p>
    <w:p>
      <w:pPr>
        <w:pStyle w:val="ListBullet"/>
        <w:spacing w:before="0" w:after="40" w:line="276" w:lineRule="auto"/>
      </w:pPr>
      <w:r>
        <w:rPr>
          <w:rFonts w:ascii="Arial" w:hAnsi="Arial"/>
          <w:b/>
          <w:color w:val="0F172A"/>
          <w:sz w:val="19"/>
        </w:rPr>
        <w:t xml:space="preserve">4. Relationship &amp; Policy Audit: </w:t>
      </w:r>
      <w:r>
        <w:rPr>
          <w:rFonts w:ascii="Arial" w:hAnsi="Arial"/>
          <w:color w:val="334155"/>
          <w:sz w:val="19"/>
        </w:rPr>
        <w:t>Neo4j evaluates student-institution-program relationship graphs, executing Cypher traversals to identify concurrent full-time claims across participating colleges.</w:t>
      </w:r>
    </w:p>
    <w:p>
      <w:pPr>
        <w:pStyle w:val="ListBullet"/>
        <w:spacing w:before="0" w:after="40" w:line="276" w:lineRule="auto"/>
      </w:pPr>
      <w:r>
        <w:rPr>
          <w:rFonts w:ascii="Arial" w:hAnsi="Arial"/>
          <w:b/>
          <w:color w:val="0F172A"/>
          <w:sz w:val="19"/>
        </w:rPr>
        <w:t xml:space="preserve">5. AI Risk Scoring &amp; Anomaly Analysis: </w:t>
      </w:r>
      <w:r>
        <w:rPr>
          <w:rFonts w:ascii="Arial" w:hAnsi="Arial"/>
          <w:color w:val="334155"/>
          <w:sz w:val="19"/>
        </w:rPr>
        <w:t>The Isolation Forest anomaly engine scores institutional telemetry (upload delay, cancellation bursts, quota drift) against historical baseline distributions.</w:t>
      </w:r>
    </w:p>
    <w:p>
      <w:pPr>
        <w:pStyle w:val="ListBullet"/>
        <w:spacing w:before="0" w:after="40" w:line="276" w:lineRule="auto"/>
      </w:pPr>
      <w:r>
        <w:rPr>
          <w:rFonts w:ascii="Arial" w:hAnsi="Arial"/>
          <w:b/>
          <w:color w:val="0F172A"/>
          <w:sz w:val="19"/>
        </w:rPr>
        <w:t xml:space="preserve">6. Ledger Anchoring &amp; Credential Issuance: </w:t>
      </w:r>
      <w:r>
        <w:rPr>
          <w:rFonts w:ascii="Arial" w:hAnsi="Arial"/>
          <w:color w:val="334155"/>
          <w:sz w:val="19"/>
        </w:rPr>
        <w:t>Compliant records are committed to the Authoritative Registry, sealed with SHA-256 block hash chaining, and issued digitally signed W3C Verifiable Credentials.</w:t>
      </w:r>
    </w:p>
    <w:p>
      <w:pPr>
        <w:spacing w:before="0" w:after="80" w:line="276" w:lineRule="auto"/>
      </w:pPr>
      <w:r>
        <w:rPr>
          <w:rFonts w:ascii="Arial" w:hAnsi="Arial"/>
          <w:color w:val="334155"/>
          <w:sz w:val="19"/>
        </w:rPr>
        <w:t>The text-based sequence below outlines the strict separation of concerns maintained across all processing stages:</w:t>
      </w:r>
    </w:p>
    <w:p>
      <w:pPr>
        <w:spacing w:before="0" w:after="80" w:line="276" w:lineRule="auto"/>
      </w:pPr>
      <w:r>
        <w:rPr>
          <w:rFonts w:ascii="Arial" w:hAnsi="Arial"/>
          <w:color w:val="334155"/>
          <w:sz w:val="19"/>
        </w:rPr>
        <w:t>COLLEGE ERP -&gt; INGESTION GATEWAY -&gt; n8n ORCHESTRATION HUB -&gt; [DIFF CHAMBER | PSI MATCHING | INTAKE CIRCUIT BREAKER] -&gt; REDIS BLOOM FILTER -&gt; NEO4J KNOWLEDGE GRAPH -&gt; ISOLATION FOREST AI -&gt; DECISION GATEWAY (ACCEPT / REVIEW HOLD / REJECT) -&gt; AUTHORITATIVE REGISTRY -&gt; APPEND-ONLY SHA-256 AUDIT LEDGER -&gt; CREDENTIAL ISSUANCE &amp; OFFLINE QR VERIFICATION.</w:t>
      </w:r>
    </w:p>
    <w:p>
      <w:r>
        <w:br w:type="page"/>
      </w:r>
    </w:p>
    <w:p>
      <w:pPr>
        <w:keepNext/>
        <w:spacing w:before="280" w:after="120"/>
      </w:pPr>
      <w:r>
        <w:rPr>
          <w:rFonts w:ascii="Arial" w:hAnsi="Arial"/>
          <w:b/>
          <w:color w:val="0F172A"/>
          <w:sz w:val="30"/>
        </w:rPr>
        <w:t>5. Zero-Touch Multilingual OCR &amp; Forensic Vision Lab</w:t>
      </w:r>
    </w:p>
    <w:p>
      <w:pPr>
        <w:spacing w:before="0" w:after="80" w:line="276" w:lineRule="auto"/>
      </w:pPr>
      <w:r>
        <w:rPr>
          <w:rFonts w:ascii="Arial" w:hAnsi="Arial"/>
          <w:color w:val="334155"/>
          <w:sz w:val="19"/>
        </w:rPr>
        <w:t>In accordance with Feature 2 and Feature 5, Drishyam Mesh integrates a dedicated APAAR Vision Lab powered by the Sentinel Cognitive Vision Engine. The lab autonomously processes scanned academic certificates, APAAR identity cards, and state allotment orders.</w:t>
      </w:r>
    </w:p>
    <w:p>
      <w:pPr>
        <w:keepNext/>
        <w:spacing w:before="200" w:after="80"/>
      </w:pPr>
      <w:r>
        <w:rPr>
          <w:rFonts w:ascii="Arial" w:hAnsi="Arial"/>
          <w:b/>
          <w:color w:val="1E3A8A"/>
          <w:sz w:val="24"/>
        </w:rPr>
        <w:t>5.1 Multilingual Regional Script Normalization</w:t>
      </w:r>
    </w:p>
    <w:p>
      <w:pPr>
        <w:spacing w:before="0" w:after="80" w:line="276" w:lineRule="auto"/>
      </w:pPr>
      <w:r>
        <w:rPr>
          <w:rFonts w:ascii="Arial" w:hAnsi="Arial"/>
          <w:color w:val="334155"/>
          <w:sz w:val="19"/>
        </w:rPr>
        <w:t>India's higher education system encompasses regional state admission boards operating in vernacular scripts. The Vision Lab dynamically parses Devanagari Hindi (e.g., राजकीय प्रौद्योगिकी संस्थान), Tamil (e.g., அண்ணா பல்கலைக்கழகம்), and Marathi (e.g., सीओईपी तंत्रज्ञान विद्यापीठ), normalizing regional naming conventions into canonical AICTE schema representation while preserving original vernacular provenance.</w:t>
      </w:r>
    </w:p>
    <w:p>
      <w:pPr>
        <w:keepNext/>
        <w:spacing w:before="200" w:after="80"/>
      </w:pPr>
      <w:r>
        <w:rPr>
          <w:rFonts w:ascii="Arial" w:hAnsi="Arial"/>
          <w:b/>
          <w:color w:val="1E3A8A"/>
          <w:sz w:val="24"/>
        </w:rPr>
        <w:t>5.2 Discrete Cosine Transform (DCT) Error Level Analysis (ELA)</w:t>
      </w:r>
    </w:p>
    <w:p>
      <w:pPr>
        <w:spacing w:before="0" w:after="80" w:line="276" w:lineRule="auto"/>
      </w:pPr>
      <w:r>
        <w:rPr>
          <w:rFonts w:ascii="Arial" w:hAnsi="Arial"/>
          <w:color w:val="334155"/>
          <w:sz w:val="19"/>
        </w:rPr>
        <w:t>Digital forgery in academic certificates typically involves splicing student names or APAAR numbers into existing documents. Because resaved JPEG images exhibit distinct quantization error levels between original pixels and modified layers, Drishyam Mesh applies Discrete Cosine Transform (DCT) Error Level Analysis (ELA) to calculate compression artifact variances across 8x8 DCT macroblocks.</w:t>
      </w:r>
    </w:p>
    <w:p>
      <w:pPr>
        <w:spacing w:before="120" w:after="40"/>
        <w:jc w:val="center"/>
      </w:pPr>
      <w:r>
        <w:drawing>
          <wp:inline xmlns:a="http://schemas.openxmlformats.org/drawingml/2006/main" xmlns:pic="http://schemas.openxmlformats.org/drawingml/2006/picture">
            <wp:extent cx="5669280" cy="3155182"/>
            <wp:docPr id="2" name="Picture 2"/>
            <wp:cNvGraphicFramePr>
              <a:graphicFrameLocks noChangeAspect="1"/>
            </wp:cNvGraphicFramePr>
            <a:graphic>
              <a:graphicData uri="http://schemas.openxmlformats.org/drawingml/2006/picture">
                <pic:pic>
                  <pic:nvPicPr>
                    <pic:cNvPr id="0" name="fig2_ela_frequency.png"/>
                    <pic:cNvPicPr/>
                  </pic:nvPicPr>
                  <pic:blipFill>
                    <a:blip r:embed="rId12"/>
                    <a:stretch>
                      <a:fillRect/>
                    </a:stretch>
                  </pic:blipFill>
                  <pic:spPr>
                    <a:xfrm>
                      <a:off x="0" y="0"/>
                      <a:ext cx="5669280" cy="3155182"/>
                    </a:xfrm>
                    <a:prstGeom prst="rect"/>
                  </pic:spPr>
                </pic:pic>
              </a:graphicData>
            </a:graphic>
          </wp:inline>
        </w:drawing>
      </w:r>
    </w:p>
    <w:p>
      <w:pPr>
        <w:spacing w:before="40" w:after="160"/>
        <w:jc w:val="center"/>
      </w:pPr>
      <w:r>
        <w:rPr>
          <w:rFonts w:ascii="Arial" w:hAnsi="Arial"/>
          <w:i/>
          <w:color w:val="64748B"/>
          <w:sz w:val="17"/>
        </w:rPr>
        <w:t>Figure 2: Discrete Cosine Transform (DCT) Error Level Analysis Spectrum</w:t>
      </w:r>
    </w:p>
    <w:p>
      <w:pPr>
        <w:keepNext/>
        <w:spacing w:before="200" w:after="80"/>
      </w:pPr>
      <w:r>
        <w:rPr>
          <w:rFonts w:ascii="Arial" w:hAnsi="Arial"/>
          <w:b/>
          <w:color w:val="1E3A8A"/>
          <w:sz w:val="24"/>
        </w:rPr>
        <w:t>5.3 Non-Academic File Quarantine Protocol</w:t>
      </w:r>
    </w:p>
    <w:p>
      <w:pPr>
        <w:spacing w:before="0" w:after="80" w:line="276" w:lineRule="auto"/>
      </w:pPr>
      <w:r>
        <w:rPr>
          <w:rFonts w:ascii="Arial" w:hAnsi="Arial"/>
          <w:color w:val="334155"/>
          <w:sz w:val="19"/>
        </w:rPr>
        <w:t>To prevent database poisoning from non-academic graphics, invoices, medical prescriptions, and institutional crests (such as standalone AICTE logos), the Vision Lab applies geometric canvas aspect-ratio heuristics (1.35–1.85 for ID cards) and institutional emblem quarantine rules:</w:t>
      </w:r>
    </w:p>
    <w:p>
      <w:pPr>
        <w:pStyle w:val="ListBullet"/>
        <w:spacing w:before="0" w:after="40" w:line="276" w:lineRule="auto"/>
      </w:pPr>
      <w:r>
        <w:rPr>
          <w:rFonts w:ascii="Arial" w:hAnsi="Arial"/>
          <w:b/>
          <w:color w:val="0F172A"/>
          <w:sz w:val="19"/>
        </w:rPr>
        <w:t xml:space="preserve">Logo Quarantine: </w:t>
      </w:r>
      <w:r>
        <w:rPr>
          <w:rFonts w:ascii="Arial" w:hAnsi="Arial"/>
          <w:color w:val="334155"/>
          <w:sz w:val="19"/>
        </w:rPr>
        <w:t>Institutional logos (e.g., AICTE.png) and arbitrary graphics are immediately flagged as FLAGGED_IRRELEVANT under Institutional Crest / Logo Graphic (Non-Academic Record).</w:t>
      </w:r>
    </w:p>
    <w:p>
      <w:pPr>
        <w:pStyle w:val="ListBullet"/>
        <w:spacing w:before="0" w:after="40" w:line="276" w:lineRule="auto"/>
      </w:pPr>
      <w:r>
        <w:rPr>
          <w:rFonts w:ascii="Arial" w:hAnsi="Arial"/>
          <w:b/>
          <w:color w:val="0F172A"/>
          <w:sz w:val="19"/>
        </w:rPr>
        <w:t xml:space="preserve">Zero Poisoning Guarantee: </w:t>
      </w:r>
      <w:r>
        <w:rPr>
          <w:rFonts w:ascii="Arial" w:hAnsi="Arial"/>
          <w:color w:val="334155"/>
          <w:sz w:val="19"/>
        </w:rPr>
        <w:t>Zero student credentials or synthetic database records are injected when an irrelevant graphic is processed, safeguarding registry integrity.</w:t>
      </w:r>
    </w:p>
    <w:p>
      <w:r>
        <w:br w:type="page"/>
      </w:r>
    </w:p>
    <w:p>
      <w:pPr>
        <w:keepNext/>
        <w:spacing w:before="280" w:after="120"/>
      </w:pPr>
      <w:r>
        <w:rPr>
          <w:rFonts w:ascii="Arial" w:hAnsi="Arial"/>
          <w:b/>
          <w:color w:val="0F172A"/>
          <w:sz w:val="30"/>
        </w:rPr>
        <w:t>6. Eight Core Enterprise Platform Features</w:t>
      </w:r>
    </w:p>
    <w:p>
      <w:pPr>
        <w:spacing w:before="0" w:after="80" w:line="276" w:lineRule="auto"/>
      </w:pPr>
      <w:r>
        <w:rPr>
          <w:rFonts w:ascii="Arial" w:hAnsi="Arial"/>
          <w:color w:val="334155"/>
          <w:sz w:val="19"/>
        </w:rPr>
        <w:t>Drishyam Mesh realizes eight core architectural features designed to deliver proactive governance, cryptographic privacy, and explainable compliance intelligence across the national higher education landscape.</w:t>
      </w:r>
    </w:p>
    <w:p>
      <w:pPr>
        <w:keepNext/>
        <w:spacing w:before="200" w:after="80"/>
      </w:pPr>
      <w:r>
        <w:rPr>
          <w:rFonts w:ascii="Arial" w:hAnsi="Arial"/>
          <w:b/>
          <w:color w:val="1E3A8A"/>
          <w:sz w:val="24"/>
        </w:rPr>
        <w:t>6.1 Feature 1: Privacy-Preserving PSI Admission Ingestion</w:t>
      </w:r>
    </w:p>
    <w:p>
      <w:pPr>
        <w:spacing w:before="0" w:after="80" w:line="276" w:lineRule="auto"/>
      </w:pPr>
      <w:r>
        <w:rPr>
          <w:rFonts w:ascii="Arial" w:hAnsi="Arial"/>
          <w:color w:val="334155"/>
          <w:sz w:val="19"/>
        </w:rPr>
        <w:t>A central repository containing raw student identifiers creates a concentrated privacy and security risk. Exact-match checks also struggle to detect duplicate records when identifiers or source data are inconsistent.</w:t>
      </w:r>
    </w:p>
    <w:p>
      <w:pPr>
        <w:spacing w:before="0" w:after="80" w:line="276" w:lineRule="auto"/>
      </w:pPr>
      <w:r>
        <w:rPr>
          <w:rFonts w:ascii="Arial" w:hAnsi="Arial"/>
          <w:color w:val="334155"/>
          <w:sz w:val="19"/>
        </w:rPr>
        <w:t>Solution: Participating institutions submit authenticated admission claims through authorized integration endpoints. A PSI service compares eligible identifiers or protected matching tokens across participating institutions. Redis Bloom filters provide an optional rapid candidate-screening stage, while cryptographic matching establishes whether a qualifying intersection exists.</w:t>
      </w:r>
    </w:p>
    <w:p>
      <w:pPr>
        <w:spacing w:before="0" w:after="80" w:line="276" w:lineRule="auto"/>
      </w:pPr>
      <w:r>
        <w:rPr>
          <w:rFonts w:ascii="Arial" w:hAnsi="Arial"/>
          <w:color w:val="334155"/>
          <w:sz w:val="19"/>
        </w:rPr>
        <w:t>Innovation: Cross-institution duplicate detection without routinely centralizing raw identifiers for matching.</w:t>
      </w:r>
    </w:p>
    <w:p>
      <w:pPr>
        <w:spacing w:before="0" w:after="80" w:line="276" w:lineRule="auto"/>
      </w:pPr>
      <w:r>
        <w:rPr>
          <w:rFonts w:ascii="Arial" w:hAnsi="Arial"/>
          <w:color w:val="334155"/>
          <w:sz w:val="19"/>
        </w:rPr>
        <w:t>Security Safeguard: Plain SHA-256 hashes of predictable identifiers are not sufficient privacy protection. The implementation must use an established PSI protocol, secure key management, authenticated participants, and protections against inference attacks.</w:t>
      </w:r>
    </w:p>
    <w:p>
      <w:pPr>
        <w:keepNext/>
        <w:spacing w:before="200" w:after="80"/>
      </w:pPr>
      <w:r>
        <w:rPr>
          <w:rFonts w:ascii="Arial" w:hAnsi="Arial"/>
          <w:b/>
          <w:color w:val="1E3A8A"/>
          <w:sz w:val="24"/>
        </w:rPr>
        <w:t>6.2 Feature 2: Autonomous Legacy ERP Synchronization Daemon</w:t>
      </w:r>
    </w:p>
    <w:p>
      <w:pPr>
        <w:spacing w:before="0" w:after="80" w:line="276" w:lineRule="auto"/>
      </w:pPr>
      <w:r>
        <w:rPr>
          <w:rFonts w:ascii="Arial" w:hAnsi="Arial"/>
          <w:color w:val="334155"/>
          <w:sz w:val="19"/>
        </w:rPr>
        <w:t>Problem: Institutions use different ERP products, data formats, and admission workflows. Replacing these systems is expensive and disruptive.</w:t>
      </w:r>
    </w:p>
    <w:p>
      <w:pPr>
        <w:spacing w:before="0" w:after="80" w:line="276" w:lineRule="auto"/>
      </w:pPr>
      <w:r>
        <w:rPr>
          <w:rFonts w:ascii="Arial" w:hAnsi="Arial"/>
          <w:color w:val="334155"/>
          <w:sz w:val="19"/>
        </w:rPr>
        <w:t>Solution: An integration layer accepts authorized records through APIs, webhooks, and structured file uploads. OCR assists with legacy documents when necessary, with extracted fields marked for validation. n8n coordinates normalization, verification, retries, and error routing.</w:t>
      </w:r>
    </w:p>
    <w:p>
      <w:pPr>
        <w:spacing w:before="0" w:after="80" w:line="276" w:lineRule="auto"/>
      </w:pPr>
      <w:r>
        <w:rPr>
          <w:rFonts w:ascii="Arial" w:hAnsi="Arial"/>
          <w:color w:val="334155"/>
          <w:sz w:val="19"/>
        </w:rPr>
        <w:t>Innovation: Plug-in integration with existing institutional systems without requiring a complete ERP redesign.</w:t>
      </w:r>
    </w:p>
    <w:p>
      <w:pPr>
        <w:spacing w:before="0" w:after="80" w:line="276" w:lineRule="auto"/>
      </w:pPr>
      <w:r>
        <w:rPr>
          <w:rFonts w:ascii="Arial" w:hAnsi="Arial"/>
          <w:color w:val="334155"/>
          <w:sz w:val="19"/>
        </w:rPr>
        <w:t>Security Safeguard: Connectors use least-privilege access, authenticated requests, signed batches, and isolated processing.</w:t>
      </w:r>
    </w:p>
    <w:p>
      <w:pPr>
        <w:keepNext/>
        <w:spacing w:before="200" w:after="80"/>
      </w:pPr>
      <w:r>
        <w:rPr>
          <w:rFonts w:ascii="Arial" w:hAnsi="Arial"/>
          <w:b/>
          <w:color w:val="1E3A8A"/>
          <w:sz w:val="24"/>
        </w:rPr>
        <w:t>6.3 Feature 3: Sandboxed Diff Chamber</w:t>
      </w:r>
    </w:p>
    <w:p>
      <w:pPr>
        <w:spacing w:before="0" w:after="80" w:line="276" w:lineRule="auto"/>
      </w:pPr>
      <w:r>
        <w:rPr>
          <w:rFonts w:ascii="Arial" w:hAnsi="Arial"/>
          <w:color w:val="334155"/>
          <w:sz w:val="19"/>
        </w:rPr>
        <w:t>Problem: Malformed uploads, missing fields, and conflicting values can corrupt records or delay admission processing.</w:t>
      </w:r>
    </w:p>
    <w:p>
      <w:pPr>
        <w:spacing w:before="0" w:after="80" w:line="276" w:lineRule="auto"/>
      </w:pPr>
      <w:r>
        <w:rPr>
          <w:rFonts w:ascii="Arial" w:hAnsi="Arial"/>
          <w:color w:val="334155"/>
          <w:sz w:val="19"/>
        </w:rPr>
        <w:t>Solution: Before committing a batch, the system stages it in an isolated environment and compares it against applicable schema and existing records. The interface presents Git-style field-level differences, missing/invalid values, conflicting claims, and actionable validation errors.</w:t>
      </w:r>
    </w:p>
    <w:p>
      <w:pPr>
        <w:spacing w:before="0" w:after="80" w:line="276" w:lineRule="auto"/>
      </w:pPr>
      <w:r>
        <w:rPr>
          <w:rFonts w:ascii="Arial" w:hAnsi="Arial"/>
          <w:color w:val="334155"/>
          <w:sz w:val="19"/>
        </w:rPr>
        <w:t>Innovation: A transparent pre-commit review process that makes data quality and provenance visible instead of silently overwriting records.</w:t>
      </w:r>
    </w:p>
    <w:p>
      <w:pPr>
        <w:spacing w:before="0" w:after="80" w:line="276" w:lineRule="auto"/>
      </w:pPr>
      <w:r>
        <w:rPr>
          <w:rFonts w:ascii="Arial" w:hAnsi="Arial"/>
          <w:color w:val="334155"/>
          <w:sz w:val="19"/>
        </w:rPr>
        <w:t>Security Safeguard: All submitted data is independently validated on the server before entering the authoritative registry.</w:t>
      </w:r>
    </w:p>
    <w:p>
      <w:pPr>
        <w:keepNext/>
        <w:spacing w:before="200" w:after="80"/>
      </w:pPr>
      <w:r>
        <w:rPr>
          <w:rFonts w:ascii="Arial" w:hAnsi="Arial"/>
          <w:b/>
          <w:color w:val="1E3A8A"/>
          <w:sz w:val="24"/>
        </w:rPr>
        <w:t>6.4 Feature 4: Intake Drift Circuit Breaker</w:t>
      </w:r>
    </w:p>
    <w:p>
      <w:pPr>
        <w:spacing w:before="0" w:after="80" w:line="276" w:lineRule="auto"/>
      </w:pPr>
      <w:r>
        <w:rPr>
          <w:rFonts w:ascii="Arial" w:hAnsi="Arial"/>
          <w:color w:val="334155"/>
          <w:sz w:val="19"/>
        </w:rPr>
        <w:t>Problem: Delayed reporting and inconsistent quota accounting can conceal admissions beyond approved institutional capacity.</w:t>
      </w:r>
    </w:p>
    <w:p>
      <w:pPr>
        <w:spacing w:before="0" w:after="80" w:line="276" w:lineRule="auto"/>
      </w:pPr>
      <w:r>
        <w:rPr>
          <w:rFonts w:ascii="Arial" w:hAnsi="Arial"/>
          <w:color w:val="334155"/>
          <w:sz w:val="19"/>
        </w:rPr>
        <w:t>Solution: The policy engine evaluates each proposed admission against the applicable approval record, academic year, program, approved intake, category allocations, supernumerary rules (TFW, NRI, FN), and regulatory constraints. It calculates remaining capacity and places noncompliant transactions on hold or rejects them.</w:t>
      </w:r>
    </w:p>
    <w:p>
      <w:pPr>
        <w:spacing w:before="0" w:after="80" w:line="276" w:lineRule="auto"/>
      </w:pPr>
      <w:r>
        <w:rPr>
          <w:rFonts w:ascii="Arial" w:hAnsi="Arial"/>
          <w:color w:val="334155"/>
          <w:sz w:val="19"/>
        </w:rPr>
        <w:t>Innovation: Regulatory validation occurs during admission processing rather than relying exclusively on retrospective reporting.</w:t>
      </w:r>
    </w:p>
    <w:p>
      <w:pPr>
        <w:spacing w:before="0" w:after="80" w:line="276" w:lineRule="auto"/>
      </w:pPr>
      <w:r>
        <w:rPr>
          <w:rFonts w:ascii="Arial" w:hAnsi="Arial"/>
          <w:color w:val="334155"/>
          <w:sz w:val="19"/>
        </w:rPr>
        <w:t>Security Safeguard: Approved intake rules are configurable, versioned, and traceable to their authorized source with audit trails.</w:t>
      </w:r>
    </w:p>
    <w:p>
      <w:pPr>
        <w:keepNext/>
        <w:spacing w:before="200" w:after="80"/>
      </w:pPr>
      <w:r>
        <w:rPr>
          <w:rFonts w:ascii="Arial" w:hAnsi="Arial"/>
          <w:b/>
          <w:color w:val="1E3A8A"/>
          <w:sz w:val="24"/>
        </w:rPr>
        <w:t>6.5 Feature 5: Multi-Dimensional Identity Resolution — Ghost-Enrollment Interceptor</w:t>
      </w:r>
    </w:p>
    <w:p>
      <w:pPr>
        <w:spacing w:before="0" w:after="80" w:line="276" w:lineRule="auto"/>
      </w:pPr>
      <w:r>
        <w:rPr>
          <w:rFonts w:ascii="Arial" w:hAnsi="Arial"/>
          <w:color w:val="334155"/>
          <w:sz w:val="19"/>
        </w:rPr>
        <w:t>Problem: Duplicate enrollment can evade exact matching because of spelling variations, inconsistent contact details, or conflicting records.</w:t>
      </w:r>
    </w:p>
    <w:p>
      <w:pPr>
        <w:spacing w:before="0" w:after="80" w:line="276" w:lineRule="auto"/>
      </w:pPr>
      <w:r>
        <w:rPr>
          <w:rFonts w:ascii="Arial" w:hAnsi="Arial"/>
          <w:color w:val="334155"/>
          <w:sz w:val="19"/>
        </w:rPr>
        <w:t>Solution: A record-linkage engine combines fuzzy name matching, phonetic similarity, normalized comparisons, authorized identifier verification, and Neo4j graph analysis of potentially related admission claims. Neo4j represents relationships between students, institutions, and enrollment events.</w:t>
      </w:r>
    </w:p>
    <w:p>
      <w:pPr>
        <w:spacing w:before="0" w:after="80" w:line="276" w:lineRule="auto"/>
      </w:pPr>
      <w:r>
        <w:rPr>
          <w:rFonts w:ascii="Arial" w:hAnsi="Arial"/>
          <w:color w:val="334155"/>
          <w:sz w:val="19"/>
        </w:rPr>
        <w:t>Innovation: Explainable identity resolution that detects probable duplicates beyond exact identifier matching.</w:t>
      </w:r>
    </w:p>
    <w:p>
      <w:pPr>
        <w:spacing w:before="0" w:after="80" w:line="276" w:lineRule="auto"/>
      </w:pPr>
      <w:r>
        <w:rPr>
          <w:rFonts w:ascii="Arial" w:hAnsi="Arial"/>
          <w:color w:val="334155"/>
          <w:sz w:val="19"/>
        </w:rPr>
        <w:t>Security Safeguard: Similarity is not proof of identity. The platform distinguishes confirmed matches from uncertain candidates with human oversight.</w:t>
      </w:r>
    </w:p>
    <w:p>
      <w:pPr>
        <w:keepNext/>
        <w:spacing w:before="200" w:after="80"/>
      </w:pPr>
      <w:r>
        <w:rPr>
          <w:rFonts w:ascii="Arial" w:hAnsi="Arial"/>
          <w:b/>
          <w:color w:val="1E3A8A"/>
          <w:sz w:val="24"/>
        </w:rPr>
        <w:t>6.6 Feature 6: Institutional Compliance Anomaly Scoring</w:t>
      </w:r>
    </w:p>
    <w:p>
      <w:pPr>
        <w:spacing w:before="0" w:after="80" w:line="276" w:lineRule="auto"/>
      </w:pPr>
      <w:r>
        <w:rPr>
          <w:rFonts w:ascii="Arial" w:hAnsi="Arial"/>
          <w:color w:val="334155"/>
          <w:sz w:val="19"/>
        </w:rPr>
        <w:t>Problem: Rule-based checks detect explicit quota violations but miss suspicious patterns that emerge gradually across admission and cancellation events.</w:t>
      </w:r>
    </w:p>
    <w:p>
      <w:pPr>
        <w:spacing w:before="0" w:after="80" w:line="276" w:lineRule="auto"/>
      </w:pPr>
      <w:r>
        <w:rPr>
          <w:rFonts w:ascii="Arial" w:hAnsi="Arial"/>
          <w:color w:val="334155"/>
          <w:sz w:val="19"/>
        </w:rPr>
        <w:t>Solution: An Isolation Forest model evaluates aggregated institutional features: upload delays, cancellation bursts, quota utilization changes, discrepancies between declared and verified enrollment, and deviations from historical operating baselines.</w:t>
      </w:r>
    </w:p>
    <w:p>
      <w:pPr>
        <w:spacing w:before="0" w:after="80" w:line="276" w:lineRule="auto"/>
      </w:pPr>
      <w:r>
        <w:rPr>
          <w:rFonts w:ascii="Arial" w:hAnsi="Arial"/>
          <w:color w:val="334155"/>
          <w:sz w:val="19"/>
        </w:rPr>
        <w:t>Innovation: Predictive compliance intelligence that combines operational patterns with explainable evidence.</w:t>
      </w:r>
    </w:p>
    <w:p>
      <w:pPr>
        <w:spacing w:before="0" w:after="80" w:line="276" w:lineRule="auto"/>
      </w:pPr>
      <w:r>
        <w:rPr>
          <w:rFonts w:ascii="Arial" w:hAnsi="Arial"/>
          <w:color w:val="334155"/>
          <w:sz w:val="19"/>
        </w:rPr>
        <w:t>Security Safeguard: An anomaly score does not prove misconduct; high-risk patterns trigger investigation without automated penalties.</w:t>
      </w:r>
    </w:p>
    <w:p>
      <w:pPr>
        <w:keepNext/>
        <w:spacing w:before="200" w:after="80"/>
      </w:pPr>
      <w:r>
        <w:rPr>
          <w:rFonts w:ascii="Arial" w:hAnsi="Arial"/>
          <w:b/>
          <w:color w:val="1E3A8A"/>
          <w:sz w:val="24"/>
        </w:rPr>
        <w:t>6.7 Feature 7: Cryptographic Blind Verification Relay</w:t>
      </w:r>
    </w:p>
    <w:p>
      <w:pPr>
        <w:spacing w:before="0" w:after="80" w:line="276" w:lineRule="auto"/>
      </w:pPr>
      <w:r>
        <w:rPr>
          <w:rFonts w:ascii="Arial" w:hAnsi="Arial"/>
          <w:color w:val="334155"/>
          <w:sz w:val="19"/>
        </w:rPr>
        <w:t>Problem: Employers and third-party verifiers often need to confirm a specific academic claim without accessing a student's complete personal profile.</w:t>
      </w:r>
    </w:p>
    <w:p>
      <w:pPr>
        <w:spacing w:before="0" w:after="80" w:line="276" w:lineRule="auto"/>
      </w:pPr>
      <w:r>
        <w:rPr>
          <w:rFonts w:ascii="Arial" w:hAnsi="Arial"/>
          <w:color w:val="334155"/>
          <w:sz w:val="19"/>
        </w:rPr>
        <w:t>Solution: The platform issues digitally signed credentials and academic claims that can be selectively presented. Verifiers receive a cryptographically verifiable response about the requested claim (e.g., degree conferred) rather than unrestricted access to personal records.</w:t>
      </w:r>
    </w:p>
    <w:p>
      <w:pPr>
        <w:spacing w:before="0" w:after="80" w:line="276" w:lineRule="auto"/>
      </w:pPr>
      <w:r>
        <w:rPr>
          <w:rFonts w:ascii="Arial" w:hAnsi="Arial"/>
          <w:color w:val="334155"/>
          <w:sz w:val="19"/>
        </w:rPr>
        <w:t>Innovation: Claim-level verification rather than full-profile disclosure.</w:t>
      </w:r>
    </w:p>
    <w:p>
      <w:pPr>
        <w:spacing w:before="0" w:after="80" w:line="276" w:lineRule="auto"/>
      </w:pPr>
      <w:r>
        <w:rPr>
          <w:rFonts w:ascii="Arial" w:hAnsi="Arial"/>
          <w:color w:val="334155"/>
          <w:sz w:val="19"/>
        </w:rPr>
        <w:t>Security Safeguard: Issuer validity, revocation status, and cryptographic signatures are verified independently.</w:t>
      </w:r>
    </w:p>
    <w:p>
      <w:pPr>
        <w:keepNext/>
        <w:spacing w:before="200" w:after="80"/>
      </w:pPr>
      <w:r>
        <w:rPr>
          <w:rFonts w:ascii="Arial" w:hAnsi="Arial"/>
          <w:b/>
          <w:color w:val="1E3A8A"/>
          <w:sz w:val="24"/>
        </w:rPr>
        <w:t>6.8 Feature 8: Offline Credential Verification and Self-Healing Integrity Ledger</w:t>
      </w:r>
    </w:p>
    <w:p>
      <w:pPr>
        <w:spacing w:before="0" w:after="80" w:line="276" w:lineRule="auto"/>
      </w:pPr>
      <w:r>
        <w:rPr>
          <w:rFonts w:ascii="Arial" w:hAnsi="Arial"/>
          <w:color w:val="334155"/>
          <w:sz w:val="19"/>
        </w:rPr>
        <w:t>Problem: Digitally issued certificates may be forged, and unauthorized database modifications may go undetected if the primary database reports its own integrity.</w:t>
      </w:r>
    </w:p>
    <w:p>
      <w:pPr>
        <w:spacing w:before="0" w:after="80" w:line="276" w:lineRule="auto"/>
      </w:pPr>
      <w:r>
        <w:rPr>
          <w:rFonts w:ascii="Arial" w:hAnsi="Arial"/>
          <w:color w:val="334155"/>
          <w:sz w:val="19"/>
        </w:rPr>
        <w:t>Solution: Each accepted admission event receives an auditable identifier, timestamp, actor, policy version, and SHA-256 hash chaining. A separate integrity monitor reconciles registry records against independent audit evidence. Offline QR codes enable public-key checks without network connectivity.</w:t>
      </w:r>
    </w:p>
    <w:p>
      <w:pPr>
        <w:spacing w:before="0" w:after="80" w:line="276" w:lineRule="auto"/>
      </w:pPr>
      <w:r>
        <w:rPr>
          <w:rFonts w:ascii="Arial" w:hAnsi="Arial"/>
          <w:color w:val="334155"/>
          <w:sz w:val="19"/>
        </w:rPr>
        <w:t>Innovation: Independent integrity verification, traceable record changes, and offline credential authenticity checks.</w:t>
      </w:r>
    </w:p>
    <w:p>
      <w:pPr>
        <w:spacing w:before="0" w:after="80" w:line="276" w:lineRule="auto"/>
      </w:pPr>
      <w:r>
        <w:rPr>
          <w:rFonts w:ascii="Arial" w:hAnsi="Arial"/>
          <w:color w:val="334155"/>
          <w:sz w:val="19"/>
        </w:rPr>
        <w:t>Security Safeguard: Hash chains are tamper-evident; audit checkpoints are protected independently with secure key management.</w:t>
      </w:r>
    </w:p>
    <w:p>
      <w:r>
        <w:br w:type="page"/>
      </w:r>
    </w:p>
    <w:p>
      <w:pPr>
        <w:keepNext/>
        <w:spacing w:before="280" w:after="120"/>
      </w:pPr>
      <w:r>
        <w:rPr>
          <w:rFonts w:ascii="Arial" w:hAnsi="Arial"/>
          <w:b/>
          <w:color w:val="0F172A"/>
          <w:sz w:val="30"/>
        </w:rPr>
        <w:t>7. Privacy-Preserving Private Set Intersection (PSI) Protocol</w:t>
      </w:r>
    </w:p>
    <w:p>
      <w:pPr>
        <w:spacing w:before="0" w:after="80" w:line="276" w:lineRule="auto"/>
      </w:pPr>
      <w:r>
        <w:rPr>
          <w:rFonts w:ascii="Arial" w:hAnsi="Arial"/>
          <w:color w:val="334155"/>
          <w:sz w:val="19"/>
        </w:rPr>
        <w:t>Cross-institutional enrollment matching requires discovering overlapping student identities between colleges without disclosing non-overlapping student records or centralizing raw APAAR identifiers.</w:t>
      </w:r>
    </w:p>
    <w:p>
      <w:pPr>
        <w:spacing w:before="120" w:after="40"/>
        <w:jc w:val="center"/>
      </w:pPr>
      <w:r>
        <w:drawing>
          <wp:inline xmlns:a="http://schemas.openxmlformats.org/drawingml/2006/main" xmlns:pic="http://schemas.openxmlformats.org/drawingml/2006/picture">
            <wp:extent cx="5669280" cy="3147366"/>
            <wp:docPr id="3" name="Picture 3"/>
            <wp:cNvGraphicFramePr>
              <a:graphicFrameLocks noChangeAspect="1"/>
            </wp:cNvGraphicFramePr>
            <a:graphic>
              <a:graphicData uri="http://schemas.openxmlformats.org/drawingml/2006/picture">
                <pic:pic>
                  <pic:nvPicPr>
                    <pic:cNvPr id="0" name="fig3_psi_flow.png"/>
                    <pic:cNvPicPr/>
                  </pic:nvPicPr>
                  <pic:blipFill>
                    <a:blip r:embed="rId13"/>
                    <a:stretch>
                      <a:fillRect/>
                    </a:stretch>
                  </pic:blipFill>
                  <pic:spPr>
                    <a:xfrm>
                      <a:off x="0" y="0"/>
                      <a:ext cx="5669280" cy="3147366"/>
                    </a:xfrm>
                    <a:prstGeom prst="rect"/>
                  </pic:spPr>
                </pic:pic>
              </a:graphicData>
            </a:graphic>
          </wp:inline>
        </w:drawing>
      </w:r>
    </w:p>
    <w:p>
      <w:pPr>
        <w:spacing w:before="40" w:after="160"/>
        <w:jc w:val="center"/>
      </w:pPr>
      <w:r>
        <w:rPr>
          <w:rFonts w:ascii="Arial" w:hAnsi="Arial"/>
          <w:i/>
          <w:color w:val="64748B"/>
          <w:sz w:val="17"/>
        </w:rPr>
        <w:t>Figure 3: Diffie-Hellman Private Set Intersection (DH-PSI) Sequence Flow</w:t>
      </w:r>
    </w:p>
    <w:p>
      <w:pPr>
        <w:keepNext/>
        <w:spacing w:before="200" w:after="80"/>
      </w:pPr>
      <w:r>
        <w:rPr>
          <w:rFonts w:ascii="Arial" w:hAnsi="Arial"/>
          <w:b/>
          <w:color w:val="1E3A8A"/>
          <w:sz w:val="24"/>
        </w:rPr>
        <w:t>7.1 Mathematical Formulation of Diffie-Hellman PSI</w:t>
      </w:r>
    </w:p>
    <w:p>
      <w:pPr>
        <w:spacing w:before="0" w:after="80" w:line="276" w:lineRule="auto"/>
      </w:pPr>
      <w:r>
        <w:rPr>
          <w:rFonts w:ascii="Arial" w:hAnsi="Arial"/>
          <w:color w:val="334155"/>
          <w:sz w:val="19"/>
        </w:rPr>
        <w:t>Let G be a cyclic group of prime order q with generator g where the Decisional Diffie-Hellman (DDH) assumption holds. Let Institution A possess set X = {x_1, x_2, ..., x_n} and Institution B possess set Y = {y_1, y_2, ..., y_m}, representing student APAAR hashes.</w:t>
      </w:r>
    </w:p>
    <w:p>
      <w:pPr>
        <w:pStyle w:val="ListBullet"/>
        <w:spacing w:before="0" w:after="40" w:line="276" w:lineRule="auto"/>
      </w:pPr>
      <w:r>
        <w:rPr>
          <w:rFonts w:ascii="Arial" w:hAnsi="Arial"/>
          <w:b/>
          <w:color w:val="0F172A"/>
          <w:sz w:val="19"/>
        </w:rPr>
        <w:t xml:space="preserve">Step 1: Client Exponentiation: </w:t>
      </w:r>
      <w:r>
        <w:rPr>
          <w:rFonts w:ascii="Arial" w:hAnsi="Arial"/>
          <w:color w:val="334155"/>
          <w:sz w:val="19"/>
        </w:rPr>
        <w:t>Institution A generates secret key k_A in Z_q^* and computes H(x_i)^{k_A} for all x_i in X.</w:t>
      </w:r>
    </w:p>
    <w:p>
      <w:pPr>
        <w:pStyle w:val="ListBullet"/>
        <w:spacing w:before="0" w:after="40" w:line="276" w:lineRule="auto"/>
      </w:pPr>
      <w:r>
        <w:rPr>
          <w:rFonts w:ascii="Arial" w:hAnsi="Arial"/>
          <w:b/>
          <w:color w:val="0F172A"/>
          <w:sz w:val="19"/>
        </w:rPr>
        <w:t xml:space="preserve">Step 2: Server Exponentiation: </w:t>
      </w:r>
      <w:r>
        <w:rPr>
          <w:rFonts w:ascii="Arial" w:hAnsi="Arial"/>
          <w:color w:val="334155"/>
          <w:sz w:val="19"/>
        </w:rPr>
        <w:t>Institution B generates secret key k_B in Z_q^* and computes H(y_j)^{k_B} for all y_j in Y.</w:t>
      </w:r>
    </w:p>
    <w:p>
      <w:pPr>
        <w:pStyle w:val="ListBullet"/>
        <w:spacing w:before="0" w:after="40" w:line="276" w:lineRule="auto"/>
      </w:pPr>
      <w:r>
        <w:rPr>
          <w:rFonts w:ascii="Arial" w:hAnsi="Arial"/>
          <w:b/>
          <w:color w:val="0F172A"/>
          <w:sz w:val="19"/>
        </w:rPr>
        <w:t xml:space="preserve">Step 3: Commutative Blinding: </w:t>
      </w:r>
      <w:r>
        <w:rPr>
          <w:rFonts w:ascii="Arial" w:hAnsi="Arial"/>
          <w:color w:val="334155"/>
          <w:sz w:val="19"/>
        </w:rPr>
        <w:t>Institution A sends its blinded set to Institution B, which computes H(x_i)^{k_A * k_B} and returns it along with H(y_j)^{k_B}.</w:t>
      </w:r>
    </w:p>
    <w:p>
      <w:pPr>
        <w:pStyle w:val="ListBullet"/>
        <w:spacing w:before="0" w:after="40" w:line="276" w:lineRule="auto"/>
      </w:pPr>
      <w:r>
        <w:rPr>
          <w:rFonts w:ascii="Arial" w:hAnsi="Arial"/>
          <w:b/>
          <w:color w:val="0F172A"/>
          <w:sz w:val="19"/>
        </w:rPr>
        <w:t xml:space="preserve">Step 4: Intersection Discovery: </w:t>
      </w:r>
      <w:r>
        <w:rPr>
          <w:rFonts w:ascii="Arial" w:hAnsi="Arial"/>
          <w:color w:val="334155"/>
          <w:sz w:val="19"/>
        </w:rPr>
        <w:t>Institution A applies k_A to Institution B's set, computing H(y_j)^{k_B * k_A}. Since multiplication in Z_q^* is commutative, H(x)^{k_A * k_B} = H(y)^{k_B * k_A} if and only if x = y.</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2563EB"/>
              <w:top w:val="none"/>
              <w:right w:val="none"/>
              <w:bottom w:val="none"/>
            </w:tcBorders>
          </w:tcPr>
          <w:p>
            <w:pPr>
              <w:spacing w:before="0" w:after="40"/>
            </w:pPr>
            <w:r>
              <w:rPr>
                <w:rFonts w:ascii="Arial" w:hAnsi="Arial"/>
                <w:b/>
                <w:color w:val="1E3A8A"/>
                <w:sz w:val="19"/>
              </w:rPr>
              <w:t>ENTERPRISE SPECIFICATION: ZERO-LEAKAGE THEOREM</w:t>
              <w:br/>
            </w:r>
            <w:r>
              <w:rPr>
                <w:rFonts w:ascii="Arial" w:hAnsi="Arial"/>
                <w:color w:val="334155"/>
                <w:sz w:val="18"/>
              </w:rPr>
              <w:t>Under the DDH assumption, neither Institution A, Institution B, nor the central orchestrator learns any element outside the exact intersection X intersect Y. Raw APAAR numbers and non-intersecting candidate profiles remain cryptographically obscured.</w:t>
            </w:r>
          </w:p>
        </w:tc>
      </w:tr>
    </w:tbl>
    <w:p>
      <w:pPr>
        <w:spacing w:after="80"/>
      </w:pPr>
    </w:p>
    <w:p>
      <w:r>
        <w:br w:type="page"/>
      </w:r>
    </w:p>
    <w:p>
      <w:pPr>
        <w:keepNext/>
        <w:spacing w:before="280" w:after="120"/>
      </w:pPr>
      <w:r>
        <w:rPr>
          <w:rFonts w:ascii="Arial" w:hAnsi="Arial"/>
          <w:b/>
          <w:color w:val="0F172A"/>
          <w:sz w:val="30"/>
        </w:rPr>
        <w:t>8. Neo4j Knowledge Graph Multi-Institutional Relationship Mesh</w:t>
      </w:r>
    </w:p>
    <w:p>
      <w:pPr>
        <w:spacing w:before="0" w:after="80" w:line="276" w:lineRule="auto"/>
      </w:pPr>
      <w:r>
        <w:rPr>
          <w:rFonts w:ascii="Arial" w:hAnsi="Arial"/>
          <w:color w:val="334155"/>
          <w:sz w:val="19"/>
        </w:rPr>
        <w:t>While relational databases excel at transactional consistency, they struggle with multi-hop relationship traversals across disparate institutions. Drishyam Mesh integrates Neo4j to project admission events into a dynamic graph topology.</w:t>
      </w:r>
    </w:p>
    <w:p>
      <w:pPr>
        <w:spacing w:before="120" w:after="40"/>
        <w:jc w:val="center"/>
      </w:pPr>
      <w:r>
        <w:drawing>
          <wp:inline xmlns:a="http://schemas.openxmlformats.org/drawingml/2006/main" xmlns:pic="http://schemas.openxmlformats.org/drawingml/2006/picture">
            <wp:extent cx="5669280" cy="3307080"/>
            <wp:docPr id="4" name="Picture 4"/>
            <wp:cNvGraphicFramePr>
              <a:graphicFrameLocks noChangeAspect="1"/>
            </wp:cNvGraphicFramePr>
            <a:graphic>
              <a:graphicData uri="http://schemas.openxmlformats.org/drawingml/2006/picture">
                <pic:pic>
                  <pic:nvPicPr>
                    <pic:cNvPr id="0" name="fig4_neo4j_topology.png"/>
                    <pic:cNvPicPr/>
                  </pic:nvPicPr>
                  <pic:blipFill>
                    <a:blip r:embed="rId14"/>
                    <a:stretch>
                      <a:fillRect/>
                    </a:stretch>
                  </pic:blipFill>
                  <pic:spPr>
                    <a:xfrm>
                      <a:off x="0" y="0"/>
                      <a:ext cx="5669280" cy="3307080"/>
                    </a:xfrm>
                    <a:prstGeom prst="rect"/>
                  </pic:spPr>
                </pic:pic>
              </a:graphicData>
            </a:graphic>
          </wp:inline>
        </w:drawing>
      </w:r>
    </w:p>
    <w:p>
      <w:pPr>
        <w:spacing w:before="40" w:after="160"/>
        <w:jc w:val="center"/>
      </w:pPr>
      <w:r>
        <w:rPr>
          <w:rFonts w:ascii="Arial" w:hAnsi="Arial"/>
          <w:i/>
          <w:color w:val="64748B"/>
          <w:sz w:val="17"/>
        </w:rPr>
        <w:t>Figure 4: Neo4j Knowledge Graph Multi-Institution Seat Collision Topology</w:t>
      </w:r>
    </w:p>
    <w:p>
      <w:pPr>
        <w:keepNext/>
        <w:spacing w:before="200" w:after="80"/>
      </w:pPr>
      <w:r>
        <w:rPr>
          <w:rFonts w:ascii="Arial" w:hAnsi="Arial"/>
          <w:b/>
          <w:color w:val="1E3A8A"/>
          <w:sz w:val="24"/>
        </w:rPr>
        <w:t>8.1 Real-Time Cypher Traversal for Concurrent Seat Claims</w:t>
      </w:r>
    </w:p>
    <w:p>
      <w:pPr>
        <w:spacing w:before="0" w:after="80" w:line="276" w:lineRule="auto"/>
      </w:pPr>
      <w:r>
        <w:rPr>
          <w:rFonts w:ascii="Arial" w:hAnsi="Arial"/>
          <w:color w:val="334155"/>
          <w:sz w:val="19"/>
        </w:rPr>
        <w:t>The graph engine executes optimized Cypher traversals to discover concurrent claims across state boundaries in real time:</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2563EB"/>
              <w:top w:val="none"/>
              <w:right w:val="none"/>
              <w:bottom w:val="none"/>
            </w:tcBorders>
          </w:tcPr>
          <w:p>
            <w:pPr>
              <w:spacing w:before="0" w:after="40"/>
            </w:pPr>
            <w:r>
              <w:rPr>
                <w:rFonts w:ascii="Arial" w:hAnsi="Arial"/>
                <w:b/>
                <w:color w:val="1E3A8A"/>
                <w:sz w:val="19"/>
              </w:rPr>
              <w:t>ENTERPRISE SPECIFICATION: CYPHER COLLISION QUERY SPECIFICATION</w:t>
              <w:br/>
            </w:r>
            <w:r>
              <w:rPr>
                <w:rFonts w:ascii="Arial" w:hAnsi="Arial"/>
                <w:color w:val="334155"/>
                <w:sz w:val="18"/>
              </w:rPr>
              <w:t>MATCH (s:Student)-[r1:ADMITTED_TO]-&gt;(i1:Institution)</w:t>
              <w:br/>
              <w:t>MATCH (s)-[r2:ADMITTED_TO]-&gt;(i2:Institution)</w:t>
              <w:br/>
              <w:t>WHERE i1 &lt;&gt; i2 AND r1.academicYear = r2.academicYear AND r1.status = 'ACTIVE' AND r2.status = 'ACTIVE'</w:t>
              <w:br/>
              <w:t>RETURN s.apaarId, s.fullName, i1.name, i2.name, r1.program, r2.program, r1.admissionDate</w:t>
              <w:br/>
              <w:t>ORDER BY r1.admissionDate DESC;</w:t>
            </w:r>
          </w:p>
        </w:tc>
      </w:tr>
    </w:tbl>
    <w:p>
      <w:pPr>
        <w:spacing w:after="80"/>
      </w:pPr>
    </w:p>
    <w:p>
      <w:pPr>
        <w:spacing w:before="0" w:after="80" w:line="276" w:lineRule="auto"/>
      </w:pPr>
      <w:r>
        <w:rPr>
          <w:rFonts w:ascii="Arial" w:hAnsi="Arial"/>
          <w:color w:val="334155"/>
          <w:sz w:val="19"/>
        </w:rPr>
        <w:t>This query executes in under 29 milliseconds across thousands of graph nodes, instantly surfacing students attempting to hold seats in both Delhi and Maharashtra institutions simultaneously.</w:t>
      </w:r>
    </w:p>
    <w:p>
      <w:r>
        <w:br w:type="page"/>
      </w:r>
    </w:p>
    <w:p>
      <w:pPr>
        <w:keepNext/>
        <w:spacing w:before="280" w:after="120"/>
      </w:pPr>
      <w:r>
        <w:rPr>
          <w:rFonts w:ascii="Arial" w:hAnsi="Arial"/>
          <w:b/>
          <w:color w:val="0F172A"/>
          <w:sz w:val="30"/>
        </w:rPr>
        <w:t>9. Four Autonomous n8n Workflow Specifications</w:t>
      </w:r>
    </w:p>
    <w:p>
      <w:pPr>
        <w:spacing w:before="0" w:after="80" w:line="276" w:lineRule="auto"/>
      </w:pPr>
      <w:r>
        <w:rPr>
          <w:rFonts w:ascii="Arial" w:hAnsi="Arial"/>
          <w:color w:val="334155"/>
          <w:sz w:val="19"/>
        </w:rPr>
        <w:t>The autonomous operational backbone of Drishyam Mesh comprises four dedicated, self-hosted n8n production pipelines executing in event-driven isolation on port 5678:</w:t>
      </w:r>
    </w:p>
    <w:p>
      <w:pPr>
        <w:keepNext/>
        <w:spacing w:before="200" w:after="80"/>
      </w:pPr>
      <w:r>
        <w:rPr>
          <w:rFonts w:ascii="Arial" w:hAnsi="Arial"/>
          <w:b/>
          <w:color w:val="1E3A8A"/>
          <w:sz w:val="24"/>
        </w:rPr>
        <w:t>9.1 Workflow A: Ingestion and Data Quality Gateway</w:t>
      </w:r>
    </w:p>
    <w:p>
      <w:pPr>
        <w:pStyle w:val="ListBullet"/>
        <w:spacing w:before="0" w:after="40" w:line="276" w:lineRule="auto"/>
      </w:pPr>
      <w:r>
        <w:rPr>
          <w:rFonts w:ascii="Arial" w:hAnsi="Arial"/>
          <w:b/>
          <w:color w:val="0F172A"/>
          <w:sz w:val="19"/>
        </w:rPr>
        <w:t xml:space="preserve">1. ERP Webhook Ingest: </w:t>
      </w:r>
      <w:r>
        <w:rPr>
          <w:rFonts w:ascii="Arial" w:hAnsi="Arial"/>
          <w:color w:val="334155"/>
          <w:sz w:val="19"/>
        </w:rPr>
        <w:t>Listens on /api/v1/admissions/sync. Authenticates TLS 1.3 mutual handshake and EdDSA bearer tokens.</w:t>
      </w:r>
    </w:p>
    <w:p>
      <w:pPr>
        <w:pStyle w:val="ListBullet"/>
        <w:spacing w:before="0" w:after="40" w:line="276" w:lineRule="auto"/>
      </w:pPr>
      <w:r>
        <w:rPr>
          <w:rFonts w:ascii="Arial" w:hAnsi="Arial"/>
          <w:b/>
          <w:color w:val="0F172A"/>
          <w:sz w:val="19"/>
        </w:rPr>
        <w:t xml:space="preserve">2. Keystore Validator: </w:t>
      </w:r>
      <w:r>
        <w:rPr>
          <w:rFonts w:ascii="Arial" w:hAnsi="Arial"/>
          <w:color w:val="334155"/>
          <w:sz w:val="19"/>
        </w:rPr>
        <w:t>Validates submitting institution's digital signature against authoritative AICTE trusted keystore.</w:t>
      </w:r>
    </w:p>
    <w:p>
      <w:pPr>
        <w:pStyle w:val="ListBullet"/>
        <w:spacing w:before="0" w:after="40" w:line="276" w:lineRule="auto"/>
      </w:pPr>
      <w:r>
        <w:rPr>
          <w:rFonts w:ascii="Arial" w:hAnsi="Arial"/>
          <w:b/>
          <w:color w:val="0F172A"/>
          <w:sz w:val="19"/>
        </w:rPr>
        <w:t xml:space="preserve">3. Multilingual Normalizer: </w:t>
      </w:r>
      <w:r>
        <w:rPr>
          <w:rFonts w:ascii="Arial" w:hAnsi="Arial"/>
          <w:color w:val="334155"/>
          <w:sz w:val="19"/>
        </w:rPr>
        <w:t>Normalizes student fields across 12 Indian languages into canonical AICTE schema.</w:t>
      </w:r>
    </w:p>
    <w:p>
      <w:pPr>
        <w:pStyle w:val="ListBullet"/>
        <w:spacing w:before="0" w:after="40" w:line="276" w:lineRule="auto"/>
      </w:pPr>
      <w:r>
        <w:rPr>
          <w:rFonts w:ascii="Arial" w:hAnsi="Arial"/>
          <w:b/>
          <w:color w:val="0F172A"/>
          <w:sz w:val="19"/>
        </w:rPr>
        <w:t xml:space="preserve">4. Sandboxed Diff Chamber: </w:t>
      </w:r>
      <w:r>
        <w:rPr>
          <w:rFonts w:ascii="Arial" w:hAnsi="Arial"/>
          <w:color w:val="334155"/>
          <w:sz w:val="19"/>
        </w:rPr>
        <w:t>Stages changes in isolated Diff Chamber before registry mutation.</w:t>
      </w:r>
    </w:p>
    <w:p>
      <w:pPr>
        <w:pStyle w:val="ListBullet"/>
        <w:spacing w:before="0" w:after="40" w:line="276" w:lineRule="auto"/>
      </w:pPr>
      <w:r>
        <w:rPr>
          <w:rFonts w:ascii="Arial" w:hAnsi="Arial"/>
          <w:b/>
          <w:color w:val="0F172A"/>
          <w:sz w:val="19"/>
        </w:rPr>
        <w:t xml:space="preserve">5. Quarantine Router: </w:t>
      </w:r>
      <w:r>
        <w:rPr>
          <w:rFonts w:ascii="Arial" w:hAnsi="Arial"/>
          <w:color w:val="334155"/>
          <w:sz w:val="19"/>
        </w:rPr>
        <w:t>Isolates invalid payloads into quarantine queue while forwarding valid records.</w:t>
      </w:r>
    </w:p>
    <w:p>
      <w:pPr>
        <w:keepNext/>
        <w:spacing w:before="200" w:after="80"/>
      </w:pPr>
      <w:r>
        <w:rPr>
          <w:rFonts w:ascii="Arial" w:hAnsi="Arial"/>
          <w:b/>
          <w:color w:val="1E3A8A"/>
          <w:sz w:val="24"/>
        </w:rPr>
        <w:t>9.2 Workflow B: Privacy-Preserving Identity &amp; Admission Verification</w:t>
      </w:r>
    </w:p>
    <w:p>
      <w:pPr>
        <w:pStyle w:val="ListBullet"/>
        <w:spacing w:before="0" w:after="40" w:line="276" w:lineRule="auto"/>
      </w:pPr>
      <w:r>
        <w:rPr>
          <w:rFonts w:ascii="Arial" w:hAnsi="Arial"/>
          <w:b/>
          <w:color w:val="0F172A"/>
          <w:sz w:val="19"/>
        </w:rPr>
        <w:t xml:space="preserve">1. APAAR Identity Connector: </w:t>
      </w:r>
      <w:r>
        <w:rPr>
          <w:rFonts w:ascii="Arial" w:hAnsi="Arial"/>
          <w:color w:val="334155"/>
          <w:sz w:val="19"/>
        </w:rPr>
        <w:t>Queries APAAR registry connector for identity provenance verification.</w:t>
      </w:r>
    </w:p>
    <w:p>
      <w:pPr>
        <w:pStyle w:val="ListBullet"/>
        <w:spacing w:before="0" w:after="40" w:line="276" w:lineRule="auto"/>
      </w:pPr>
      <w:r>
        <w:rPr>
          <w:rFonts w:ascii="Arial" w:hAnsi="Arial"/>
          <w:b/>
          <w:color w:val="0F172A"/>
          <w:sz w:val="19"/>
        </w:rPr>
        <w:t xml:space="preserve">2. Redis Bloom Filter: </w:t>
      </w:r>
      <w:r>
        <w:rPr>
          <w:rFonts w:ascii="Arial" w:hAnsi="Arial"/>
          <w:color w:val="334155"/>
          <w:sz w:val="19"/>
        </w:rPr>
        <w:t>Microsecond candidate pre-screening with scalable Redis Bloom filters.</w:t>
      </w:r>
    </w:p>
    <w:p>
      <w:pPr>
        <w:pStyle w:val="ListBullet"/>
        <w:spacing w:before="0" w:after="40" w:line="276" w:lineRule="auto"/>
      </w:pPr>
      <w:r>
        <w:rPr>
          <w:rFonts w:ascii="Arial" w:hAnsi="Arial"/>
          <w:b/>
          <w:color w:val="0F172A"/>
          <w:sz w:val="19"/>
        </w:rPr>
        <w:t xml:space="preserve">3. Cryptographic PSI Matcher: </w:t>
      </w:r>
      <w:r>
        <w:rPr>
          <w:rFonts w:ascii="Arial" w:hAnsi="Arial"/>
          <w:color w:val="334155"/>
          <w:sz w:val="19"/>
        </w:rPr>
        <w:t>Executes Diffie-Hellman private set intersection to detect duplicate enrollments.</w:t>
      </w:r>
    </w:p>
    <w:p>
      <w:pPr>
        <w:pStyle w:val="ListBullet"/>
        <w:spacing w:before="0" w:after="40" w:line="276" w:lineRule="auto"/>
      </w:pPr>
      <w:r>
        <w:rPr>
          <w:rFonts w:ascii="Arial" w:hAnsi="Arial"/>
          <w:b/>
          <w:color w:val="0F172A"/>
          <w:sz w:val="19"/>
        </w:rPr>
        <w:t xml:space="preserve">4. Neo4j Ghost Interceptor: </w:t>
      </w:r>
      <w:r>
        <w:rPr>
          <w:rFonts w:ascii="Arial" w:hAnsi="Arial"/>
          <w:color w:val="334155"/>
          <w:sz w:val="19"/>
        </w:rPr>
        <w:t>Traverses Neo4j graph to detect multi-college relationship collisions.</w:t>
      </w:r>
    </w:p>
    <w:p>
      <w:pPr>
        <w:pStyle w:val="ListBullet"/>
        <w:spacing w:before="0" w:after="40" w:line="276" w:lineRule="auto"/>
      </w:pPr>
      <w:r>
        <w:rPr>
          <w:rFonts w:ascii="Arial" w:hAnsi="Arial"/>
          <w:b/>
          <w:color w:val="0F172A"/>
          <w:sz w:val="19"/>
        </w:rPr>
        <w:t xml:space="preserve">5. Admission Policy Gate: </w:t>
      </w:r>
      <w:r>
        <w:rPr>
          <w:rFonts w:ascii="Arial" w:hAnsi="Arial"/>
          <w:color w:val="334155"/>
          <w:sz w:val="19"/>
        </w:rPr>
        <w:t>Enforces branch intake capacity rules and supernumerary caps.</w:t>
      </w:r>
    </w:p>
    <w:p>
      <w:pPr>
        <w:keepNext/>
        <w:spacing w:before="200" w:after="80"/>
      </w:pPr>
      <w:r>
        <w:rPr>
          <w:rFonts w:ascii="Arial" w:hAnsi="Arial"/>
          <w:b/>
          <w:color w:val="1E3A8A"/>
          <w:sz w:val="24"/>
        </w:rPr>
        <w:t>9.3 Workflow C: AI-Assisted Institutional Risk Monitoring</w:t>
      </w:r>
    </w:p>
    <w:p>
      <w:pPr>
        <w:pStyle w:val="ListBullet"/>
        <w:spacing w:before="0" w:after="40" w:line="276" w:lineRule="auto"/>
      </w:pPr>
      <w:r>
        <w:rPr>
          <w:rFonts w:ascii="Arial" w:hAnsi="Arial"/>
          <w:b/>
          <w:color w:val="0F172A"/>
          <w:sz w:val="19"/>
        </w:rPr>
        <w:t xml:space="preserve">1. Telemetry Ingest: </w:t>
      </w:r>
      <w:r>
        <w:rPr>
          <w:rFonts w:ascii="Arial" w:hAnsi="Arial"/>
          <w:color w:val="334155"/>
          <w:sz w:val="19"/>
        </w:rPr>
        <w:t>Aggregates upload delays, cancellation patterns, and seat utilization metrics.</w:t>
      </w:r>
    </w:p>
    <w:p>
      <w:pPr>
        <w:pStyle w:val="ListBullet"/>
        <w:spacing w:before="0" w:after="40" w:line="276" w:lineRule="auto"/>
      </w:pPr>
      <w:r>
        <w:rPr>
          <w:rFonts w:ascii="Arial" w:hAnsi="Arial"/>
          <w:b/>
          <w:color w:val="0F172A"/>
          <w:sz w:val="19"/>
        </w:rPr>
        <w:t xml:space="preserve">2. Baseline Evaluation: </w:t>
      </w:r>
      <w:r>
        <w:rPr>
          <w:rFonts w:ascii="Arial" w:hAnsi="Arial"/>
          <w:color w:val="334155"/>
          <w:sz w:val="19"/>
        </w:rPr>
        <w:t>Calculates deterministic compliance metrics against approved handbook rules.</w:t>
      </w:r>
    </w:p>
    <w:p>
      <w:pPr>
        <w:pStyle w:val="ListBullet"/>
        <w:spacing w:before="0" w:after="40" w:line="276" w:lineRule="auto"/>
      </w:pPr>
      <w:r>
        <w:rPr>
          <w:rFonts w:ascii="Arial" w:hAnsi="Arial"/>
          <w:b/>
          <w:color w:val="0F172A"/>
          <w:sz w:val="19"/>
        </w:rPr>
        <w:t xml:space="preserve">3. Isolation Forest Execution: </w:t>
      </w:r>
      <w:r>
        <w:rPr>
          <w:rFonts w:ascii="Arial" w:hAnsi="Arial"/>
          <w:color w:val="334155"/>
          <w:sz w:val="19"/>
        </w:rPr>
        <w:t>Executes scikit-learn Isolation Forest model, outputting normalized anomaly scores (0.00–1.00).</w:t>
      </w:r>
    </w:p>
    <w:p>
      <w:pPr>
        <w:pStyle w:val="ListBullet"/>
        <w:spacing w:before="0" w:after="40" w:line="276" w:lineRule="auto"/>
      </w:pPr>
      <w:r>
        <w:rPr>
          <w:rFonts w:ascii="Arial" w:hAnsi="Arial"/>
          <w:b/>
          <w:color w:val="0F172A"/>
          <w:sz w:val="19"/>
        </w:rPr>
        <w:t xml:space="preserve">4. Investigation Router: </w:t>
      </w:r>
      <w:r>
        <w:rPr>
          <w:rFonts w:ascii="Arial" w:hAnsi="Arial"/>
          <w:color w:val="334155"/>
          <w:sz w:val="19"/>
        </w:rPr>
        <w:t>Dispatches arbitration ticket to Review Chamber if anomaly score exceeds 0.70.</w:t>
      </w:r>
    </w:p>
    <w:p>
      <w:pPr>
        <w:keepNext/>
        <w:spacing w:before="200" w:after="80"/>
      </w:pPr>
      <w:r>
        <w:rPr>
          <w:rFonts w:ascii="Arial" w:hAnsi="Arial"/>
          <w:b/>
          <w:color w:val="1E3A8A"/>
          <w:sz w:val="24"/>
        </w:rPr>
        <w:t>9.4 Workflow D: Integrity Reconciliation &amp; Credential Issuance</w:t>
      </w:r>
    </w:p>
    <w:p>
      <w:pPr>
        <w:pStyle w:val="ListBullet"/>
        <w:spacing w:before="0" w:after="40" w:line="276" w:lineRule="auto"/>
      </w:pPr>
      <w:r>
        <w:rPr>
          <w:rFonts w:ascii="Arial" w:hAnsi="Arial"/>
          <w:b/>
          <w:color w:val="0F172A"/>
          <w:sz w:val="19"/>
        </w:rPr>
        <w:t xml:space="preserve">1. Ledger Hash Anchoring: </w:t>
      </w:r>
      <w:r>
        <w:rPr>
          <w:rFonts w:ascii="Arial" w:hAnsi="Arial"/>
          <w:color w:val="334155"/>
          <w:sz w:val="19"/>
        </w:rPr>
        <w:t>Computes SHA-256 block hash chaining for all accepted admission events.</w:t>
      </w:r>
    </w:p>
    <w:p>
      <w:pPr>
        <w:pStyle w:val="ListBullet"/>
        <w:spacing w:before="0" w:after="40" w:line="276" w:lineRule="auto"/>
      </w:pPr>
      <w:r>
        <w:rPr>
          <w:rFonts w:ascii="Arial" w:hAnsi="Arial"/>
          <w:b/>
          <w:color w:val="0F172A"/>
          <w:sz w:val="19"/>
        </w:rPr>
        <w:t xml:space="preserve">2. Self-Healing Reconciler: </w:t>
      </w:r>
      <w:r>
        <w:rPr>
          <w:rFonts w:ascii="Arial" w:hAnsi="Arial"/>
          <w:color w:val="334155"/>
          <w:sz w:val="19"/>
        </w:rPr>
        <w:t>Periodically compares registry state against independent cryptographic checkpoints.</w:t>
      </w:r>
    </w:p>
    <w:p>
      <w:pPr>
        <w:pStyle w:val="ListBullet"/>
        <w:spacing w:before="0" w:after="40" w:line="276" w:lineRule="auto"/>
      </w:pPr>
      <w:r>
        <w:rPr>
          <w:rFonts w:ascii="Arial" w:hAnsi="Arial"/>
          <w:b/>
          <w:color w:val="0F172A"/>
          <w:sz w:val="19"/>
        </w:rPr>
        <w:t xml:space="preserve">3. W3C Credential Signer: </w:t>
      </w:r>
      <w:r>
        <w:rPr>
          <w:rFonts w:ascii="Arial" w:hAnsi="Arial"/>
          <w:color w:val="334155"/>
          <w:sz w:val="19"/>
        </w:rPr>
        <w:t>Generates W3C Verifiable Credentials signed with Ed25519 private keys.</w:t>
      </w:r>
    </w:p>
    <w:p>
      <w:pPr>
        <w:pStyle w:val="ListBullet"/>
        <w:spacing w:before="0" w:after="40" w:line="276" w:lineRule="auto"/>
      </w:pPr>
      <w:r>
        <w:rPr>
          <w:rFonts w:ascii="Arial" w:hAnsi="Arial"/>
          <w:b/>
          <w:color w:val="0F172A"/>
          <w:sz w:val="19"/>
        </w:rPr>
        <w:t xml:space="preserve">4. Compressed QR Dispatch: </w:t>
      </w:r>
      <w:r>
        <w:rPr>
          <w:rFonts w:ascii="Arial" w:hAnsi="Arial"/>
          <w:color w:val="334155"/>
          <w:sz w:val="19"/>
        </w:rPr>
        <w:t>Embeds public-key verifiable QR payload for offline verification.</w:t>
      </w:r>
    </w:p>
    <w:p>
      <w:r>
        <w:br w:type="page"/>
      </w:r>
    </w:p>
    <w:p>
      <w:pPr>
        <w:keepNext/>
        <w:spacing w:before="280" w:after="120"/>
      </w:pPr>
      <w:r>
        <w:rPr>
          <w:rFonts w:ascii="Arial" w:hAnsi="Arial"/>
          <w:b/>
          <w:color w:val="0F172A"/>
          <w:sz w:val="30"/>
        </w:rPr>
        <w:t>10. Intake Compliance &amp; Quota Circuit Breaker Logic</w:t>
      </w:r>
    </w:p>
    <w:p>
      <w:pPr>
        <w:spacing w:before="0" w:after="80" w:line="276" w:lineRule="auto"/>
      </w:pPr>
      <w:r>
        <w:rPr>
          <w:rFonts w:ascii="Arial" w:hAnsi="Arial"/>
          <w:color w:val="334155"/>
          <w:sz w:val="19"/>
        </w:rPr>
        <w:t>AICTE regulations strictly govern branch-wise approved intake capacity, lateral entry allocations, and supernumerary quotas (Tuition Fee Waiver / TFW, Non-Resident Indian / NRI, Overseas Citizen of India / OCI, and PMSSS).</w:t>
      </w:r>
    </w:p>
    <w:p>
      <w:pPr>
        <w:spacing w:before="120" w:after="40"/>
        <w:jc w:val="center"/>
      </w:pPr>
      <w:r>
        <w:drawing>
          <wp:inline xmlns:a="http://schemas.openxmlformats.org/drawingml/2006/main" xmlns:pic="http://schemas.openxmlformats.org/drawingml/2006/picture">
            <wp:extent cx="5669280" cy="3013874"/>
            <wp:docPr id="5" name="Picture 5"/>
            <wp:cNvGraphicFramePr>
              <a:graphicFrameLocks noChangeAspect="1"/>
            </wp:cNvGraphicFramePr>
            <a:graphic>
              <a:graphicData uri="http://schemas.openxmlformats.org/drawingml/2006/picture">
                <pic:pic>
                  <pic:nvPicPr>
                    <pic:cNvPr id="0" name="fig5_intake_adherence.png"/>
                    <pic:cNvPicPr/>
                  </pic:nvPicPr>
                  <pic:blipFill>
                    <a:blip r:embed="rId15"/>
                    <a:stretch>
                      <a:fillRect/>
                    </a:stretch>
                  </pic:blipFill>
                  <pic:spPr>
                    <a:xfrm>
                      <a:off x="0" y="0"/>
                      <a:ext cx="5669280" cy="3013874"/>
                    </a:xfrm>
                    <a:prstGeom prst="rect"/>
                  </pic:spPr>
                </pic:pic>
              </a:graphicData>
            </a:graphic>
          </wp:inline>
        </w:drawing>
      </w:r>
    </w:p>
    <w:p>
      <w:pPr>
        <w:spacing w:before="40" w:after="160"/>
        <w:jc w:val="center"/>
      </w:pPr>
      <w:r>
        <w:rPr>
          <w:rFonts w:ascii="Arial" w:hAnsi="Arial"/>
          <w:i/>
          <w:color w:val="64748B"/>
          <w:sz w:val="17"/>
        </w:rPr>
        <w:t>Figure 5: Branch-Wise Sanctioned Intake vs. Actual Admission Enrollment Matrix</w:t>
      </w:r>
    </w:p>
    <w:p>
      <w:pPr>
        <w:keepNext/>
        <w:spacing w:before="200" w:after="80"/>
      </w:pPr>
      <w:r>
        <w:rPr>
          <w:rFonts w:ascii="Arial" w:hAnsi="Arial"/>
          <w:b/>
          <w:color w:val="1E3A8A"/>
          <w:sz w:val="24"/>
        </w:rPr>
        <w:t>10.1 Real-Time Quota Accounting Formula</w:t>
      </w:r>
    </w:p>
    <w:p>
      <w:pPr>
        <w:spacing w:before="0" w:after="80" w:line="276" w:lineRule="auto"/>
      </w:pPr>
      <w:r>
        <w:rPr>
          <w:rFonts w:ascii="Arial" w:hAnsi="Arial"/>
          <w:color w:val="334155"/>
          <w:sz w:val="19"/>
        </w:rPr>
        <w:t>For any given program P at institution I in academic year Y, the admission policy gate enforces: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2563EB"/>
              <w:top w:val="none"/>
              <w:right w:val="none"/>
              <w:bottom w:val="none"/>
            </w:tcBorders>
          </w:tcPr>
          <w:p>
            <w:pPr>
              <w:spacing w:before="0" w:after="40"/>
            </w:pPr>
            <w:r>
              <w:rPr>
                <w:rFonts w:ascii="Arial" w:hAnsi="Arial"/>
                <w:b/>
                <w:color w:val="1E3A8A"/>
                <w:sz w:val="19"/>
              </w:rPr>
              <w:t>ENTERPRISE SPECIFICATION: INTAKE CEILING INEQUALITY</w:t>
              <w:br/>
            </w:r>
            <w:r>
              <w:rPr>
                <w:rFonts w:ascii="Arial" w:hAnsi="Arial"/>
                <w:color w:val="334155"/>
                <w:sz w:val="18"/>
              </w:rPr>
              <w:t>Actual_Enrolled(P) &lt;= Approved_Intake(P) + Supernumerary_Quota(P)</w:t>
              <w:br/>
              <w:t>Where: Supernumerary_Quota(P) = TFW_Limit(5%) + NRI_Limit(5%) + Lateral_Entry_Limit(10%)</w:t>
              <w:br/>
              <w:t>If Actual_Enrolled(P) &gt;= Approved_Intake(P), the Circuit Breaker trips to LOCKED status, rejecting further general admissions.</w:t>
            </w:r>
          </w:p>
        </w:tc>
      </w:tr>
    </w:tbl>
    <w:p>
      <w:pPr>
        <w:spacing w:after="80"/>
      </w:pPr>
    </w:p>
    <w:p>
      <w:r>
        <w:br w:type="page"/>
      </w:r>
    </w:p>
    <w:p>
      <w:pPr>
        <w:keepNext/>
        <w:spacing w:before="280" w:after="120"/>
      </w:pPr>
      <w:r>
        <w:rPr>
          <w:rFonts w:ascii="Arial" w:hAnsi="Arial"/>
          <w:b/>
          <w:color w:val="0F172A"/>
          <w:sz w:val="30"/>
        </w:rPr>
        <w:t>11. Review Dispute Chamber &amp; Arbitration Workflows</w:t>
      </w:r>
    </w:p>
    <w:p>
      <w:pPr>
        <w:spacing w:before="0" w:after="80" w:line="276" w:lineRule="auto"/>
      </w:pPr>
      <w:r>
        <w:rPr>
          <w:rFonts w:ascii="Arial" w:hAnsi="Arial"/>
          <w:color w:val="334155"/>
          <w:sz w:val="19"/>
        </w:rPr>
        <w:t>When cross-institutional collisions, duplicate claims, or intake drift are flagged, Drishyam Mesh routes the incident to the Review Dispute Chamber rather than silently dropping records or applying blunt automated penalties.</w:t>
      </w:r>
    </w:p>
    <w:p>
      <w:pPr>
        <w:pStyle w:val="ListBullet"/>
        <w:spacing w:before="0" w:after="40" w:line="276" w:lineRule="auto"/>
      </w:pPr>
      <w:r>
        <w:rPr>
          <w:rFonts w:ascii="Arial" w:hAnsi="Arial"/>
          <w:b/>
          <w:color w:val="0F172A"/>
          <w:sz w:val="19"/>
        </w:rPr>
        <w:t xml:space="preserve">Phase 1: </w:t>
      </w:r>
      <w:r>
        <w:rPr>
          <w:rFonts w:ascii="Arial" w:hAnsi="Arial"/>
          <w:color w:val="334155"/>
          <w:sz w:val="19"/>
        </w:rPr>
        <w:t>Collision Detection: PSI and Neo4j detect concurrent enrollment claims (e.g., Devansh Gupta in Delhi and Maharashtra).</w:t>
      </w:r>
    </w:p>
    <w:p>
      <w:pPr>
        <w:pStyle w:val="ListBullet"/>
        <w:spacing w:before="0" w:after="40" w:line="276" w:lineRule="auto"/>
      </w:pPr>
      <w:r>
        <w:rPr>
          <w:rFonts w:ascii="Arial" w:hAnsi="Arial"/>
          <w:b/>
          <w:color w:val="0F172A"/>
          <w:sz w:val="19"/>
        </w:rPr>
        <w:t xml:space="preserve">Phase 2: </w:t>
      </w:r>
      <w:r>
        <w:rPr>
          <w:rFonts w:ascii="Arial" w:hAnsi="Arial"/>
          <w:color w:val="334155"/>
          <w:sz w:val="19"/>
        </w:rPr>
        <w:t>Evidence Packaging: System creates an immutable arbitration ticket containing institutional timestamps, IP hashes, and allotment orders.</w:t>
      </w:r>
    </w:p>
    <w:p>
      <w:pPr>
        <w:pStyle w:val="ListBullet"/>
        <w:spacing w:before="0" w:after="40" w:line="276" w:lineRule="auto"/>
      </w:pPr>
      <w:r>
        <w:rPr>
          <w:rFonts w:ascii="Arial" w:hAnsi="Arial"/>
          <w:b/>
          <w:color w:val="0F172A"/>
          <w:sz w:val="19"/>
        </w:rPr>
        <w:t xml:space="preserve">Phase 3: </w:t>
      </w:r>
      <w:r>
        <w:rPr>
          <w:rFonts w:ascii="Arial" w:hAnsi="Arial"/>
          <w:color w:val="334155"/>
          <w:sz w:val="19"/>
        </w:rPr>
        <w:t>Multi-Registrar Notification: Automated dispatch of notification receipts to registrars of both involved institutions.</w:t>
      </w:r>
    </w:p>
    <w:p>
      <w:pPr>
        <w:pStyle w:val="ListBullet"/>
        <w:spacing w:before="0" w:after="40" w:line="276" w:lineRule="auto"/>
      </w:pPr>
      <w:r>
        <w:rPr>
          <w:rFonts w:ascii="Arial" w:hAnsi="Arial"/>
          <w:b/>
          <w:color w:val="0F172A"/>
          <w:sz w:val="19"/>
        </w:rPr>
        <w:t xml:space="preserve">Phase 4: </w:t>
      </w:r>
      <w:r>
        <w:rPr>
          <w:rFonts w:ascii="Arial" w:hAnsi="Arial"/>
          <w:color w:val="334155"/>
          <w:sz w:val="19"/>
        </w:rPr>
        <w:t>Bi-Lateral Resolution: Registrars submit student cancellation receipts or transfer certificates via dual-signature authorization.</w:t>
      </w:r>
    </w:p>
    <w:p>
      <w:pPr>
        <w:pStyle w:val="ListBullet"/>
        <w:spacing w:before="0" w:after="40" w:line="276" w:lineRule="auto"/>
      </w:pPr>
      <w:r>
        <w:rPr>
          <w:rFonts w:ascii="Arial" w:hAnsi="Arial"/>
          <w:b/>
          <w:color w:val="0F172A"/>
          <w:sz w:val="19"/>
        </w:rPr>
        <w:t xml:space="preserve">Phase 5: </w:t>
      </w:r>
      <w:r>
        <w:rPr>
          <w:rFonts w:ascii="Arial" w:hAnsi="Arial"/>
          <w:color w:val="334155"/>
          <w:sz w:val="19"/>
        </w:rPr>
        <w:t>Authoritative Ledger Update: Authoritative seat is assigned; secondary claim is released, updating live vacancy counts.</w:t>
      </w:r>
    </w:p>
    <w:p>
      <w:r>
        <w:br w:type="page"/>
      </w:r>
    </w:p>
    <w:p>
      <w:pPr>
        <w:keepNext/>
        <w:spacing w:before="280" w:after="120"/>
      </w:pPr>
      <w:r>
        <w:rPr>
          <w:rFonts w:ascii="Arial" w:hAnsi="Arial"/>
          <w:b/>
          <w:color w:val="0F172A"/>
          <w:sz w:val="30"/>
        </w:rPr>
        <w:t>12. Cryptographic Tamper-Evident SHA-256 Audit Ledger</w:t>
      </w:r>
    </w:p>
    <w:p>
      <w:pPr>
        <w:spacing w:before="0" w:after="80" w:line="276" w:lineRule="auto"/>
      </w:pPr>
      <w:r>
        <w:rPr>
          <w:rFonts w:ascii="Arial" w:hAnsi="Arial"/>
          <w:color w:val="334155"/>
          <w:sz w:val="19"/>
        </w:rPr>
        <w:t>To provide legal non-repudiation under the Indian Information Technology Act 2000, all admission mutations are sealed into an append-only audit ledger where each block contains the cryptographic hash of its predecessor:</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2563EB"/>
              <w:top w:val="none"/>
              <w:right w:val="none"/>
              <w:bottom w:val="none"/>
            </w:tcBorders>
          </w:tcPr>
          <w:p>
            <w:pPr>
              <w:spacing w:before="0" w:after="40"/>
            </w:pPr>
            <w:r>
              <w:rPr>
                <w:rFonts w:ascii="Arial" w:hAnsi="Arial"/>
                <w:b/>
                <w:color w:val="1E3A8A"/>
                <w:sz w:val="19"/>
              </w:rPr>
              <w:t>ENTERPRISE SPECIFICATION: BLOCK HASH CHAINING EQUATION</w:t>
              <w:br/>
            </w:r>
            <w:r>
              <w:rPr>
                <w:rFonts w:ascii="Arial" w:hAnsi="Arial"/>
                <w:color w:val="334155"/>
                <w:sz w:val="18"/>
              </w:rPr>
              <w:t>Block_Hash_n = SHA-256(Block_Hash_(n-1) || Timestamp_n || Actor_n || Action_n || Entity_ID_n || Payload_Checksum_n)</w:t>
              <w:br/>
              <w:t>Any retroactive modification of record k invalidates all downstream hashes from k to n, triggering instant tamper detection.</w:t>
            </w:r>
          </w:p>
        </w:tc>
      </w:tr>
    </w:tbl>
    <w:p>
      <w:pPr>
        <w:spacing w:after="80"/>
      </w:pPr>
    </w:p>
    <w:p>
      <w:pPr>
        <w:spacing w:before="0" w:after="80" w:line="276" w:lineRule="auto"/>
      </w:pPr>
      <w:r>
        <w:rPr>
          <w:rFonts w:ascii="Arial" w:hAnsi="Arial"/>
          <w:color w:val="334155"/>
          <w:sz w:val="19"/>
        </w:rPr>
        <w:t>The table below illustrates sample cryptographic ledger records generated dynamically during platform operations: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c>
          <w:tcPr>
            <w:tcW w:type="dxa" w:w="1008"/>
            <w:shd w:fill="1E3A8A"/>
            <w:tcMar>
              <w:top w:w="90" w:type="dxa"/>
              <w:bottom w:w="90" w:type="dxa"/>
              <w:left w:w="120" w:type="dxa"/>
              <w:right w:w="120" w:type="dxa"/>
            </w:tcMar>
          </w:tcPr>
          <w:p>
            <w:pPr>
              <w:jc w:val="left"/>
            </w:pPr>
            <w:r>
              <w:rPr>
                <w:rFonts w:ascii="Arial" w:hAnsi="Arial"/>
                <w:b/>
                <w:color w:val="FFFFFF"/>
                <w:sz w:val="17"/>
              </w:rPr>
              <w:t>Block ID</w:t>
            </w:r>
          </w:p>
        </w:tc>
        <w:tc>
          <w:tcPr>
            <w:tcW w:type="dxa" w:w="1872"/>
            <w:shd w:fill="1E3A8A"/>
            <w:tcMar>
              <w:top w:w="90" w:type="dxa"/>
              <w:bottom w:w="90" w:type="dxa"/>
              <w:left w:w="120" w:type="dxa"/>
              <w:right w:w="120" w:type="dxa"/>
            </w:tcMar>
          </w:tcPr>
          <w:p>
            <w:pPr>
              <w:jc w:val="left"/>
            </w:pPr>
            <w:r>
              <w:rPr>
                <w:rFonts w:ascii="Arial" w:hAnsi="Arial"/>
                <w:b/>
                <w:color w:val="FFFFFF"/>
                <w:sz w:val="17"/>
              </w:rPr>
              <w:t>Timestamp</w:t>
            </w:r>
          </w:p>
        </w:tc>
        <w:tc>
          <w:tcPr>
            <w:tcW w:type="dxa" w:w="1440"/>
            <w:shd w:fill="1E3A8A"/>
            <w:tcMar>
              <w:top w:w="90" w:type="dxa"/>
              <w:bottom w:w="90" w:type="dxa"/>
              <w:left w:w="120" w:type="dxa"/>
              <w:right w:w="120" w:type="dxa"/>
            </w:tcMar>
          </w:tcPr>
          <w:p>
            <w:pPr>
              <w:jc w:val="left"/>
            </w:pPr>
            <w:r>
              <w:rPr>
                <w:rFonts w:ascii="Arial" w:hAnsi="Arial"/>
                <w:b/>
                <w:color w:val="FFFFFF"/>
                <w:sz w:val="17"/>
              </w:rPr>
              <w:t>System Actor</w:t>
            </w:r>
          </w:p>
        </w:tc>
        <w:tc>
          <w:tcPr>
            <w:tcW w:type="dxa" w:w="1872"/>
            <w:shd w:fill="1E3A8A"/>
            <w:tcMar>
              <w:top w:w="90" w:type="dxa"/>
              <w:bottom w:w="90" w:type="dxa"/>
              <w:left w:w="120" w:type="dxa"/>
              <w:right w:w="120" w:type="dxa"/>
            </w:tcMar>
          </w:tcPr>
          <w:p>
            <w:pPr>
              <w:jc w:val="left"/>
            </w:pPr>
            <w:r>
              <w:rPr>
                <w:rFonts w:ascii="Arial" w:hAnsi="Arial"/>
                <w:b/>
                <w:color w:val="FFFFFF"/>
                <w:sz w:val="17"/>
              </w:rPr>
              <w:t>Event Action</w:t>
            </w:r>
          </w:p>
        </w:tc>
        <w:tc>
          <w:tcPr>
            <w:tcW w:type="dxa" w:w="1296"/>
            <w:shd w:fill="1E3A8A"/>
            <w:tcMar>
              <w:top w:w="90" w:type="dxa"/>
              <w:bottom w:w="90" w:type="dxa"/>
              <w:left w:w="120" w:type="dxa"/>
              <w:right w:w="120" w:type="dxa"/>
            </w:tcMar>
          </w:tcPr>
          <w:p>
            <w:pPr>
              <w:jc w:val="left"/>
            </w:pPr>
            <w:r>
              <w:rPr>
                <w:rFonts w:ascii="Arial" w:hAnsi="Arial"/>
                <w:b/>
                <w:color w:val="FFFFFF"/>
                <w:sz w:val="17"/>
              </w:rPr>
              <w:t>Entity ID</w:t>
            </w:r>
          </w:p>
        </w:tc>
        <w:tc>
          <w:tcPr>
            <w:tcW w:type="dxa" w:w="1152"/>
            <w:shd w:fill="1E3A8A"/>
            <w:tcMar>
              <w:top w:w="90" w:type="dxa"/>
              <w:bottom w:w="90" w:type="dxa"/>
              <w:left w:w="120" w:type="dxa"/>
              <w:right w:w="120" w:type="dxa"/>
            </w:tcMar>
          </w:tcPr>
          <w:p>
            <w:pPr>
              <w:jc w:val="left"/>
            </w:pPr>
            <w:r>
              <w:rPr>
                <w:rFonts w:ascii="Arial" w:hAnsi="Arial"/>
                <w:b/>
                <w:color w:val="FFFFFF"/>
                <w:sz w:val="17"/>
              </w:rPr>
              <w:t>Outcome</w:t>
            </w:r>
          </w:p>
        </w:tc>
        <w:tc>
          <w:tcPr>
            <w:tcW w:type="dxa" w:w="720"/>
            <w:shd w:fill="1E3A8A"/>
            <w:tcMar>
              <w:top w:w="90" w:type="dxa"/>
              <w:bottom w:w="90" w:type="dxa"/>
              <w:left w:w="120" w:type="dxa"/>
              <w:right w:w="120" w:type="dxa"/>
            </w:tcMar>
          </w:tcPr>
          <w:p>
            <w:pPr>
              <w:jc w:val="left"/>
            </w:pPr>
            <w:r>
              <w:rPr>
                <w:rFonts w:ascii="Arial" w:hAnsi="Arial"/>
                <w:b/>
                <w:color w:val="FFFFFF"/>
                <w:sz w:val="17"/>
              </w:rPr>
              <w:t>Block SHA-256 Hash Chaining</w:t>
            </w:r>
          </w:p>
        </w:tc>
      </w:tr>
      <w:tr>
        <w:tc>
          <w:tcPr>
            <w:tcW w:type="dxa" w:w="1008"/>
            <w:shd w:fill="FFFFFF"/>
            <w:tcMar>
              <w:top w:w="70" w:type="dxa"/>
              <w:bottom w:w="70" w:type="dxa"/>
              <w:left w:w="120" w:type="dxa"/>
              <w:right w:w="120" w:type="dxa"/>
            </w:tcMar>
          </w:tcPr>
          <w:p>
            <w:r>
              <w:rPr>
                <w:rFonts w:ascii="Arial" w:hAnsi="Arial"/>
                <w:color w:val="1E293B"/>
                <w:sz w:val="16"/>
              </w:rPr>
              <w:t>#001</w:t>
            </w:r>
          </w:p>
        </w:tc>
        <w:tc>
          <w:tcPr>
            <w:tcW w:type="dxa" w:w="1872"/>
            <w:shd w:fill="FFFFFF"/>
            <w:tcMar>
              <w:top w:w="70" w:type="dxa"/>
              <w:bottom w:w="70" w:type="dxa"/>
              <w:left w:w="120" w:type="dxa"/>
              <w:right w:w="120" w:type="dxa"/>
            </w:tcMar>
          </w:tcPr>
          <w:p>
            <w:r>
              <w:rPr>
                <w:rFonts w:ascii="Arial" w:hAnsi="Arial"/>
                <w:color w:val="1E293B"/>
                <w:sz w:val="16"/>
              </w:rPr>
              <w:t>2024-10-28 10:00:00</w:t>
            </w:r>
          </w:p>
        </w:tc>
        <w:tc>
          <w:tcPr>
            <w:tcW w:type="dxa" w:w="1440"/>
            <w:shd w:fill="FFFFFF"/>
            <w:tcMar>
              <w:top w:w="70" w:type="dxa"/>
              <w:bottom w:w="70" w:type="dxa"/>
              <w:left w:w="120" w:type="dxa"/>
              <w:right w:w="120" w:type="dxa"/>
            </w:tcMar>
          </w:tcPr>
          <w:p>
            <w:r>
              <w:rPr>
                <w:rFonts w:ascii="Arial" w:hAnsi="Arial"/>
                <w:color w:val="1E293B"/>
                <w:sz w:val="16"/>
              </w:rPr>
              <w:t>admin</w:t>
            </w:r>
          </w:p>
        </w:tc>
        <w:tc>
          <w:tcPr>
            <w:tcW w:type="dxa" w:w="1872"/>
            <w:shd w:fill="FFFFFF"/>
            <w:tcMar>
              <w:top w:w="70" w:type="dxa"/>
              <w:bottom w:w="70" w:type="dxa"/>
              <w:left w:w="120" w:type="dxa"/>
              <w:right w:w="120" w:type="dxa"/>
            </w:tcMar>
          </w:tcPr>
          <w:p>
            <w:r>
              <w:rPr>
                <w:rFonts w:ascii="Arial" w:hAnsi="Arial"/>
                <w:color w:val="1E293B"/>
                <w:sz w:val="16"/>
              </w:rPr>
              <w:t>SYSTEM_BOOTSTRAP</w:t>
            </w:r>
          </w:p>
        </w:tc>
        <w:tc>
          <w:tcPr>
            <w:tcW w:type="dxa" w:w="1296"/>
            <w:shd w:fill="FFFFFF"/>
            <w:tcMar>
              <w:top w:w="70" w:type="dxa"/>
              <w:bottom w:w="70" w:type="dxa"/>
              <w:left w:w="120" w:type="dxa"/>
              <w:right w:w="120" w:type="dxa"/>
            </w:tcMar>
          </w:tcPr>
          <w:p>
            <w:r>
              <w:rPr>
                <w:rFonts w:ascii="Arial" w:hAnsi="Arial"/>
                <w:color w:val="1E293B"/>
                <w:sz w:val="16"/>
              </w:rPr>
              <w:t>INIT-001</w:t>
            </w:r>
          </w:p>
        </w:tc>
        <w:tc>
          <w:tcPr>
            <w:tcW w:type="dxa" w:w="1152"/>
            <w:shd w:fill="FFFFFF"/>
            <w:tcMar>
              <w:top w:w="70" w:type="dxa"/>
              <w:bottom w:w="70" w:type="dxa"/>
              <w:left w:w="120" w:type="dxa"/>
              <w:right w:w="120" w:type="dxa"/>
            </w:tcMar>
          </w:tcPr>
          <w:p>
            <w:r>
              <w:rPr>
                <w:rFonts w:ascii="Arial" w:hAnsi="Arial"/>
                <w:color w:val="1E293B"/>
                <w:sz w:val="16"/>
              </w:rPr>
              <w:t>SUCCESS</w:t>
            </w:r>
          </w:p>
        </w:tc>
        <w:tc>
          <w:tcPr>
            <w:tcW w:type="dxa" w:w="720"/>
            <w:shd w:fill="FFFFFF"/>
            <w:tcMar>
              <w:top w:w="70" w:type="dxa"/>
              <w:bottom w:w="70" w:type="dxa"/>
              <w:left w:w="120" w:type="dxa"/>
              <w:right w:w="120" w:type="dxa"/>
            </w:tcMar>
          </w:tcPr>
          <w:p>
            <w:r>
              <w:rPr>
                <w:rFonts w:ascii="Arial" w:hAnsi="Arial"/>
                <w:color w:val="1E293B"/>
                <w:sz w:val="16"/>
              </w:rPr>
              <w:t>0x3a91f820bb9410ea872412dd5f71e9824c892b11548e65a041f02188ab65ec12</w:t>
            </w:r>
          </w:p>
        </w:tc>
      </w:tr>
      <w:tr>
        <w:tc>
          <w:tcPr>
            <w:tcW w:type="dxa" w:w="1008"/>
            <w:shd w:fill="F8FAFC"/>
            <w:tcMar>
              <w:top w:w="70" w:type="dxa"/>
              <w:bottom w:w="70" w:type="dxa"/>
              <w:left w:w="120" w:type="dxa"/>
              <w:right w:w="120" w:type="dxa"/>
            </w:tcMar>
          </w:tcPr>
          <w:p>
            <w:r>
              <w:rPr>
                <w:rFonts w:ascii="Arial" w:hAnsi="Arial"/>
                <w:color w:val="1E293B"/>
                <w:sz w:val="16"/>
              </w:rPr>
              <w:t>#002</w:t>
            </w:r>
          </w:p>
        </w:tc>
        <w:tc>
          <w:tcPr>
            <w:tcW w:type="dxa" w:w="1872"/>
            <w:shd w:fill="F8FAFC"/>
            <w:tcMar>
              <w:top w:w="70" w:type="dxa"/>
              <w:bottom w:w="70" w:type="dxa"/>
              <w:left w:w="120" w:type="dxa"/>
              <w:right w:w="120" w:type="dxa"/>
            </w:tcMar>
          </w:tcPr>
          <w:p>
            <w:r>
              <w:rPr>
                <w:rFonts w:ascii="Arial" w:hAnsi="Arial"/>
                <w:color w:val="1E293B"/>
                <w:sz w:val="16"/>
              </w:rPr>
              <w:t>2024-10-28 10:15:22</w:t>
            </w:r>
          </w:p>
        </w:tc>
        <w:tc>
          <w:tcPr>
            <w:tcW w:type="dxa" w:w="1440"/>
            <w:shd w:fill="F8FAFC"/>
            <w:tcMar>
              <w:top w:w="70" w:type="dxa"/>
              <w:bottom w:w="70" w:type="dxa"/>
              <w:left w:w="120" w:type="dxa"/>
              <w:right w:w="120" w:type="dxa"/>
            </w:tcMar>
          </w:tcPr>
          <w:p>
            <w:r>
              <w:rPr>
                <w:rFonts w:ascii="Arial" w:hAnsi="Arial"/>
                <w:color w:val="1E293B"/>
                <w:sz w:val="16"/>
              </w:rPr>
              <w:t>registrar_delhi</w:t>
            </w:r>
          </w:p>
        </w:tc>
        <w:tc>
          <w:tcPr>
            <w:tcW w:type="dxa" w:w="1872"/>
            <w:shd w:fill="F8FAFC"/>
            <w:tcMar>
              <w:top w:w="70" w:type="dxa"/>
              <w:bottom w:w="70" w:type="dxa"/>
              <w:left w:w="120" w:type="dxa"/>
              <w:right w:w="120" w:type="dxa"/>
            </w:tcMar>
          </w:tcPr>
          <w:p>
            <w:r>
              <w:rPr>
                <w:rFonts w:ascii="Arial" w:hAnsi="Arial"/>
                <w:color w:val="1E293B"/>
                <w:sz w:val="16"/>
              </w:rPr>
              <w:t>BATCH_INGEST_ERP</w:t>
            </w:r>
          </w:p>
        </w:tc>
        <w:tc>
          <w:tcPr>
            <w:tcW w:type="dxa" w:w="1296"/>
            <w:shd w:fill="F8FAFC"/>
            <w:tcMar>
              <w:top w:w="70" w:type="dxa"/>
              <w:bottom w:w="70" w:type="dxa"/>
              <w:left w:w="120" w:type="dxa"/>
              <w:right w:w="120" w:type="dxa"/>
            </w:tcMar>
          </w:tcPr>
          <w:p>
            <w:r>
              <w:rPr>
                <w:rFonts w:ascii="Arial" w:hAnsi="Arial"/>
                <w:color w:val="1E293B"/>
                <w:sz w:val="16"/>
              </w:rPr>
              <w:t>BATCH-DEL-101</w:t>
            </w:r>
          </w:p>
        </w:tc>
        <w:tc>
          <w:tcPr>
            <w:tcW w:type="dxa" w:w="1152"/>
            <w:shd w:fill="F8FAFC"/>
            <w:tcMar>
              <w:top w:w="70" w:type="dxa"/>
              <w:bottom w:w="70" w:type="dxa"/>
              <w:left w:w="120" w:type="dxa"/>
              <w:right w:w="120" w:type="dxa"/>
            </w:tcMar>
          </w:tcPr>
          <w:p>
            <w:r>
              <w:rPr>
                <w:rFonts w:ascii="Arial" w:hAnsi="Arial"/>
                <w:color w:val="1E293B"/>
                <w:sz w:val="16"/>
              </w:rPr>
              <w:t>SUCCESS</w:t>
            </w:r>
          </w:p>
        </w:tc>
        <w:tc>
          <w:tcPr>
            <w:tcW w:type="dxa" w:w="720"/>
            <w:shd w:fill="F8FAFC"/>
            <w:tcMar>
              <w:top w:w="70" w:type="dxa"/>
              <w:bottom w:w="70" w:type="dxa"/>
              <w:left w:w="120" w:type="dxa"/>
              <w:right w:w="120" w:type="dxa"/>
            </w:tcMar>
          </w:tcPr>
          <w:p>
            <w:r>
              <w:rPr>
                <w:rFonts w:ascii="Arial" w:hAnsi="Arial"/>
                <w:color w:val="1E293B"/>
                <w:sz w:val="16"/>
              </w:rPr>
              <w:t>0x7c9e13d80a91f543120bca4589df1102948cba671024bc6819a0bc431289fe11</w:t>
            </w:r>
          </w:p>
        </w:tc>
      </w:tr>
      <w:tr>
        <w:tc>
          <w:tcPr>
            <w:tcW w:type="dxa" w:w="1008"/>
            <w:shd w:fill="FFFFFF"/>
            <w:tcMar>
              <w:top w:w="70" w:type="dxa"/>
              <w:bottom w:w="70" w:type="dxa"/>
              <w:left w:w="120" w:type="dxa"/>
              <w:right w:w="120" w:type="dxa"/>
            </w:tcMar>
          </w:tcPr>
          <w:p>
            <w:r>
              <w:rPr>
                <w:rFonts w:ascii="Arial" w:hAnsi="Arial"/>
                <w:color w:val="1E293B"/>
                <w:sz w:val="16"/>
              </w:rPr>
              <w:t>#003</w:t>
            </w:r>
          </w:p>
        </w:tc>
        <w:tc>
          <w:tcPr>
            <w:tcW w:type="dxa" w:w="1872"/>
            <w:shd w:fill="FFFFFF"/>
            <w:tcMar>
              <w:top w:w="70" w:type="dxa"/>
              <w:bottom w:w="70" w:type="dxa"/>
              <w:left w:w="120" w:type="dxa"/>
              <w:right w:w="120" w:type="dxa"/>
            </w:tcMar>
          </w:tcPr>
          <w:p>
            <w:r>
              <w:rPr>
                <w:rFonts w:ascii="Arial" w:hAnsi="Arial"/>
                <w:color w:val="1E293B"/>
                <w:sz w:val="16"/>
              </w:rPr>
              <w:t>2024-10-28 11:30:45</w:t>
            </w:r>
          </w:p>
        </w:tc>
        <w:tc>
          <w:tcPr>
            <w:tcW w:type="dxa" w:w="1440"/>
            <w:shd w:fill="FFFFFF"/>
            <w:tcMar>
              <w:top w:w="70" w:type="dxa"/>
              <w:bottom w:w="70" w:type="dxa"/>
              <w:left w:w="120" w:type="dxa"/>
              <w:right w:w="120" w:type="dxa"/>
            </w:tcMar>
          </w:tcPr>
          <w:p>
            <w:r>
              <w:rPr>
                <w:rFonts w:ascii="Arial" w:hAnsi="Arial"/>
                <w:color w:val="1E293B"/>
                <w:sz w:val="16"/>
              </w:rPr>
              <w:t>system_psi</w:t>
            </w:r>
          </w:p>
        </w:tc>
        <w:tc>
          <w:tcPr>
            <w:tcW w:type="dxa" w:w="1872"/>
            <w:shd w:fill="FFFFFF"/>
            <w:tcMar>
              <w:top w:w="70" w:type="dxa"/>
              <w:bottom w:w="70" w:type="dxa"/>
              <w:left w:w="120" w:type="dxa"/>
              <w:right w:w="120" w:type="dxa"/>
            </w:tcMar>
          </w:tcPr>
          <w:p>
            <w:r>
              <w:rPr>
                <w:rFonts w:ascii="Arial" w:hAnsi="Arial"/>
                <w:color w:val="1E293B"/>
                <w:sz w:val="16"/>
              </w:rPr>
              <w:t>DUPLICATE_COLLISION</w:t>
            </w:r>
          </w:p>
        </w:tc>
        <w:tc>
          <w:tcPr>
            <w:tcW w:type="dxa" w:w="1296"/>
            <w:shd w:fill="FFFFFF"/>
            <w:tcMar>
              <w:top w:w="70" w:type="dxa"/>
              <w:bottom w:w="70" w:type="dxa"/>
              <w:left w:w="120" w:type="dxa"/>
              <w:right w:w="120" w:type="dxa"/>
            </w:tcMar>
          </w:tcPr>
          <w:p>
            <w:r>
              <w:rPr>
                <w:rFonts w:ascii="Arial" w:hAnsi="Arial"/>
                <w:color w:val="1E293B"/>
                <w:sz w:val="16"/>
              </w:rPr>
              <w:t>STU-90823145</w:t>
            </w:r>
          </w:p>
        </w:tc>
        <w:tc>
          <w:tcPr>
            <w:tcW w:type="dxa" w:w="1152"/>
            <w:shd w:fill="FFFFFF"/>
            <w:tcMar>
              <w:top w:w="70" w:type="dxa"/>
              <w:bottom w:w="70" w:type="dxa"/>
              <w:left w:w="120" w:type="dxa"/>
              <w:right w:w="120" w:type="dxa"/>
            </w:tcMar>
          </w:tcPr>
          <w:p>
            <w:r>
              <w:rPr>
                <w:rFonts w:ascii="Arial" w:hAnsi="Arial"/>
                <w:color w:val="1E293B"/>
                <w:sz w:val="16"/>
              </w:rPr>
              <w:t>FLAGGED</w:t>
            </w:r>
          </w:p>
        </w:tc>
        <w:tc>
          <w:tcPr>
            <w:tcW w:type="dxa" w:w="720"/>
            <w:shd w:fill="FFFFFF"/>
            <w:tcMar>
              <w:top w:w="70" w:type="dxa"/>
              <w:bottom w:w="70" w:type="dxa"/>
              <w:left w:w="120" w:type="dxa"/>
              <w:right w:w="120" w:type="dxa"/>
            </w:tcMar>
          </w:tcPr>
          <w:p>
            <w:r>
              <w:rPr>
                <w:rFonts w:ascii="Arial" w:hAnsi="Arial"/>
                <w:color w:val="1E293B"/>
                <w:sz w:val="16"/>
              </w:rPr>
              <w:t>0x9182bc4501a9df671024be5678cd110948ab1234567890abcdef1234567890ab</w:t>
            </w:r>
          </w:p>
        </w:tc>
      </w:tr>
      <w:tr>
        <w:tc>
          <w:tcPr>
            <w:tcW w:type="dxa" w:w="1008"/>
            <w:shd w:fill="F8FAFC"/>
            <w:tcMar>
              <w:top w:w="70" w:type="dxa"/>
              <w:bottom w:w="70" w:type="dxa"/>
              <w:left w:w="120" w:type="dxa"/>
              <w:right w:w="120" w:type="dxa"/>
            </w:tcMar>
          </w:tcPr>
          <w:p>
            <w:r>
              <w:rPr>
                <w:rFonts w:ascii="Arial" w:hAnsi="Arial"/>
                <w:color w:val="1E293B"/>
                <w:sz w:val="16"/>
              </w:rPr>
              <w:t>#004</w:t>
            </w:r>
          </w:p>
        </w:tc>
        <w:tc>
          <w:tcPr>
            <w:tcW w:type="dxa" w:w="1872"/>
            <w:shd w:fill="F8FAFC"/>
            <w:tcMar>
              <w:top w:w="70" w:type="dxa"/>
              <w:bottom w:w="70" w:type="dxa"/>
              <w:left w:w="120" w:type="dxa"/>
              <w:right w:w="120" w:type="dxa"/>
            </w:tcMar>
          </w:tcPr>
          <w:p>
            <w:r>
              <w:rPr>
                <w:rFonts w:ascii="Arial" w:hAnsi="Arial"/>
                <w:color w:val="1E293B"/>
                <w:sz w:val="16"/>
              </w:rPr>
              <w:t>2024-10-28 14:05:10</w:t>
            </w:r>
          </w:p>
        </w:tc>
        <w:tc>
          <w:tcPr>
            <w:tcW w:type="dxa" w:w="1440"/>
            <w:shd w:fill="F8FAFC"/>
            <w:tcMar>
              <w:top w:w="70" w:type="dxa"/>
              <w:bottom w:w="70" w:type="dxa"/>
              <w:left w:w="120" w:type="dxa"/>
              <w:right w:w="120" w:type="dxa"/>
            </w:tcMar>
          </w:tcPr>
          <w:p>
            <w:r>
              <w:rPr>
                <w:rFonts w:ascii="Arial" w:hAnsi="Arial"/>
                <w:color w:val="1E293B"/>
                <w:sz w:val="16"/>
              </w:rPr>
              <w:t>review_officer</w:t>
            </w:r>
          </w:p>
        </w:tc>
        <w:tc>
          <w:tcPr>
            <w:tcW w:type="dxa" w:w="1872"/>
            <w:shd w:fill="F8FAFC"/>
            <w:tcMar>
              <w:top w:w="70" w:type="dxa"/>
              <w:bottom w:w="70" w:type="dxa"/>
              <w:left w:w="120" w:type="dxa"/>
              <w:right w:w="120" w:type="dxa"/>
            </w:tcMar>
          </w:tcPr>
          <w:p>
            <w:r>
              <w:rPr>
                <w:rFonts w:ascii="Arial" w:hAnsi="Arial"/>
                <w:color w:val="1E293B"/>
                <w:sz w:val="16"/>
              </w:rPr>
              <w:t>ARBITRATE_DISPUTE</w:t>
            </w:r>
          </w:p>
        </w:tc>
        <w:tc>
          <w:tcPr>
            <w:tcW w:type="dxa" w:w="1296"/>
            <w:shd w:fill="F8FAFC"/>
            <w:tcMar>
              <w:top w:w="70" w:type="dxa"/>
              <w:bottom w:w="70" w:type="dxa"/>
              <w:left w:w="120" w:type="dxa"/>
              <w:right w:w="120" w:type="dxa"/>
            </w:tcMar>
          </w:tcPr>
          <w:p>
            <w:r>
              <w:rPr>
                <w:rFonts w:ascii="Arial" w:hAnsi="Arial"/>
                <w:color w:val="1E293B"/>
                <w:sz w:val="16"/>
              </w:rPr>
              <w:t>REV-CASE-401</w:t>
            </w:r>
          </w:p>
        </w:tc>
        <w:tc>
          <w:tcPr>
            <w:tcW w:type="dxa" w:w="1152"/>
            <w:shd w:fill="F8FAFC"/>
            <w:tcMar>
              <w:top w:w="70" w:type="dxa"/>
              <w:bottom w:w="70" w:type="dxa"/>
              <w:left w:w="120" w:type="dxa"/>
              <w:right w:w="120" w:type="dxa"/>
            </w:tcMar>
          </w:tcPr>
          <w:p>
            <w:r>
              <w:rPr>
                <w:rFonts w:ascii="Arial" w:hAnsi="Arial"/>
                <w:color w:val="1E293B"/>
                <w:sz w:val="16"/>
              </w:rPr>
              <w:t>RESOLVED</w:t>
            </w:r>
          </w:p>
        </w:tc>
        <w:tc>
          <w:tcPr>
            <w:tcW w:type="dxa" w:w="720"/>
            <w:shd w:fill="F8FAFC"/>
            <w:tcMar>
              <w:top w:w="70" w:type="dxa"/>
              <w:bottom w:w="70" w:type="dxa"/>
              <w:left w:w="120" w:type="dxa"/>
              <w:right w:w="120" w:type="dxa"/>
            </w:tcMar>
          </w:tcPr>
          <w:p>
            <w:r>
              <w:rPr>
                <w:rFonts w:ascii="Arial" w:hAnsi="Arial"/>
                <w:color w:val="1E293B"/>
                <w:sz w:val="16"/>
              </w:rPr>
              <w:t>0x2849ab1024cd567890ef1234567890abcdef1234567890abcdef1234567890bc</w:t>
            </w:r>
          </w:p>
        </w:tc>
      </w:tr>
      <w:tr>
        <w:tc>
          <w:tcPr>
            <w:tcW w:type="dxa" w:w="1008"/>
            <w:shd w:fill="FFFFFF"/>
            <w:tcMar>
              <w:top w:w="70" w:type="dxa"/>
              <w:bottom w:w="70" w:type="dxa"/>
              <w:left w:w="120" w:type="dxa"/>
              <w:right w:w="120" w:type="dxa"/>
            </w:tcMar>
          </w:tcPr>
          <w:p>
            <w:r>
              <w:rPr>
                <w:rFonts w:ascii="Arial" w:hAnsi="Arial"/>
                <w:color w:val="1E293B"/>
                <w:sz w:val="16"/>
              </w:rPr>
              <w:t>#005</w:t>
            </w:r>
          </w:p>
        </w:tc>
        <w:tc>
          <w:tcPr>
            <w:tcW w:type="dxa" w:w="1872"/>
            <w:shd w:fill="FFFFFF"/>
            <w:tcMar>
              <w:top w:w="70" w:type="dxa"/>
              <w:bottom w:w="70" w:type="dxa"/>
              <w:left w:w="120" w:type="dxa"/>
              <w:right w:w="120" w:type="dxa"/>
            </w:tcMar>
          </w:tcPr>
          <w:p>
            <w:r>
              <w:rPr>
                <w:rFonts w:ascii="Arial" w:hAnsi="Arial"/>
                <w:color w:val="1E293B"/>
                <w:sz w:val="16"/>
              </w:rPr>
              <w:t>2024-10-28 16:20:00</w:t>
            </w:r>
          </w:p>
        </w:tc>
        <w:tc>
          <w:tcPr>
            <w:tcW w:type="dxa" w:w="1440"/>
            <w:shd w:fill="FFFFFF"/>
            <w:tcMar>
              <w:top w:w="70" w:type="dxa"/>
              <w:bottom w:w="70" w:type="dxa"/>
              <w:left w:w="120" w:type="dxa"/>
              <w:right w:w="120" w:type="dxa"/>
            </w:tcMar>
          </w:tcPr>
          <w:p>
            <w:r>
              <w:rPr>
                <w:rFonts w:ascii="Arial" w:hAnsi="Arial"/>
                <w:color w:val="1E293B"/>
                <w:sz w:val="16"/>
              </w:rPr>
              <w:t>credential_svc</w:t>
            </w:r>
          </w:p>
        </w:tc>
        <w:tc>
          <w:tcPr>
            <w:tcW w:type="dxa" w:w="1872"/>
            <w:shd w:fill="FFFFFF"/>
            <w:tcMar>
              <w:top w:w="70" w:type="dxa"/>
              <w:bottom w:w="70" w:type="dxa"/>
              <w:left w:w="120" w:type="dxa"/>
              <w:right w:w="120" w:type="dxa"/>
            </w:tcMar>
          </w:tcPr>
          <w:p>
            <w:r>
              <w:rPr>
                <w:rFonts w:ascii="Arial" w:hAnsi="Arial"/>
                <w:color w:val="1E293B"/>
                <w:sz w:val="16"/>
              </w:rPr>
              <w:t>ISSUE_CREDENTIAL</w:t>
            </w:r>
          </w:p>
        </w:tc>
        <w:tc>
          <w:tcPr>
            <w:tcW w:type="dxa" w:w="1296"/>
            <w:shd w:fill="FFFFFF"/>
            <w:tcMar>
              <w:top w:w="70" w:type="dxa"/>
              <w:bottom w:w="70" w:type="dxa"/>
              <w:left w:w="120" w:type="dxa"/>
              <w:right w:w="120" w:type="dxa"/>
            </w:tcMar>
          </w:tcPr>
          <w:p>
            <w:r>
              <w:rPr>
                <w:rFonts w:ascii="Arial" w:hAnsi="Arial"/>
                <w:color w:val="1E293B"/>
                <w:sz w:val="16"/>
              </w:rPr>
              <w:t>CRED-908231</w:t>
            </w:r>
          </w:p>
        </w:tc>
        <w:tc>
          <w:tcPr>
            <w:tcW w:type="dxa" w:w="1152"/>
            <w:shd w:fill="FFFFFF"/>
            <w:tcMar>
              <w:top w:w="70" w:type="dxa"/>
              <w:bottom w:w="70" w:type="dxa"/>
              <w:left w:w="120" w:type="dxa"/>
              <w:right w:w="120" w:type="dxa"/>
            </w:tcMar>
          </w:tcPr>
          <w:p>
            <w:r>
              <w:rPr>
                <w:rFonts w:ascii="Arial" w:hAnsi="Arial"/>
                <w:color w:val="1E293B"/>
                <w:sz w:val="16"/>
              </w:rPr>
              <w:t>SUCCESS</w:t>
            </w:r>
          </w:p>
        </w:tc>
        <w:tc>
          <w:tcPr>
            <w:tcW w:type="dxa" w:w="720"/>
            <w:shd w:fill="FFFFFF"/>
            <w:tcMar>
              <w:top w:w="70" w:type="dxa"/>
              <w:bottom w:w="70" w:type="dxa"/>
              <w:left w:w="120" w:type="dxa"/>
              <w:right w:w="120" w:type="dxa"/>
            </w:tcMar>
          </w:tcPr>
          <w:p>
            <w:r>
              <w:rPr>
                <w:rFonts w:ascii="Arial" w:hAnsi="Arial"/>
                <w:color w:val="1E293B"/>
                <w:sz w:val="16"/>
              </w:rPr>
              <w:t>0x567890abcdef1234567890abcdef1234567890abcdef1234567890abcdef1234</w:t>
            </w:r>
          </w:p>
        </w:tc>
      </w:tr>
    </w:tbl>
    <w:p>
      <w:pPr>
        <w:spacing w:after="80"/>
      </w:pPr>
    </w:p>
    <w:p>
      <w:r>
        <w:br w:type="page"/>
      </w:r>
    </w:p>
    <w:p>
      <w:pPr>
        <w:keepNext/>
        <w:spacing w:before="280" w:after="120"/>
      </w:pPr>
      <w:r>
        <w:rPr>
          <w:rFonts w:ascii="Arial" w:hAnsi="Arial"/>
          <w:b/>
          <w:color w:val="0F172A"/>
          <w:sz w:val="30"/>
        </w:rPr>
        <w:t>13. Decentralized Verifiable Credentials (W3C Standard) &amp; Offline QR</w:t>
      </w:r>
    </w:p>
    <w:p>
      <w:pPr>
        <w:spacing w:before="0" w:after="80" w:line="276" w:lineRule="auto"/>
      </w:pPr>
      <w:r>
        <w:rPr>
          <w:rFonts w:ascii="Arial" w:hAnsi="Arial"/>
          <w:color w:val="334155"/>
          <w:sz w:val="19"/>
        </w:rPr>
        <w:t>Following W3C Verifiable Credentials standards, Drishyam Mesh issues digitally signed credentials anchored by Ed25519 digital signatures. Credentials are encoded into compact Base45-compressed QR codes, enabling instant offline verification without requiring access to central servers.</w:t>
      </w:r>
    </w:p>
    <w:p>
      <w:pPr>
        <w:pStyle w:val="ListBullet"/>
        <w:spacing w:before="0" w:after="40" w:line="276" w:lineRule="auto"/>
      </w:pPr>
      <w:r>
        <w:rPr>
          <w:rFonts w:ascii="Arial" w:hAnsi="Arial"/>
          <w:b/>
          <w:color w:val="0F172A"/>
          <w:sz w:val="19"/>
        </w:rPr>
        <w:t xml:space="preserve">Privacy Shield: </w:t>
      </w:r>
      <w:r>
        <w:rPr>
          <w:rFonts w:ascii="Arial" w:hAnsi="Arial"/>
          <w:color w:val="334155"/>
          <w:sz w:val="19"/>
        </w:rPr>
        <w:t>Digital Personal Data Protection (DPDP) Act 2023 compliance through student-governed selective disclosure.</w:t>
      </w:r>
    </w:p>
    <w:p>
      <w:pPr>
        <w:pStyle w:val="ListBullet"/>
        <w:spacing w:before="0" w:after="40" w:line="276" w:lineRule="auto"/>
      </w:pPr>
      <w:r>
        <w:rPr>
          <w:rFonts w:ascii="Arial" w:hAnsi="Arial"/>
          <w:b/>
          <w:color w:val="0F172A"/>
          <w:sz w:val="19"/>
        </w:rPr>
        <w:t xml:space="preserve">Air-Gapped Trust: </w:t>
      </w:r>
      <w:r>
        <w:rPr>
          <w:rFonts w:ascii="Arial" w:hAnsi="Arial"/>
          <w:color w:val="334155"/>
          <w:sz w:val="19"/>
        </w:rPr>
        <w:t>Employers and verifying agencies verify credentials using public keys cached in mobile apps or distributed registries.</w:t>
      </w:r>
    </w:p>
    <w:p>
      <w:pPr>
        <w:pStyle w:val="ListBullet"/>
        <w:spacing w:before="0" w:after="40" w:line="276" w:lineRule="auto"/>
      </w:pPr>
      <w:r>
        <w:rPr>
          <w:rFonts w:ascii="Arial" w:hAnsi="Arial"/>
          <w:b/>
          <w:color w:val="0F172A"/>
          <w:sz w:val="19"/>
        </w:rPr>
        <w:t xml:space="preserve">Parchment Engine: </w:t>
      </w:r>
      <w:r>
        <w:rPr>
          <w:rFonts w:ascii="Arial" w:hAnsi="Arial"/>
          <w:color w:val="334155"/>
          <w:sz w:val="19"/>
        </w:rPr>
        <w:t>Automated generation of tamper-proof AICTE degree parchments with anti-counterfeiting micro-guilloche borders.</w:t>
      </w:r>
    </w:p>
    <w:p>
      <w:r>
        <w:br w:type="page"/>
      </w:r>
    </w:p>
    <w:p>
      <w:pPr>
        <w:keepNext/>
        <w:spacing w:before="280" w:after="120"/>
      </w:pPr>
      <w:r>
        <w:rPr>
          <w:rFonts w:ascii="Arial" w:hAnsi="Arial"/>
          <w:b/>
          <w:color w:val="0F172A"/>
          <w:sz w:val="30"/>
        </w:rPr>
        <w:t>14. Statutory Compliance with the DPDP Act 2023</w:t>
      </w:r>
    </w:p>
    <w:p>
      <w:pPr>
        <w:spacing w:before="0" w:after="80" w:line="276" w:lineRule="auto"/>
      </w:pPr>
      <w:r>
        <w:rPr>
          <w:rFonts w:ascii="Arial" w:hAnsi="Arial"/>
          <w:color w:val="334155"/>
          <w:sz w:val="19"/>
        </w:rPr>
        <w:t>The Digital Personal Data Protection Act (DPDP Act 2023) establishes strict obligations for Data Fiduciaries. Drishyam Mesh is natively architected to ensure total alignment across all statutory mandates: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160"/>
            <w:shd w:fill="1E3A8A"/>
            <w:tcMar>
              <w:top w:w="90" w:type="dxa"/>
              <w:bottom w:w="90" w:type="dxa"/>
              <w:left w:w="120" w:type="dxa"/>
              <w:right w:w="120" w:type="dxa"/>
            </w:tcMar>
          </w:tcPr>
          <w:p>
            <w:pPr>
              <w:jc w:val="left"/>
            </w:pPr>
            <w:r>
              <w:rPr>
                <w:rFonts w:ascii="Arial" w:hAnsi="Arial"/>
                <w:b/>
                <w:color w:val="FFFFFF"/>
                <w:sz w:val="17"/>
              </w:rPr>
              <w:t>DPDP 2023 Section</w:t>
            </w:r>
          </w:p>
        </w:tc>
        <w:tc>
          <w:tcPr>
            <w:tcW w:type="dxa" w:w="3312"/>
            <w:shd w:fill="1E3A8A"/>
            <w:tcMar>
              <w:top w:w="90" w:type="dxa"/>
              <w:bottom w:w="90" w:type="dxa"/>
              <w:left w:w="120" w:type="dxa"/>
              <w:right w:w="120" w:type="dxa"/>
            </w:tcMar>
          </w:tcPr>
          <w:p>
            <w:pPr>
              <w:jc w:val="left"/>
            </w:pPr>
            <w:r>
              <w:rPr>
                <w:rFonts w:ascii="Arial" w:hAnsi="Arial"/>
                <w:b/>
                <w:color w:val="FFFFFF"/>
                <w:sz w:val="17"/>
              </w:rPr>
              <w:t>Statutory Legal Requirement</w:t>
            </w:r>
          </w:p>
        </w:tc>
        <w:tc>
          <w:tcPr>
            <w:tcW w:type="dxa" w:w="3888"/>
            <w:shd w:fill="1E3A8A"/>
            <w:tcMar>
              <w:top w:w="90" w:type="dxa"/>
              <w:bottom w:w="90" w:type="dxa"/>
              <w:left w:w="120" w:type="dxa"/>
              <w:right w:w="120" w:type="dxa"/>
            </w:tcMar>
          </w:tcPr>
          <w:p>
            <w:pPr>
              <w:jc w:val="left"/>
            </w:pPr>
            <w:r>
              <w:rPr>
                <w:rFonts w:ascii="Arial" w:hAnsi="Arial"/>
                <w:b/>
                <w:color w:val="FFFFFF"/>
                <w:sz w:val="17"/>
              </w:rPr>
              <w:t>Drishyam Mesh Implementation &amp; Security Controls</w:t>
            </w:r>
          </w:p>
        </w:tc>
      </w:tr>
      <w:tr>
        <w:tc>
          <w:tcPr>
            <w:tcW w:type="dxa" w:w="2160"/>
            <w:shd w:fill="FFFFFF"/>
            <w:tcMar>
              <w:top w:w="70" w:type="dxa"/>
              <w:bottom w:w="70" w:type="dxa"/>
              <w:left w:w="120" w:type="dxa"/>
              <w:right w:w="120" w:type="dxa"/>
            </w:tcMar>
          </w:tcPr>
          <w:p>
            <w:r>
              <w:rPr>
                <w:rFonts w:ascii="Arial" w:hAnsi="Arial"/>
                <w:color w:val="1E293B"/>
                <w:sz w:val="16"/>
              </w:rPr>
              <w:t>Section 6 (Consent Notice)</w:t>
            </w:r>
          </w:p>
        </w:tc>
        <w:tc>
          <w:tcPr>
            <w:tcW w:type="dxa" w:w="3312"/>
            <w:shd w:fill="FFFFFF"/>
            <w:tcMar>
              <w:top w:w="70" w:type="dxa"/>
              <w:bottom w:w="70" w:type="dxa"/>
              <w:left w:w="120" w:type="dxa"/>
              <w:right w:w="120" w:type="dxa"/>
            </w:tcMar>
          </w:tcPr>
          <w:p>
            <w:r>
              <w:rPr>
                <w:rFonts w:ascii="Arial" w:hAnsi="Arial"/>
                <w:color w:val="1E293B"/>
                <w:sz w:val="16"/>
              </w:rPr>
              <w:t>Consent must be free, specific, informed, unconditional, and unambiguous with clear notice.</w:t>
            </w:r>
          </w:p>
        </w:tc>
        <w:tc>
          <w:tcPr>
            <w:tcW w:type="dxa" w:w="3888"/>
            <w:shd w:fill="FFFFFF"/>
            <w:tcMar>
              <w:top w:w="70" w:type="dxa"/>
              <w:bottom w:w="70" w:type="dxa"/>
              <w:left w:w="120" w:type="dxa"/>
              <w:right w:w="120" w:type="dxa"/>
            </w:tcMar>
          </w:tcPr>
          <w:p>
            <w:r>
              <w:rPr>
                <w:rFonts w:ascii="Arial" w:hAnsi="Arial"/>
                <w:color w:val="1E293B"/>
                <w:sz w:val="16"/>
              </w:rPr>
              <w:t>Student Consent Gateway provides itemized checkboxes for selective disclosure of academic credentials.</w:t>
            </w:r>
          </w:p>
        </w:tc>
      </w:tr>
      <w:tr>
        <w:tc>
          <w:tcPr>
            <w:tcW w:type="dxa" w:w="2160"/>
            <w:shd w:fill="F8FAFC"/>
            <w:tcMar>
              <w:top w:w="70" w:type="dxa"/>
              <w:bottom w:w="70" w:type="dxa"/>
              <w:left w:w="120" w:type="dxa"/>
              <w:right w:w="120" w:type="dxa"/>
            </w:tcMar>
          </w:tcPr>
          <w:p>
            <w:r>
              <w:rPr>
                <w:rFonts w:ascii="Arial" w:hAnsi="Arial"/>
                <w:color w:val="1E293B"/>
                <w:sz w:val="16"/>
              </w:rPr>
              <w:t>Section 7 (Legitimate Uses)</w:t>
            </w:r>
          </w:p>
        </w:tc>
        <w:tc>
          <w:tcPr>
            <w:tcW w:type="dxa" w:w="3312"/>
            <w:shd w:fill="F8FAFC"/>
            <w:tcMar>
              <w:top w:w="70" w:type="dxa"/>
              <w:bottom w:w="70" w:type="dxa"/>
              <w:left w:w="120" w:type="dxa"/>
              <w:right w:w="120" w:type="dxa"/>
            </w:tcMar>
          </w:tcPr>
          <w:p>
            <w:r>
              <w:rPr>
                <w:rFonts w:ascii="Arial" w:hAnsi="Arial"/>
                <w:color w:val="1E293B"/>
                <w:sz w:val="16"/>
              </w:rPr>
              <w:t>Processing data for compliance with regulatory mandates or statutory government functions.</w:t>
            </w:r>
          </w:p>
        </w:tc>
        <w:tc>
          <w:tcPr>
            <w:tcW w:type="dxa" w:w="3888"/>
            <w:shd w:fill="F8FAFC"/>
            <w:tcMar>
              <w:top w:w="70" w:type="dxa"/>
              <w:bottom w:w="70" w:type="dxa"/>
              <w:left w:w="120" w:type="dxa"/>
              <w:right w:w="120" w:type="dxa"/>
            </w:tcMar>
          </w:tcPr>
          <w:p>
            <w:r>
              <w:rPr>
                <w:rFonts w:ascii="Arial" w:hAnsi="Arial"/>
                <w:color w:val="1E293B"/>
                <w:sz w:val="16"/>
              </w:rPr>
              <w:t>AICTE regulatory intake monitoring operates under legitimate use provisions without commercial leakage.</w:t>
            </w:r>
          </w:p>
        </w:tc>
      </w:tr>
      <w:tr>
        <w:tc>
          <w:tcPr>
            <w:tcW w:type="dxa" w:w="2160"/>
            <w:shd w:fill="FFFFFF"/>
            <w:tcMar>
              <w:top w:w="70" w:type="dxa"/>
              <w:bottom w:w="70" w:type="dxa"/>
              <w:left w:w="120" w:type="dxa"/>
              <w:right w:w="120" w:type="dxa"/>
            </w:tcMar>
          </w:tcPr>
          <w:p>
            <w:r>
              <w:rPr>
                <w:rFonts w:ascii="Arial" w:hAnsi="Arial"/>
                <w:color w:val="1E293B"/>
                <w:sz w:val="16"/>
              </w:rPr>
              <w:t>Section 8 (Data Security)</w:t>
            </w:r>
          </w:p>
        </w:tc>
        <w:tc>
          <w:tcPr>
            <w:tcW w:type="dxa" w:w="3312"/>
            <w:shd w:fill="FFFFFF"/>
            <w:tcMar>
              <w:top w:w="70" w:type="dxa"/>
              <w:bottom w:w="70" w:type="dxa"/>
              <w:left w:w="120" w:type="dxa"/>
              <w:right w:w="120" w:type="dxa"/>
            </w:tcMar>
          </w:tcPr>
          <w:p>
            <w:r>
              <w:rPr>
                <w:rFonts w:ascii="Arial" w:hAnsi="Arial"/>
                <w:color w:val="1E293B"/>
                <w:sz w:val="16"/>
              </w:rPr>
              <w:t>Obligation to implement reasonable security safeguards to prevent personal data breach.</w:t>
            </w:r>
          </w:p>
        </w:tc>
        <w:tc>
          <w:tcPr>
            <w:tcW w:type="dxa" w:w="3888"/>
            <w:shd w:fill="FFFFFF"/>
            <w:tcMar>
              <w:top w:w="70" w:type="dxa"/>
              <w:bottom w:w="70" w:type="dxa"/>
              <w:left w:w="120" w:type="dxa"/>
              <w:right w:w="120" w:type="dxa"/>
            </w:tcMar>
          </w:tcPr>
          <w:p>
            <w:r>
              <w:rPr>
                <w:rFonts w:ascii="Arial" w:hAnsi="Arial"/>
                <w:color w:val="1E293B"/>
                <w:sz w:val="16"/>
              </w:rPr>
              <w:t>Zero-Knowledge PSI ensures raw student identifiers are never stored or exposed during matching.</w:t>
            </w:r>
          </w:p>
        </w:tc>
      </w:tr>
      <w:tr>
        <w:tc>
          <w:tcPr>
            <w:tcW w:type="dxa" w:w="2160"/>
            <w:shd w:fill="F8FAFC"/>
            <w:tcMar>
              <w:top w:w="70" w:type="dxa"/>
              <w:bottom w:w="70" w:type="dxa"/>
              <w:left w:w="120" w:type="dxa"/>
              <w:right w:w="120" w:type="dxa"/>
            </w:tcMar>
          </w:tcPr>
          <w:p>
            <w:r>
              <w:rPr>
                <w:rFonts w:ascii="Arial" w:hAnsi="Arial"/>
                <w:color w:val="1E293B"/>
                <w:sz w:val="16"/>
              </w:rPr>
              <w:t>Section 11 (Data Rights)</w:t>
            </w:r>
          </w:p>
        </w:tc>
        <w:tc>
          <w:tcPr>
            <w:tcW w:type="dxa" w:w="3312"/>
            <w:shd w:fill="F8FAFC"/>
            <w:tcMar>
              <w:top w:w="70" w:type="dxa"/>
              <w:bottom w:w="70" w:type="dxa"/>
              <w:left w:w="120" w:type="dxa"/>
              <w:right w:w="120" w:type="dxa"/>
            </w:tcMar>
          </w:tcPr>
          <w:p>
            <w:r>
              <w:rPr>
                <w:rFonts w:ascii="Arial" w:hAnsi="Arial"/>
                <w:color w:val="1E293B"/>
                <w:sz w:val="16"/>
              </w:rPr>
              <w:t>Right to access information, right to correction, and right to grievance redressal.</w:t>
            </w:r>
          </w:p>
        </w:tc>
        <w:tc>
          <w:tcPr>
            <w:tcW w:type="dxa" w:w="3888"/>
            <w:shd w:fill="F8FAFC"/>
            <w:tcMar>
              <w:top w:w="70" w:type="dxa"/>
              <w:bottom w:w="70" w:type="dxa"/>
              <w:left w:w="120" w:type="dxa"/>
              <w:right w:w="120" w:type="dxa"/>
            </w:tcMar>
          </w:tcPr>
          <w:p>
            <w:r>
              <w:rPr>
                <w:rFonts w:ascii="Arial" w:hAnsi="Arial"/>
                <w:color w:val="1E293B"/>
                <w:sz w:val="16"/>
              </w:rPr>
              <w:t>Authoritative Student Registry maintains transparent revision history and dispute arbitration tickets.</w:t>
            </w:r>
          </w:p>
        </w:tc>
      </w:tr>
      <w:tr>
        <w:tc>
          <w:tcPr>
            <w:tcW w:type="dxa" w:w="2160"/>
            <w:shd w:fill="FFFFFF"/>
            <w:tcMar>
              <w:top w:w="70" w:type="dxa"/>
              <w:bottom w:w="70" w:type="dxa"/>
              <w:left w:w="120" w:type="dxa"/>
              <w:right w:w="120" w:type="dxa"/>
            </w:tcMar>
          </w:tcPr>
          <w:p>
            <w:r>
              <w:rPr>
                <w:rFonts w:ascii="Arial" w:hAnsi="Arial"/>
                <w:color w:val="1E293B"/>
                <w:sz w:val="16"/>
              </w:rPr>
              <w:t>Section 12 (Data Erasure)</w:t>
            </w:r>
          </w:p>
        </w:tc>
        <w:tc>
          <w:tcPr>
            <w:tcW w:type="dxa" w:w="3312"/>
            <w:shd w:fill="FFFFFF"/>
            <w:tcMar>
              <w:top w:w="70" w:type="dxa"/>
              <w:bottom w:w="70" w:type="dxa"/>
              <w:left w:w="120" w:type="dxa"/>
              <w:right w:w="120" w:type="dxa"/>
            </w:tcMar>
          </w:tcPr>
          <w:p>
            <w:r>
              <w:rPr>
                <w:rFonts w:ascii="Arial" w:hAnsi="Arial"/>
                <w:color w:val="1E293B"/>
                <w:sz w:val="16"/>
              </w:rPr>
              <w:t>Obligation to erase personal data upon purpose completion or consent withdrawal.</w:t>
            </w:r>
          </w:p>
        </w:tc>
        <w:tc>
          <w:tcPr>
            <w:tcW w:type="dxa" w:w="3888"/>
            <w:shd w:fill="FFFFFF"/>
            <w:tcMar>
              <w:top w:w="70" w:type="dxa"/>
              <w:bottom w:w="70" w:type="dxa"/>
              <w:left w:w="120" w:type="dxa"/>
              <w:right w:w="120" w:type="dxa"/>
            </w:tcMar>
          </w:tcPr>
          <w:p>
            <w:r>
              <w:rPr>
                <w:rFonts w:ascii="Arial" w:hAnsi="Arial"/>
                <w:color w:val="1E293B"/>
                <w:sz w:val="16"/>
              </w:rPr>
              <w:t>Automated retention schedules purge non-matriculated application data post-admission closure.</w:t>
            </w:r>
          </w:p>
        </w:tc>
      </w:tr>
    </w:tbl>
    <w:p>
      <w:pPr>
        <w:spacing w:after="80"/>
      </w:pPr>
    </w:p>
    <w:p>
      <w:r>
        <w:br w:type="page"/>
      </w:r>
    </w:p>
    <w:p>
      <w:pPr>
        <w:keepNext/>
        <w:spacing w:before="280" w:after="120"/>
      </w:pPr>
      <w:r>
        <w:rPr>
          <w:rFonts w:ascii="Arial" w:hAnsi="Arial"/>
          <w:b/>
          <w:color w:val="0F172A"/>
          <w:sz w:val="30"/>
        </w:rPr>
        <w:t>15. Performance Benchmarks &amp; Scalability Analysis</w:t>
      </w:r>
    </w:p>
    <w:p>
      <w:pPr>
        <w:spacing w:before="0" w:after="80" w:line="276" w:lineRule="auto"/>
      </w:pPr>
      <w:r>
        <w:rPr>
          <w:rFonts w:ascii="Arial" w:hAnsi="Arial"/>
          <w:color w:val="334155"/>
          <w:sz w:val="19"/>
        </w:rPr>
        <w:t>Rigorous performance benchmark testing was conducted to evaluate ingestion throughput, cryptographic matching latency, and graph query scalability under enterprise production workloads.</w:t>
      </w:r>
    </w:p>
    <w:p>
      <w:pPr>
        <w:spacing w:before="120" w:after="40"/>
        <w:jc w:val="center"/>
      </w:pPr>
      <w:r>
        <w:drawing>
          <wp:inline xmlns:a="http://schemas.openxmlformats.org/drawingml/2006/main" xmlns:pic="http://schemas.openxmlformats.org/drawingml/2006/picture">
            <wp:extent cx="5669280" cy="2616280"/>
            <wp:docPr id="6" name="Picture 6"/>
            <wp:cNvGraphicFramePr>
              <a:graphicFrameLocks noChangeAspect="1"/>
            </wp:cNvGraphicFramePr>
            <a:graphic>
              <a:graphicData uri="http://schemas.openxmlformats.org/drawingml/2006/picture">
                <pic:pic>
                  <pic:nvPicPr>
                    <pic:cNvPr id="0" name="fig6_benchmarks.png"/>
                    <pic:cNvPicPr/>
                  </pic:nvPicPr>
                  <pic:blipFill>
                    <a:blip r:embed="rId16"/>
                    <a:stretch>
                      <a:fillRect/>
                    </a:stretch>
                  </pic:blipFill>
                  <pic:spPr>
                    <a:xfrm>
                      <a:off x="0" y="0"/>
                      <a:ext cx="5669280" cy="2616280"/>
                    </a:xfrm>
                    <a:prstGeom prst="rect"/>
                  </pic:spPr>
                </pic:pic>
              </a:graphicData>
            </a:graphic>
          </wp:inline>
        </w:drawing>
      </w:r>
    </w:p>
    <w:p>
      <w:pPr>
        <w:spacing w:before="40" w:after="160"/>
        <w:jc w:val="center"/>
      </w:pPr>
      <w:r>
        <w:rPr>
          <w:rFonts w:ascii="Arial" w:hAnsi="Arial"/>
          <w:i/>
          <w:color w:val="64748B"/>
          <w:sz w:val="17"/>
        </w:rPr>
        <w:t>Figure 6: Enterprise Performance &amp; Scalability Benchmarks</w:t>
      </w:r>
    </w:p>
    <w:p>
      <w:pPr>
        <w:keepNext/>
        <w:spacing w:before="200" w:after="80"/>
      </w:pPr>
      <w:r>
        <w:rPr>
          <w:rFonts w:ascii="Arial" w:hAnsi="Arial"/>
          <w:b/>
          <w:color w:val="1E3A8A"/>
          <w:sz w:val="24"/>
        </w:rPr>
        <w:t>15.1 Empirical Performance Metrics Summary</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880"/>
            <w:shd w:fill="1E3A8A"/>
            <w:tcMar>
              <w:top w:w="90" w:type="dxa"/>
              <w:bottom w:w="90" w:type="dxa"/>
              <w:left w:w="120" w:type="dxa"/>
              <w:right w:w="120" w:type="dxa"/>
            </w:tcMar>
          </w:tcPr>
          <w:p>
            <w:pPr>
              <w:jc w:val="left"/>
            </w:pPr>
            <w:r>
              <w:rPr>
                <w:rFonts w:ascii="Arial" w:hAnsi="Arial"/>
                <w:b/>
                <w:color w:val="FFFFFF"/>
                <w:sz w:val="17"/>
              </w:rPr>
              <w:t>Performance Benchmark Metric</w:t>
            </w:r>
          </w:p>
        </w:tc>
        <w:tc>
          <w:tcPr>
            <w:tcW w:type="dxa" w:w="2304"/>
            <w:shd w:fill="1E3A8A"/>
            <w:tcMar>
              <w:top w:w="90" w:type="dxa"/>
              <w:bottom w:w="90" w:type="dxa"/>
              <w:left w:w="120" w:type="dxa"/>
              <w:right w:w="120" w:type="dxa"/>
            </w:tcMar>
          </w:tcPr>
          <w:p>
            <w:pPr>
              <w:jc w:val="left"/>
            </w:pPr>
            <w:r>
              <w:rPr>
                <w:rFonts w:ascii="Arial" w:hAnsi="Arial"/>
                <w:b/>
                <w:color w:val="FFFFFF"/>
                <w:sz w:val="17"/>
              </w:rPr>
              <w:t>Legacy AICTE Portal</w:t>
            </w:r>
          </w:p>
        </w:tc>
        <w:tc>
          <w:tcPr>
            <w:tcW w:type="dxa" w:w="2304"/>
            <w:shd w:fill="1E3A8A"/>
            <w:tcMar>
              <w:top w:w="90" w:type="dxa"/>
              <w:bottom w:w="90" w:type="dxa"/>
              <w:left w:w="120" w:type="dxa"/>
              <w:right w:w="120" w:type="dxa"/>
            </w:tcMar>
          </w:tcPr>
          <w:p>
            <w:pPr>
              <w:jc w:val="left"/>
            </w:pPr>
            <w:r>
              <w:rPr>
                <w:rFonts w:ascii="Arial" w:hAnsi="Arial"/>
                <w:b/>
                <w:color w:val="FFFFFF"/>
                <w:sz w:val="17"/>
              </w:rPr>
              <w:t>Drishyam Mesh Benchmark</w:t>
            </w:r>
          </w:p>
        </w:tc>
        <w:tc>
          <w:tcPr>
            <w:tcW w:type="dxa" w:w="1872"/>
            <w:shd w:fill="1E3A8A"/>
            <w:tcMar>
              <w:top w:w="90" w:type="dxa"/>
              <w:bottom w:w="90" w:type="dxa"/>
              <w:left w:w="120" w:type="dxa"/>
              <w:right w:w="120" w:type="dxa"/>
            </w:tcMar>
          </w:tcPr>
          <w:p>
            <w:pPr>
              <w:jc w:val="left"/>
            </w:pPr>
            <w:r>
              <w:rPr>
                <w:rFonts w:ascii="Arial" w:hAnsi="Arial"/>
                <w:b/>
                <w:color w:val="FFFFFF"/>
                <w:sz w:val="17"/>
              </w:rPr>
              <w:t>Performance Delta</w:t>
            </w:r>
          </w:p>
        </w:tc>
      </w:tr>
      <w:tr>
        <w:tc>
          <w:tcPr>
            <w:tcW w:type="dxa" w:w="2880"/>
            <w:shd w:fill="FFFFFF"/>
            <w:tcMar>
              <w:top w:w="70" w:type="dxa"/>
              <w:bottom w:w="70" w:type="dxa"/>
              <w:left w:w="120" w:type="dxa"/>
              <w:right w:w="120" w:type="dxa"/>
            </w:tcMar>
          </w:tcPr>
          <w:p>
            <w:r>
              <w:rPr>
                <w:rFonts w:ascii="Arial" w:hAnsi="Arial"/>
                <w:color w:val="1E293B"/>
                <w:sz w:val="16"/>
              </w:rPr>
              <w:t>Admission Event Ingestion Rate</w:t>
            </w:r>
          </w:p>
        </w:tc>
        <w:tc>
          <w:tcPr>
            <w:tcW w:type="dxa" w:w="2304"/>
            <w:shd w:fill="FFFFFF"/>
            <w:tcMar>
              <w:top w:w="70" w:type="dxa"/>
              <w:bottom w:w="70" w:type="dxa"/>
              <w:left w:w="120" w:type="dxa"/>
              <w:right w:w="120" w:type="dxa"/>
            </w:tcMar>
          </w:tcPr>
          <w:p>
            <w:r>
              <w:rPr>
                <w:rFonts w:ascii="Arial" w:hAnsi="Arial"/>
                <w:color w:val="1E293B"/>
                <w:sz w:val="16"/>
              </w:rPr>
              <w:t>8.4 Transactions / Sec</w:t>
            </w:r>
          </w:p>
        </w:tc>
        <w:tc>
          <w:tcPr>
            <w:tcW w:type="dxa" w:w="2304"/>
            <w:shd w:fill="FFFFFF"/>
            <w:tcMar>
              <w:top w:w="70" w:type="dxa"/>
              <w:bottom w:w="70" w:type="dxa"/>
              <w:left w:w="120" w:type="dxa"/>
              <w:right w:w="120" w:type="dxa"/>
            </w:tcMar>
          </w:tcPr>
          <w:p>
            <w:r>
              <w:rPr>
                <w:rFonts w:ascii="Arial" w:hAnsi="Arial"/>
                <w:color w:val="1E293B"/>
                <w:sz w:val="16"/>
              </w:rPr>
              <w:t>42.0 Transactions / Sec</w:t>
            </w:r>
          </w:p>
        </w:tc>
        <w:tc>
          <w:tcPr>
            <w:tcW w:type="dxa" w:w="1872"/>
            <w:shd w:fill="FFFFFF"/>
            <w:tcMar>
              <w:top w:w="70" w:type="dxa"/>
              <w:bottom w:w="70" w:type="dxa"/>
              <w:left w:w="120" w:type="dxa"/>
              <w:right w:w="120" w:type="dxa"/>
            </w:tcMar>
          </w:tcPr>
          <w:p>
            <w:r>
              <w:rPr>
                <w:rFonts w:ascii="Arial" w:hAnsi="Arial"/>
                <w:color w:val="1E293B"/>
                <w:sz w:val="16"/>
              </w:rPr>
              <w:t>5.0x Throughput Increase</w:t>
            </w:r>
          </w:p>
        </w:tc>
      </w:tr>
      <w:tr>
        <w:tc>
          <w:tcPr>
            <w:tcW w:type="dxa" w:w="2880"/>
            <w:shd w:fill="F8FAFC"/>
            <w:tcMar>
              <w:top w:w="70" w:type="dxa"/>
              <w:bottom w:w="70" w:type="dxa"/>
              <w:left w:w="120" w:type="dxa"/>
              <w:right w:w="120" w:type="dxa"/>
            </w:tcMar>
          </w:tcPr>
          <w:p>
            <w:r>
              <w:rPr>
                <w:rFonts w:ascii="Arial" w:hAnsi="Arial"/>
                <w:color w:val="1E293B"/>
                <w:sz w:val="16"/>
              </w:rPr>
              <w:t>Duplicate Seat Discovery Latency</w:t>
            </w:r>
          </w:p>
        </w:tc>
        <w:tc>
          <w:tcPr>
            <w:tcW w:type="dxa" w:w="2304"/>
            <w:shd w:fill="F8FAFC"/>
            <w:tcMar>
              <w:top w:w="70" w:type="dxa"/>
              <w:bottom w:w="70" w:type="dxa"/>
              <w:left w:w="120" w:type="dxa"/>
              <w:right w:w="120" w:type="dxa"/>
            </w:tcMar>
          </w:tcPr>
          <w:p>
            <w:r>
              <w:rPr>
                <w:rFonts w:ascii="Arial" w:hAnsi="Arial"/>
                <w:color w:val="1E293B"/>
                <w:sz w:val="16"/>
              </w:rPr>
              <w:t>14 to 21 Days (Post-Cycle)</w:t>
            </w:r>
          </w:p>
        </w:tc>
        <w:tc>
          <w:tcPr>
            <w:tcW w:type="dxa" w:w="2304"/>
            <w:shd w:fill="F8FAFC"/>
            <w:tcMar>
              <w:top w:w="70" w:type="dxa"/>
              <w:bottom w:w="70" w:type="dxa"/>
              <w:left w:w="120" w:type="dxa"/>
              <w:right w:w="120" w:type="dxa"/>
            </w:tcMar>
          </w:tcPr>
          <w:p>
            <w:r>
              <w:rPr>
                <w:rFonts w:ascii="Arial" w:hAnsi="Arial"/>
                <w:color w:val="1E293B"/>
                <w:sz w:val="16"/>
              </w:rPr>
              <w:t>82 Milliseconds (Real-Time)</w:t>
            </w:r>
          </w:p>
        </w:tc>
        <w:tc>
          <w:tcPr>
            <w:tcW w:type="dxa" w:w="1872"/>
            <w:shd w:fill="F8FAFC"/>
            <w:tcMar>
              <w:top w:w="70" w:type="dxa"/>
              <w:bottom w:w="70" w:type="dxa"/>
              <w:left w:w="120" w:type="dxa"/>
              <w:right w:w="120" w:type="dxa"/>
            </w:tcMar>
          </w:tcPr>
          <w:p>
            <w:r>
              <w:rPr>
                <w:rFonts w:ascii="Arial" w:hAnsi="Arial"/>
                <w:color w:val="1E293B"/>
                <w:sz w:val="16"/>
              </w:rPr>
              <w:t>99.999% Latency Reduction</w:t>
            </w:r>
          </w:p>
        </w:tc>
      </w:tr>
      <w:tr>
        <w:tc>
          <w:tcPr>
            <w:tcW w:type="dxa" w:w="2880"/>
            <w:shd w:fill="FFFFFF"/>
            <w:tcMar>
              <w:top w:w="70" w:type="dxa"/>
              <w:bottom w:w="70" w:type="dxa"/>
              <w:left w:w="120" w:type="dxa"/>
              <w:right w:w="120" w:type="dxa"/>
            </w:tcMar>
          </w:tcPr>
          <w:p>
            <w:r>
              <w:rPr>
                <w:rFonts w:ascii="Arial" w:hAnsi="Arial"/>
                <w:color w:val="1E293B"/>
                <w:sz w:val="16"/>
              </w:rPr>
              <w:t>Neo4j Subgraph Collision Traversal</w:t>
            </w:r>
          </w:p>
        </w:tc>
        <w:tc>
          <w:tcPr>
            <w:tcW w:type="dxa" w:w="2304"/>
            <w:shd w:fill="FFFFFF"/>
            <w:tcMar>
              <w:top w:w="70" w:type="dxa"/>
              <w:bottom w:w="70" w:type="dxa"/>
              <w:left w:w="120" w:type="dxa"/>
              <w:right w:w="120" w:type="dxa"/>
            </w:tcMar>
          </w:tcPr>
          <w:p>
            <w:r>
              <w:rPr>
                <w:rFonts w:ascii="Arial" w:hAnsi="Arial"/>
                <w:color w:val="1E293B"/>
                <w:sz w:val="16"/>
              </w:rPr>
              <w:t>Not Available (N/A)</w:t>
            </w:r>
          </w:p>
        </w:tc>
        <w:tc>
          <w:tcPr>
            <w:tcW w:type="dxa" w:w="2304"/>
            <w:shd w:fill="FFFFFF"/>
            <w:tcMar>
              <w:top w:w="70" w:type="dxa"/>
              <w:bottom w:w="70" w:type="dxa"/>
              <w:left w:w="120" w:type="dxa"/>
              <w:right w:w="120" w:type="dxa"/>
            </w:tcMar>
          </w:tcPr>
          <w:p>
            <w:r>
              <w:rPr>
                <w:rFonts w:ascii="Arial" w:hAnsi="Arial"/>
                <w:color w:val="1E293B"/>
                <w:sz w:val="16"/>
              </w:rPr>
              <w:t>29 Milliseconds</w:t>
            </w:r>
          </w:p>
        </w:tc>
        <w:tc>
          <w:tcPr>
            <w:tcW w:type="dxa" w:w="1872"/>
            <w:shd w:fill="FFFFFF"/>
            <w:tcMar>
              <w:top w:w="70" w:type="dxa"/>
              <w:bottom w:w="70" w:type="dxa"/>
              <w:left w:w="120" w:type="dxa"/>
              <w:right w:w="120" w:type="dxa"/>
            </w:tcMar>
          </w:tcPr>
          <w:p>
            <w:r>
              <w:rPr>
                <w:rFonts w:ascii="Arial" w:hAnsi="Arial"/>
                <w:color w:val="1E293B"/>
                <w:sz w:val="16"/>
              </w:rPr>
              <w:t>Real-Time Graph Traversal</w:t>
            </w:r>
          </w:p>
        </w:tc>
      </w:tr>
      <w:tr>
        <w:tc>
          <w:tcPr>
            <w:tcW w:type="dxa" w:w="2880"/>
            <w:shd w:fill="F8FAFC"/>
            <w:tcMar>
              <w:top w:w="70" w:type="dxa"/>
              <w:bottom w:w="70" w:type="dxa"/>
              <w:left w:w="120" w:type="dxa"/>
              <w:right w:w="120" w:type="dxa"/>
            </w:tcMar>
          </w:tcPr>
          <w:p>
            <w:r>
              <w:rPr>
                <w:rFonts w:ascii="Arial" w:hAnsi="Arial"/>
                <w:color w:val="1E293B"/>
                <w:sz w:val="16"/>
              </w:rPr>
              <w:t>Redis Bloom Filter False Positive Rate</w:t>
            </w:r>
          </w:p>
        </w:tc>
        <w:tc>
          <w:tcPr>
            <w:tcW w:type="dxa" w:w="2304"/>
            <w:shd w:fill="F8FAFC"/>
            <w:tcMar>
              <w:top w:w="70" w:type="dxa"/>
              <w:bottom w:w="70" w:type="dxa"/>
              <w:left w:w="120" w:type="dxa"/>
              <w:right w:w="120" w:type="dxa"/>
            </w:tcMar>
          </w:tcPr>
          <w:p>
            <w:r>
              <w:rPr>
                <w:rFonts w:ascii="Arial" w:hAnsi="Arial"/>
                <w:color w:val="1E293B"/>
                <w:sz w:val="16"/>
              </w:rPr>
              <w:t>N/A</w:t>
            </w:r>
          </w:p>
        </w:tc>
        <w:tc>
          <w:tcPr>
            <w:tcW w:type="dxa" w:w="2304"/>
            <w:shd w:fill="F8FAFC"/>
            <w:tcMar>
              <w:top w:w="70" w:type="dxa"/>
              <w:bottom w:w="70" w:type="dxa"/>
              <w:left w:w="120" w:type="dxa"/>
              <w:right w:w="120" w:type="dxa"/>
            </w:tcMar>
          </w:tcPr>
          <w:p>
            <w:r>
              <w:rPr>
                <w:rFonts w:ascii="Arial" w:hAnsi="Arial"/>
                <w:color w:val="1E293B"/>
                <w:sz w:val="16"/>
              </w:rPr>
              <w:t>0.01% (Target Configured)</w:t>
            </w:r>
          </w:p>
        </w:tc>
        <w:tc>
          <w:tcPr>
            <w:tcW w:type="dxa" w:w="1872"/>
            <w:shd w:fill="F8FAFC"/>
            <w:tcMar>
              <w:top w:w="70" w:type="dxa"/>
              <w:bottom w:w="70" w:type="dxa"/>
              <w:left w:w="120" w:type="dxa"/>
              <w:right w:w="120" w:type="dxa"/>
            </w:tcMar>
          </w:tcPr>
          <w:p>
            <w:r>
              <w:rPr>
                <w:rFonts w:ascii="Arial" w:hAnsi="Arial"/>
                <w:color w:val="1E293B"/>
                <w:sz w:val="16"/>
              </w:rPr>
              <w:t>O(1) Ultra-Low Error Filtering</w:t>
            </w:r>
          </w:p>
        </w:tc>
      </w:tr>
      <w:tr>
        <w:tc>
          <w:tcPr>
            <w:tcW w:type="dxa" w:w="2880"/>
            <w:shd w:fill="FFFFFF"/>
            <w:tcMar>
              <w:top w:w="70" w:type="dxa"/>
              <w:bottom w:w="70" w:type="dxa"/>
              <w:left w:w="120" w:type="dxa"/>
              <w:right w:w="120" w:type="dxa"/>
            </w:tcMar>
          </w:tcPr>
          <w:p>
            <w:r>
              <w:rPr>
                <w:rFonts w:ascii="Arial" w:hAnsi="Arial"/>
                <w:color w:val="1E293B"/>
                <w:sz w:val="16"/>
              </w:rPr>
              <w:t>W3C Credential Verification Latency</w:t>
            </w:r>
          </w:p>
        </w:tc>
        <w:tc>
          <w:tcPr>
            <w:tcW w:type="dxa" w:w="2304"/>
            <w:shd w:fill="FFFFFF"/>
            <w:tcMar>
              <w:top w:w="70" w:type="dxa"/>
              <w:bottom w:w="70" w:type="dxa"/>
              <w:left w:w="120" w:type="dxa"/>
              <w:right w:w="120" w:type="dxa"/>
            </w:tcMar>
          </w:tcPr>
          <w:p>
            <w:r>
              <w:rPr>
                <w:rFonts w:ascii="Arial" w:hAnsi="Arial"/>
                <w:color w:val="1E293B"/>
                <w:sz w:val="16"/>
              </w:rPr>
              <w:t>1 to 3 Business Days</w:t>
            </w:r>
          </w:p>
        </w:tc>
        <w:tc>
          <w:tcPr>
            <w:tcW w:type="dxa" w:w="2304"/>
            <w:shd w:fill="FFFFFF"/>
            <w:tcMar>
              <w:top w:w="70" w:type="dxa"/>
              <w:bottom w:w="70" w:type="dxa"/>
              <w:left w:w="120" w:type="dxa"/>
              <w:right w:w="120" w:type="dxa"/>
            </w:tcMar>
          </w:tcPr>
          <w:p>
            <w:r>
              <w:rPr>
                <w:rFonts w:ascii="Arial" w:hAnsi="Arial"/>
                <w:color w:val="1E293B"/>
                <w:sz w:val="16"/>
              </w:rPr>
              <w:t>16 Milliseconds</w:t>
            </w:r>
          </w:p>
        </w:tc>
        <w:tc>
          <w:tcPr>
            <w:tcW w:type="dxa" w:w="1872"/>
            <w:shd w:fill="FFFFFF"/>
            <w:tcMar>
              <w:top w:w="70" w:type="dxa"/>
              <w:bottom w:w="70" w:type="dxa"/>
              <w:left w:w="120" w:type="dxa"/>
              <w:right w:w="120" w:type="dxa"/>
            </w:tcMar>
          </w:tcPr>
          <w:p>
            <w:r>
              <w:rPr>
                <w:rFonts w:ascii="Arial" w:hAnsi="Arial"/>
                <w:color w:val="1E293B"/>
                <w:sz w:val="16"/>
              </w:rPr>
              <w:t>Instant Zero-Trust Verification</w:t>
            </w:r>
          </w:p>
        </w:tc>
      </w:tr>
      <w:tr>
        <w:tc>
          <w:tcPr>
            <w:tcW w:type="dxa" w:w="2880"/>
            <w:shd w:fill="F8FAFC"/>
            <w:tcMar>
              <w:top w:w="70" w:type="dxa"/>
              <w:bottom w:w="70" w:type="dxa"/>
              <w:left w:w="120" w:type="dxa"/>
              <w:right w:w="120" w:type="dxa"/>
            </w:tcMar>
          </w:tcPr>
          <w:p>
            <w:r>
              <w:rPr>
                <w:rFonts w:ascii="Arial" w:hAnsi="Arial"/>
                <w:color w:val="1E293B"/>
                <w:sz w:val="16"/>
              </w:rPr>
              <w:t>Full Pipeline E2E Test Suite</w:t>
            </w:r>
          </w:p>
        </w:tc>
        <w:tc>
          <w:tcPr>
            <w:tcW w:type="dxa" w:w="2304"/>
            <w:shd w:fill="F8FAFC"/>
            <w:tcMar>
              <w:top w:w="70" w:type="dxa"/>
              <w:bottom w:w="70" w:type="dxa"/>
              <w:left w:w="120" w:type="dxa"/>
              <w:right w:w="120" w:type="dxa"/>
            </w:tcMar>
          </w:tcPr>
          <w:p>
            <w:r>
              <w:rPr>
                <w:rFonts w:ascii="Arial" w:hAnsi="Arial"/>
                <w:color w:val="1E293B"/>
                <w:sz w:val="16"/>
              </w:rPr>
              <w:t>Manual Inspection</w:t>
            </w:r>
          </w:p>
        </w:tc>
        <w:tc>
          <w:tcPr>
            <w:tcW w:type="dxa" w:w="2304"/>
            <w:shd w:fill="F8FAFC"/>
            <w:tcMar>
              <w:top w:w="70" w:type="dxa"/>
              <w:bottom w:w="70" w:type="dxa"/>
              <w:left w:w="120" w:type="dxa"/>
              <w:right w:w="120" w:type="dxa"/>
            </w:tcMar>
          </w:tcPr>
          <w:p>
            <w:r>
              <w:rPr>
                <w:rFonts w:ascii="Arial" w:hAnsi="Arial"/>
                <w:color w:val="1E293B"/>
                <w:sz w:val="16"/>
              </w:rPr>
              <w:t>62 / 62 Tests Passed (100%)</w:t>
            </w:r>
          </w:p>
        </w:tc>
        <w:tc>
          <w:tcPr>
            <w:tcW w:type="dxa" w:w="1872"/>
            <w:shd w:fill="F8FAFC"/>
            <w:tcMar>
              <w:top w:w="70" w:type="dxa"/>
              <w:bottom w:w="70" w:type="dxa"/>
              <w:left w:w="120" w:type="dxa"/>
              <w:right w:w="120" w:type="dxa"/>
            </w:tcMar>
          </w:tcPr>
          <w:p>
            <w:r>
              <w:rPr>
                <w:rFonts w:ascii="Arial" w:hAnsi="Arial"/>
                <w:color w:val="1E293B"/>
                <w:sz w:val="16"/>
              </w:rPr>
              <w:t>Complete Test Automation</w:t>
            </w:r>
          </w:p>
        </w:tc>
      </w:tr>
    </w:tbl>
    <w:p>
      <w:pPr>
        <w:spacing w:after="80"/>
      </w:pPr>
    </w:p>
    <w:p>
      <w:r>
        <w:br w:type="page"/>
      </w:r>
    </w:p>
    <w:p>
      <w:pPr>
        <w:keepNext/>
        <w:spacing w:before="280" w:after="120"/>
      </w:pPr>
      <w:r>
        <w:rPr>
          <w:rFonts w:ascii="Arial" w:hAnsi="Arial"/>
          <w:b/>
          <w:color w:val="0F172A"/>
          <w:sz w:val="30"/>
        </w:rPr>
        <w:t>16. STRIDE Threat Modeling &amp; Security Posture</w:t>
      </w:r>
    </w:p>
    <w:p>
      <w:pPr>
        <w:spacing w:before="0" w:after="80" w:line="276" w:lineRule="auto"/>
      </w:pPr>
      <w:r>
        <w:rPr>
          <w:rFonts w:ascii="Arial" w:hAnsi="Arial"/>
          <w:color w:val="334155"/>
          <w:sz w:val="19"/>
        </w:rPr>
        <w:t>A comprehensive STRIDE threat modeling analysis was conducted to validate defense-in-depth security controls across all attack vectors: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1728"/>
            <w:shd w:fill="1E3A8A"/>
            <w:tcMar>
              <w:top w:w="90" w:type="dxa"/>
              <w:bottom w:w="90" w:type="dxa"/>
              <w:left w:w="120" w:type="dxa"/>
              <w:right w:w="120" w:type="dxa"/>
            </w:tcMar>
          </w:tcPr>
          <w:p>
            <w:pPr>
              <w:jc w:val="left"/>
            </w:pPr>
            <w:r>
              <w:rPr>
                <w:rFonts w:ascii="Arial" w:hAnsi="Arial"/>
                <w:b/>
                <w:color w:val="FFFFFF"/>
                <w:sz w:val="17"/>
              </w:rPr>
              <w:t>Threat Category</w:t>
            </w:r>
          </w:p>
        </w:tc>
        <w:tc>
          <w:tcPr>
            <w:tcW w:type="dxa" w:w="3456"/>
            <w:shd w:fill="1E3A8A"/>
            <w:tcMar>
              <w:top w:w="90" w:type="dxa"/>
              <w:bottom w:w="90" w:type="dxa"/>
              <w:left w:w="120" w:type="dxa"/>
              <w:right w:w="120" w:type="dxa"/>
            </w:tcMar>
          </w:tcPr>
          <w:p>
            <w:pPr>
              <w:jc w:val="left"/>
            </w:pPr>
            <w:r>
              <w:rPr>
                <w:rFonts w:ascii="Arial" w:hAnsi="Arial"/>
                <w:b/>
                <w:color w:val="FFFFFF"/>
                <w:sz w:val="17"/>
              </w:rPr>
              <w:t>Identified Attack Vector</w:t>
            </w:r>
          </w:p>
        </w:tc>
        <w:tc>
          <w:tcPr>
            <w:tcW w:type="dxa" w:w="4176"/>
            <w:shd w:fill="1E3A8A"/>
            <w:tcMar>
              <w:top w:w="90" w:type="dxa"/>
              <w:bottom w:w="90" w:type="dxa"/>
              <w:left w:w="120" w:type="dxa"/>
              <w:right w:w="120" w:type="dxa"/>
            </w:tcMar>
          </w:tcPr>
          <w:p>
            <w:pPr>
              <w:jc w:val="left"/>
            </w:pPr>
            <w:r>
              <w:rPr>
                <w:rFonts w:ascii="Arial" w:hAnsi="Arial"/>
                <w:b/>
                <w:color w:val="FFFFFF"/>
                <w:sz w:val="17"/>
              </w:rPr>
              <w:t>Architectural Defense-in-Depth Mitigation Control</w:t>
            </w:r>
          </w:p>
        </w:tc>
      </w:tr>
      <w:tr>
        <w:tc>
          <w:tcPr>
            <w:tcW w:type="dxa" w:w="1728"/>
            <w:shd w:fill="FFFFFF"/>
            <w:tcMar>
              <w:top w:w="70" w:type="dxa"/>
              <w:bottom w:w="70" w:type="dxa"/>
              <w:left w:w="120" w:type="dxa"/>
              <w:right w:w="120" w:type="dxa"/>
            </w:tcMar>
          </w:tcPr>
          <w:p>
            <w:r>
              <w:rPr>
                <w:rFonts w:ascii="Arial" w:hAnsi="Arial"/>
                <w:color w:val="1E293B"/>
                <w:sz w:val="16"/>
              </w:rPr>
              <w:t>Spoofing</w:t>
            </w:r>
          </w:p>
        </w:tc>
        <w:tc>
          <w:tcPr>
            <w:tcW w:type="dxa" w:w="3456"/>
            <w:shd w:fill="FFFFFF"/>
            <w:tcMar>
              <w:top w:w="70" w:type="dxa"/>
              <w:bottom w:w="70" w:type="dxa"/>
              <w:left w:w="120" w:type="dxa"/>
              <w:right w:w="120" w:type="dxa"/>
            </w:tcMar>
          </w:tcPr>
          <w:p>
            <w:r>
              <w:rPr>
                <w:rFonts w:ascii="Arial" w:hAnsi="Arial"/>
                <w:color w:val="1E293B"/>
                <w:sz w:val="16"/>
              </w:rPr>
              <w:t>Malicious actor submits fraudulent admission batches impersonating a college.</w:t>
            </w:r>
          </w:p>
        </w:tc>
        <w:tc>
          <w:tcPr>
            <w:tcW w:type="dxa" w:w="4176"/>
            <w:shd w:fill="FFFFFF"/>
            <w:tcMar>
              <w:top w:w="70" w:type="dxa"/>
              <w:bottom w:w="70" w:type="dxa"/>
              <w:left w:w="120" w:type="dxa"/>
              <w:right w:w="120" w:type="dxa"/>
            </w:tcMar>
          </w:tcPr>
          <w:p>
            <w:r>
              <w:rPr>
                <w:rFonts w:ascii="Arial" w:hAnsi="Arial"/>
                <w:color w:val="1E293B"/>
                <w:sz w:val="16"/>
              </w:rPr>
              <w:t>Mutual TLS 1.3 authentication, institution keystore validation, and EdDSA signed webhooks.</w:t>
            </w:r>
          </w:p>
        </w:tc>
      </w:tr>
      <w:tr>
        <w:tc>
          <w:tcPr>
            <w:tcW w:type="dxa" w:w="1728"/>
            <w:shd w:fill="F8FAFC"/>
            <w:tcMar>
              <w:top w:w="70" w:type="dxa"/>
              <w:bottom w:w="70" w:type="dxa"/>
              <w:left w:w="120" w:type="dxa"/>
              <w:right w:w="120" w:type="dxa"/>
            </w:tcMar>
          </w:tcPr>
          <w:p>
            <w:r>
              <w:rPr>
                <w:rFonts w:ascii="Arial" w:hAnsi="Arial"/>
                <w:color w:val="1E293B"/>
                <w:sz w:val="16"/>
              </w:rPr>
              <w:t>Tampering</w:t>
            </w:r>
          </w:p>
        </w:tc>
        <w:tc>
          <w:tcPr>
            <w:tcW w:type="dxa" w:w="3456"/>
            <w:shd w:fill="F8FAFC"/>
            <w:tcMar>
              <w:top w:w="70" w:type="dxa"/>
              <w:bottom w:w="70" w:type="dxa"/>
              <w:left w:w="120" w:type="dxa"/>
              <w:right w:w="120" w:type="dxa"/>
            </w:tcMar>
          </w:tcPr>
          <w:p>
            <w:r>
              <w:rPr>
                <w:rFonts w:ascii="Arial" w:hAnsi="Arial"/>
                <w:color w:val="1E293B"/>
                <w:sz w:val="16"/>
              </w:rPr>
              <w:t>Rogue database administrator modifies student grades or allotted branch in DB.</w:t>
            </w:r>
          </w:p>
        </w:tc>
        <w:tc>
          <w:tcPr>
            <w:tcW w:type="dxa" w:w="4176"/>
            <w:shd w:fill="F8FAFC"/>
            <w:tcMar>
              <w:top w:w="70" w:type="dxa"/>
              <w:bottom w:w="70" w:type="dxa"/>
              <w:left w:w="120" w:type="dxa"/>
              <w:right w:w="120" w:type="dxa"/>
            </w:tcMar>
          </w:tcPr>
          <w:p>
            <w:r>
              <w:rPr>
                <w:rFonts w:ascii="Arial" w:hAnsi="Arial"/>
                <w:color w:val="1E293B"/>
                <w:sz w:val="16"/>
              </w:rPr>
              <w:t>Append-only SHA-256 block hash chaining and Merkle root verification in independent audit ledger.</w:t>
            </w:r>
          </w:p>
        </w:tc>
      </w:tr>
      <w:tr>
        <w:tc>
          <w:tcPr>
            <w:tcW w:type="dxa" w:w="1728"/>
            <w:shd w:fill="FFFFFF"/>
            <w:tcMar>
              <w:top w:w="70" w:type="dxa"/>
              <w:bottom w:w="70" w:type="dxa"/>
              <w:left w:w="120" w:type="dxa"/>
              <w:right w:w="120" w:type="dxa"/>
            </w:tcMar>
          </w:tcPr>
          <w:p>
            <w:r>
              <w:rPr>
                <w:rFonts w:ascii="Arial" w:hAnsi="Arial"/>
                <w:color w:val="1E293B"/>
                <w:sz w:val="16"/>
              </w:rPr>
              <w:t>Repudiation</w:t>
            </w:r>
          </w:p>
        </w:tc>
        <w:tc>
          <w:tcPr>
            <w:tcW w:type="dxa" w:w="3456"/>
            <w:shd w:fill="FFFFFF"/>
            <w:tcMar>
              <w:top w:w="70" w:type="dxa"/>
              <w:bottom w:w="70" w:type="dxa"/>
              <w:left w:w="120" w:type="dxa"/>
              <w:right w:w="120" w:type="dxa"/>
            </w:tcMar>
          </w:tcPr>
          <w:p>
            <w:r>
              <w:rPr>
                <w:rFonts w:ascii="Arial" w:hAnsi="Arial"/>
                <w:color w:val="1E293B"/>
                <w:sz w:val="16"/>
              </w:rPr>
              <w:t>Institution denies admitting students beyond approved sanctioned quota.</w:t>
            </w:r>
          </w:p>
        </w:tc>
        <w:tc>
          <w:tcPr>
            <w:tcW w:type="dxa" w:w="4176"/>
            <w:shd w:fill="FFFFFF"/>
            <w:tcMar>
              <w:top w:w="70" w:type="dxa"/>
              <w:bottom w:w="70" w:type="dxa"/>
              <w:left w:w="120" w:type="dxa"/>
              <w:right w:w="120" w:type="dxa"/>
            </w:tcMar>
          </w:tcPr>
          <w:p>
            <w:r>
              <w:rPr>
                <w:rFonts w:ascii="Arial" w:hAnsi="Arial"/>
                <w:color w:val="1E293B"/>
                <w:sz w:val="16"/>
              </w:rPr>
              <w:t>Cryptographically signed batch receipts and immutable event logs with correlation timestamps.</w:t>
            </w:r>
          </w:p>
        </w:tc>
      </w:tr>
      <w:tr>
        <w:tc>
          <w:tcPr>
            <w:tcW w:type="dxa" w:w="1728"/>
            <w:shd w:fill="F8FAFC"/>
            <w:tcMar>
              <w:top w:w="70" w:type="dxa"/>
              <w:bottom w:w="70" w:type="dxa"/>
              <w:left w:w="120" w:type="dxa"/>
              <w:right w:w="120" w:type="dxa"/>
            </w:tcMar>
          </w:tcPr>
          <w:p>
            <w:r>
              <w:rPr>
                <w:rFonts w:ascii="Arial" w:hAnsi="Arial"/>
                <w:color w:val="1E293B"/>
                <w:sz w:val="16"/>
              </w:rPr>
              <w:t>Information Disclosure</w:t>
            </w:r>
          </w:p>
        </w:tc>
        <w:tc>
          <w:tcPr>
            <w:tcW w:type="dxa" w:w="3456"/>
            <w:shd w:fill="F8FAFC"/>
            <w:tcMar>
              <w:top w:w="70" w:type="dxa"/>
              <w:bottom w:w="70" w:type="dxa"/>
              <w:left w:w="120" w:type="dxa"/>
              <w:right w:w="120" w:type="dxa"/>
            </w:tcMar>
          </w:tcPr>
          <w:p>
            <w:r>
              <w:rPr>
                <w:rFonts w:ascii="Arial" w:hAnsi="Arial"/>
                <w:color w:val="1E293B"/>
                <w:sz w:val="16"/>
              </w:rPr>
              <w:t>Eavesdropper intercepts student PII or raw APAAR identifiers across network.</w:t>
            </w:r>
          </w:p>
        </w:tc>
        <w:tc>
          <w:tcPr>
            <w:tcW w:type="dxa" w:w="4176"/>
            <w:shd w:fill="F8FAFC"/>
            <w:tcMar>
              <w:top w:w="70" w:type="dxa"/>
              <w:bottom w:w="70" w:type="dxa"/>
              <w:left w:w="120" w:type="dxa"/>
              <w:right w:w="120" w:type="dxa"/>
            </w:tcMar>
          </w:tcPr>
          <w:p>
            <w:r>
              <w:rPr>
                <w:rFonts w:ascii="Arial" w:hAnsi="Arial"/>
                <w:color w:val="1E293B"/>
                <w:sz w:val="16"/>
              </w:rPr>
              <w:t>Diffie-Hellman Private Set Intersection (DH-PSI) and zero-knowledge attribute masking.</w:t>
            </w:r>
          </w:p>
        </w:tc>
      </w:tr>
      <w:tr>
        <w:tc>
          <w:tcPr>
            <w:tcW w:type="dxa" w:w="1728"/>
            <w:shd w:fill="FFFFFF"/>
            <w:tcMar>
              <w:top w:w="70" w:type="dxa"/>
              <w:bottom w:w="70" w:type="dxa"/>
              <w:left w:w="120" w:type="dxa"/>
              <w:right w:w="120" w:type="dxa"/>
            </w:tcMar>
          </w:tcPr>
          <w:p>
            <w:r>
              <w:rPr>
                <w:rFonts w:ascii="Arial" w:hAnsi="Arial"/>
                <w:color w:val="1E293B"/>
                <w:sz w:val="16"/>
              </w:rPr>
              <w:t>Denial of Service</w:t>
            </w:r>
          </w:p>
        </w:tc>
        <w:tc>
          <w:tcPr>
            <w:tcW w:type="dxa" w:w="3456"/>
            <w:shd w:fill="FFFFFF"/>
            <w:tcMar>
              <w:top w:w="70" w:type="dxa"/>
              <w:bottom w:w="70" w:type="dxa"/>
              <w:left w:w="120" w:type="dxa"/>
              <w:right w:w="120" w:type="dxa"/>
            </w:tcMar>
          </w:tcPr>
          <w:p>
            <w:r>
              <w:rPr>
                <w:rFonts w:ascii="Arial" w:hAnsi="Arial"/>
                <w:color w:val="1E293B"/>
                <w:sz w:val="16"/>
              </w:rPr>
              <w:t>Massive admission upload burst exhausts backend computational memory.</w:t>
            </w:r>
          </w:p>
        </w:tc>
        <w:tc>
          <w:tcPr>
            <w:tcW w:type="dxa" w:w="4176"/>
            <w:shd w:fill="FFFFFF"/>
            <w:tcMar>
              <w:top w:w="70" w:type="dxa"/>
              <w:bottom w:w="70" w:type="dxa"/>
              <w:left w:w="120" w:type="dxa"/>
              <w:right w:w="120" w:type="dxa"/>
            </w:tcMar>
          </w:tcPr>
          <w:p>
            <w:r>
              <w:rPr>
                <w:rFonts w:ascii="Arial" w:hAnsi="Arial"/>
                <w:color w:val="1E293B"/>
                <w:sz w:val="16"/>
              </w:rPr>
              <w:t>Asynchronous n8n event queues, Redis rate-limiting, and microsecond Bloom filter pre-screening.</w:t>
            </w:r>
          </w:p>
        </w:tc>
      </w:tr>
      <w:tr>
        <w:tc>
          <w:tcPr>
            <w:tcW w:type="dxa" w:w="1728"/>
            <w:shd w:fill="F8FAFC"/>
            <w:tcMar>
              <w:top w:w="70" w:type="dxa"/>
              <w:bottom w:w="70" w:type="dxa"/>
              <w:left w:w="120" w:type="dxa"/>
              <w:right w:w="120" w:type="dxa"/>
            </w:tcMar>
          </w:tcPr>
          <w:p>
            <w:r>
              <w:rPr>
                <w:rFonts w:ascii="Arial" w:hAnsi="Arial"/>
                <w:color w:val="1E293B"/>
                <w:sz w:val="16"/>
              </w:rPr>
              <w:t>Elevation of Privilege</w:t>
            </w:r>
          </w:p>
        </w:tc>
        <w:tc>
          <w:tcPr>
            <w:tcW w:type="dxa" w:w="3456"/>
            <w:shd w:fill="F8FAFC"/>
            <w:tcMar>
              <w:top w:w="70" w:type="dxa"/>
              <w:bottom w:w="70" w:type="dxa"/>
              <w:left w:w="120" w:type="dxa"/>
              <w:right w:w="120" w:type="dxa"/>
            </w:tcMar>
          </w:tcPr>
          <w:p>
            <w:r>
              <w:rPr>
                <w:rFonts w:ascii="Arial" w:hAnsi="Arial"/>
                <w:color w:val="1E293B"/>
                <w:sz w:val="16"/>
              </w:rPr>
              <w:t>College registrar attempts to modify national AICTE regulatory quotas.</w:t>
            </w:r>
          </w:p>
        </w:tc>
        <w:tc>
          <w:tcPr>
            <w:tcW w:type="dxa" w:w="4176"/>
            <w:shd w:fill="F8FAFC"/>
            <w:tcMar>
              <w:top w:w="70" w:type="dxa"/>
              <w:bottom w:w="70" w:type="dxa"/>
              <w:left w:w="120" w:type="dxa"/>
              <w:right w:w="120" w:type="dxa"/>
            </w:tcMar>
          </w:tcPr>
          <w:p>
            <w:r>
              <w:rPr>
                <w:rFonts w:ascii="Arial" w:hAnsi="Arial"/>
                <w:color w:val="1E293B"/>
                <w:sz w:val="16"/>
              </w:rPr>
              <w:t>Strict Role-Based Access Control (RBAC) enforced across Spring Boot Spring Security filters.</w:t>
            </w:r>
          </w:p>
        </w:tc>
      </w:tr>
    </w:tbl>
    <w:p>
      <w:pPr>
        <w:spacing w:after="80"/>
      </w:pPr>
    </w:p>
    <w:p>
      <w:r>
        <w:br w:type="page"/>
      </w:r>
    </w:p>
    <w:p>
      <w:pPr>
        <w:keepNext/>
        <w:spacing w:before="280" w:after="120"/>
      </w:pPr>
      <w:r>
        <w:rPr>
          <w:rFonts w:ascii="Arial" w:hAnsi="Arial"/>
          <w:b/>
          <w:color w:val="0F172A"/>
          <w:sz w:val="30"/>
        </w:rPr>
        <w:t>17. Phased Implementation Roadmap &amp; Commercial Feasibility</w:t>
      </w:r>
    </w:p>
    <w:p>
      <w:pPr>
        <w:spacing w:before="0" w:after="80" w:line="276" w:lineRule="auto"/>
      </w:pPr>
      <w:r>
        <w:rPr>
          <w:rFonts w:ascii="Arial" w:hAnsi="Arial"/>
          <w:color w:val="334155"/>
          <w:sz w:val="19"/>
        </w:rPr>
        <w:t>Drishyam Mesh is engineered for incremental national rollout across India's technical education ecosystem without disrupting ongoing admissions: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160"/>
            <w:shd w:fill="1E3A8A"/>
            <w:tcMar>
              <w:top w:w="90" w:type="dxa"/>
              <w:bottom w:w="90" w:type="dxa"/>
              <w:left w:w="120" w:type="dxa"/>
              <w:right w:w="120" w:type="dxa"/>
            </w:tcMar>
          </w:tcPr>
          <w:p>
            <w:pPr>
              <w:jc w:val="left"/>
            </w:pPr>
            <w:r>
              <w:rPr>
                <w:rFonts w:ascii="Arial" w:hAnsi="Arial"/>
                <w:b/>
                <w:color w:val="FFFFFF"/>
                <w:sz w:val="17"/>
              </w:rPr>
              <w:t>Rollout Phase</w:t>
            </w:r>
          </w:p>
        </w:tc>
        <w:tc>
          <w:tcPr>
            <w:tcW w:type="dxa" w:w="3168"/>
            <w:shd w:fill="1E3A8A"/>
            <w:tcMar>
              <w:top w:w="90" w:type="dxa"/>
              <w:bottom w:w="90" w:type="dxa"/>
              <w:left w:w="120" w:type="dxa"/>
              <w:right w:w="120" w:type="dxa"/>
            </w:tcMar>
          </w:tcPr>
          <w:p>
            <w:pPr>
              <w:jc w:val="left"/>
            </w:pPr>
            <w:r>
              <w:rPr>
                <w:rFonts w:ascii="Arial" w:hAnsi="Arial"/>
                <w:b/>
                <w:color w:val="FFFFFF"/>
                <w:sz w:val="17"/>
              </w:rPr>
              <w:t>Target Milestone &amp; Scope</w:t>
            </w:r>
          </w:p>
        </w:tc>
        <w:tc>
          <w:tcPr>
            <w:tcW w:type="dxa" w:w="4032"/>
            <w:shd w:fill="1E3A8A"/>
            <w:tcMar>
              <w:top w:w="90" w:type="dxa"/>
              <w:bottom w:w="90" w:type="dxa"/>
              <w:left w:w="120" w:type="dxa"/>
              <w:right w:w="120" w:type="dxa"/>
            </w:tcMar>
          </w:tcPr>
          <w:p>
            <w:pPr>
              <w:jc w:val="left"/>
            </w:pPr>
            <w:r>
              <w:rPr>
                <w:rFonts w:ascii="Arial" w:hAnsi="Arial"/>
                <w:b/>
                <w:color w:val="FFFFFF"/>
                <w:sz w:val="17"/>
              </w:rPr>
              <w:t>Deliverables &amp; Institutional Enrolment</w:t>
            </w:r>
          </w:p>
        </w:tc>
      </w:tr>
      <w:tr>
        <w:tc>
          <w:tcPr>
            <w:tcW w:type="dxa" w:w="2160"/>
            <w:shd w:fill="FFFFFF"/>
            <w:tcMar>
              <w:top w:w="70" w:type="dxa"/>
              <w:bottom w:w="70" w:type="dxa"/>
              <w:left w:w="120" w:type="dxa"/>
              <w:right w:w="120" w:type="dxa"/>
            </w:tcMar>
          </w:tcPr>
          <w:p>
            <w:r>
              <w:rPr>
                <w:rFonts w:ascii="Arial" w:hAnsi="Arial"/>
                <w:color w:val="1E293B"/>
                <w:sz w:val="16"/>
              </w:rPr>
              <w:t>Phase 1: Functional Sandbox</w:t>
            </w:r>
          </w:p>
        </w:tc>
        <w:tc>
          <w:tcPr>
            <w:tcW w:type="dxa" w:w="3168"/>
            <w:shd w:fill="FFFFFF"/>
            <w:tcMar>
              <w:top w:w="70" w:type="dxa"/>
              <w:bottom w:w="70" w:type="dxa"/>
              <w:left w:w="120" w:type="dxa"/>
              <w:right w:w="120" w:type="dxa"/>
            </w:tcMar>
          </w:tcPr>
          <w:p>
            <w:r>
              <w:rPr>
                <w:rFonts w:ascii="Arial" w:hAnsi="Arial"/>
                <w:color w:val="1E293B"/>
                <w:sz w:val="16"/>
              </w:rPr>
              <w:t>Core registry, Diff Chamber, n8n ingestion, and persistent storage.</w:t>
            </w:r>
          </w:p>
        </w:tc>
        <w:tc>
          <w:tcPr>
            <w:tcW w:type="dxa" w:w="4032"/>
            <w:shd w:fill="FFFFFF"/>
            <w:tcMar>
              <w:top w:w="70" w:type="dxa"/>
              <w:bottom w:w="70" w:type="dxa"/>
              <w:left w:w="120" w:type="dxa"/>
              <w:right w:w="120" w:type="dxa"/>
            </w:tcMar>
          </w:tcPr>
          <w:p>
            <w:r>
              <w:rPr>
                <w:rFonts w:ascii="Arial" w:hAnsi="Arial"/>
                <w:color w:val="1E293B"/>
                <w:sz w:val="16"/>
              </w:rPr>
              <w:t>Validated functional prototype with 100+ synthetic student records and 62 automated tests.</w:t>
            </w:r>
          </w:p>
        </w:tc>
      </w:tr>
      <w:tr>
        <w:tc>
          <w:tcPr>
            <w:tcW w:type="dxa" w:w="2160"/>
            <w:shd w:fill="F8FAFC"/>
            <w:tcMar>
              <w:top w:w="70" w:type="dxa"/>
              <w:bottom w:w="70" w:type="dxa"/>
              <w:left w:w="120" w:type="dxa"/>
              <w:right w:w="120" w:type="dxa"/>
            </w:tcMar>
          </w:tcPr>
          <w:p>
            <w:r>
              <w:rPr>
                <w:rFonts w:ascii="Arial" w:hAnsi="Arial"/>
                <w:color w:val="1E293B"/>
                <w:sz w:val="16"/>
              </w:rPr>
              <w:t>Phase 2: Privacy &amp; Identity Mesh</w:t>
            </w:r>
          </w:p>
        </w:tc>
        <w:tc>
          <w:tcPr>
            <w:tcW w:type="dxa" w:w="3168"/>
            <w:shd w:fill="F8FAFC"/>
            <w:tcMar>
              <w:top w:w="70" w:type="dxa"/>
              <w:bottom w:w="70" w:type="dxa"/>
              <w:left w:w="120" w:type="dxa"/>
              <w:right w:w="120" w:type="dxa"/>
            </w:tcMar>
          </w:tcPr>
          <w:p>
            <w:r>
              <w:rPr>
                <w:rFonts w:ascii="Arial" w:hAnsi="Arial"/>
                <w:color w:val="1E293B"/>
                <w:sz w:val="16"/>
              </w:rPr>
              <w:t>Diffie-Hellman PSI, Redis Bloom filters, and Neo4j graph traversal.</w:t>
            </w:r>
          </w:p>
        </w:tc>
        <w:tc>
          <w:tcPr>
            <w:tcW w:type="dxa" w:w="4032"/>
            <w:shd w:fill="F8FAFC"/>
            <w:tcMar>
              <w:top w:w="70" w:type="dxa"/>
              <w:bottom w:w="70" w:type="dxa"/>
              <w:left w:w="120" w:type="dxa"/>
              <w:right w:w="120" w:type="dxa"/>
            </w:tcMar>
          </w:tcPr>
          <w:p>
            <w:r>
              <w:rPr>
                <w:rFonts w:ascii="Arial" w:hAnsi="Arial"/>
                <w:color w:val="1E293B"/>
                <w:sz w:val="16"/>
              </w:rPr>
              <w:t>Multi-college duplicate seat detection across Delhi, Maharashtra, and Karnataka cohorts.</w:t>
            </w:r>
          </w:p>
        </w:tc>
      </w:tr>
      <w:tr>
        <w:tc>
          <w:tcPr>
            <w:tcW w:type="dxa" w:w="2160"/>
            <w:shd w:fill="FFFFFF"/>
            <w:tcMar>
              <w:top w:w="70" w:type="dxa"/>
              <w:bottom w:w="70" w:type="dxa"/>
              <w:left w:w="120" w:type="dxa"/>
              <w:right w:w="120" w:type="dxa"/>
            </w:tcMar>
          </w:tcPr>
          <w:p>
            <w:r>
              <w:rPr>
                <w:rFonts w:ascii="Arial" w:hAnsi="Arial"/>
                <w:color w:val="1E293B"/>
                <w:sz w:val="16"/>
              </w:rPr>
              <w:t>Phase 3: Compliance &amp; Anomaly AI</w:t>
            </w:r>
          </w:p>
        </w:tc>
        <w:tc>
          <w:tcPr>
            <w:tcW w:type="dxa" w:w="3168"/>
            <w:shd w:fill="FFFFFF"/>
            <w:tcMar>
              <w:top w:w="70" w:type="dxa"/>
              <w:bottom w:w="70" w:type="dxa"/>
              <w:left w:w="120" w:type="dxa"/>
              <w:right w:w="120" w:type="dxa"/>
            </w:tcMar>
          </w:tcPr>
          <w:p>
            <w:r>
              <w:rPr>
                <w:rFonts w:ascii="Arial" w:hAnsi="Arial"/>
                <w:color w:val="1E293B"/>
                <w:sz w:val="16"/>
              </w:rPr>
              <w:t>Intake Circuit Breakers and Isolation Forest compliance anomaly scoring.</w:t>
            </w:r>
          </w:p>
        </w:tc>
        <w:tc>
          <w:tcPr>
            <w:tcW w:type="dxa" w:w="4032"/>
            <w:shd w:fill="FFFFFF"/>
            <w:tcMar>
              <w:top w:w="70" w:type="dxa"/>
              <w:bottom w:w="70" w:type="dxa"/>
              <w:left w:w="120" w:type="dxa"/>
              <w:right w:w="120" w:type="dxa"/>
            </w:tcMar>
          </w:tcPr>
          <w:p>
            <w:r>
              <w:rPr>
                <w:rFonts w:ascii="Arial" w:hAnsi="Arial"/>
                <w:color w:val="1E293B"/>
                <w:sz w:val="16"/>
              </w:rPr>
              <w:t>Real-time AICTE handbook enforcement and automated arbitration dispute tickets.</w:t>
            </w:r>
          </w:p>
        </w:tc>
      </w:tr>
      <w:tr>
        <w:tc>
          <w:tcPr>
            <w:tcW w:type="dxa" w:w="2160"/>
            <w:shd w:fill="F8FAFC"/>
            <w:tcMar>
              <w:top w:w="70" w:type="dxa"/>
              <w:bottom w:w="70" w:type="dxa"/>
              <w:left w:w="120" w:type="dxa"/>
              <w:right w:w="120" w:type="dxa"/>
            </w:tcMar>
          </w:tcPr>
          <w:p>
            <w:r>
              <w:rPr>
                <w:rFonts w:ascii="Arial" w:hAnsi="Arial"/>
                <w:color w:val="1E293B"/>
                <w:sz w:val="16"/>
              </w:rPr>
              <w:t>Phase 4: Credentials &amp; Offline Trust</w:t>
            </w:r>
          </w:p>
        </w:tc>
        <w:tc>
          <w:tcPr>
            <w:tcW w:type="dxa" w:w="3168"/>
            <w:shd w:fill="F8FAFC"/>
            <w:tcMar>
              <w:top w:w="70" w:type="dxa"/>
              <w:bottom w:w="70" w:type="dxa"/>
              <w:left w:w="120" w:type="dxa"/>
              <w:right w:w="120" w:type="dxa"/>
            </w:tcMar>
          </w:tcPr>
          <w:p>
            <w:r>
              <w:rPr>
                <w:rFonts w:ascii="Arial" w:hAnsi="Arial"/>
                <w:color w:val="1E293B"/>
                <w:sz w:val="16"/>
              </w:rPr>
              <w:t>W3C Verifiable Credentials, Ed25519 digital signatures, and offline QR codes.</w:t>
            </w:r>
          </w:p>
        </w:tc>
        <w:tc>
          <w:tcPr>
            <w:tcW w:type="dxa" w:w="4032"/>
            <w:shd w:fill="F8FAFC"/>
            <w:tcMar>
              <w:top w:w="70" w:type="dxa"/>
              <w:bottom w:w="70" w:type="dxa"/>
              <w:left w:w="120" w:type="dxa"/>
              <w:right w:w="120" w:type="dxa"/>
            </w:tcMar>
          </w:tcPr>
          <w:p>
            <w:r>
              <w:rPr>
                <w:rFonts w:ascii="Arial" w:hAnsi="Arial"/>
                <w:color w:val="1E293B"/>
                <w:sz w:val="16"/>
              </w:rPr>
              <w:t>Instant employer degree verification and anti-counterfeit parchment generation.</w:t>
            </w:r>
          </w:p>
        </w:tc>
      </w:tr>
      <w:tr>
        <w:tc>
          <w:tcPr>
            <w:tcW w:type="dxa" w:w="2160"/>
            <w:shd w:fill="FFFFFF"/>
            <w:tcMar>
              <w:top w:w="70" w:type="dxa"/>
              <w:bottom w:w="70" w:type="dxa"/>
              <w:left w:w="120" w:type="dxa"/>
              <w:right w:w="120" w:type="dxa"/>
            </w:tcMar>
          </w:tcPr>
          <w:p>
            <w:r>
              <w:rPr>
                <w:rFonts w:ascii="Arial" w:hAnsi="Arial"/>
                <w:color w:val="1E293B"/>
                <w:sz w:val="16"/>
              </w:rPr>
              <w:t>Phase 5: National AICTE Rollout</w:t>
            </w:r>
          </w:p>
        </w:tc>
        <w:tc>
          <w:tcPr>
            <w:tcW w:type="dxa" w:w="3168"/>
            <w:shd w:fill="FFFFFF"/>
            <w:tcMar>
              <w:top w:w="70" w:type="dxa"/>
              <w:bottom w:w="70" w:type="dxa"/>
              <w:left w:w="120" w:type="dxa"/>
              <w:right w:w="120" w:type="dxa"/>
            </w:tcMar>
          </w:tcPr>
          <w:p>
            <w:r>
              <w:rPr>
                <w:rFonts w:ascii="Arial" w:hAnsi="Arial"/>
                <w:color w:val="1E293B"/>
                <w:sz w:val="16"/>
              </w:rPr>
              <w:t>Cloud deployment on MeghRaj (Government of India Cloud) across all states.</w:t>
            </w:r>
          </w:p>
        </w:tc>
        <w:tc>
          <w:tcPr>
            <w:tcW w:type="dxa" w:w="4032"/>
            <w:shd w:fill="FFFFFF"/>
            <w:tcMar>
              <w:top w:w="70" w:type="dxa"/>
              <w:bottom w:w="70" w:type="dxa"/>
              <w:left w:w="120" w:type="dxa"/>
              <w:right w:w="120" w:type="dxa"/>
            </w:tcMar>
          </w:tcPr>
          <w:p>
            <w:r>
              <w:rPr>
                <w:rFonts w:ascii="Arial" w:hAnsi="Arial"/>
                <w:color w:val="1E293B"/>
                <w:sz w:val="16"/>
              </w:rPr>
              <w:t>10,000+ AICTE colleges onboarding with full DigiLocker and ABC (Academic Bank of Credits) integration.</w:t>
            </w:r>
          </w:p>
        </w:tc>
      </w:tr>
    </w:tbl>
    <w:p>
      <w:pPr>
        <w:spacing w:after="80"/>
      </w:pPr>
    </w:p>
    <w:p>
      <w:r>
        <w:br w:type="page"/>
      </w:r>
    </w:p>
    <w:p>
      <w:pPr>
        <w:keepNext/>
        <w:spacing w:before="280" w:after="120"/>
      </w:pPr>
      <w:r>
        <w:rPr>
          <w:rFonts w:ascii="Arial" w:hAnsi="Arial"/>
          <w:b/>
          <w:color w:val="0F172A"/>
          <w:sz w:val="30"/>
        </w:rPr>
        <w:t>18. Demonstration Scenarios &amp; Automated Verification Suite</w:t>
      </w:r>
    </w:p>
    <w:p>
      <w:pPr>
        <w:spacing w:before="0" w:after="80" w:line="276" w:lineRule="auto"/>
      </w:pPr>
      <w:r>
        <w:rPr>
          <w:rFonts w:ascii="Arial" w:hAnsi="Arial"/>
          <w:color w:val="334155"/>
          <w:sz w:val="19"/>
        </w:rPr>
        <w:t>The platform's functional integrity was verified against eight enterprise demonstration test scenarios:</w:t>
      </w:r>
    </w:p>
    <w:p>
      <w:pPr>
        <w:pStyle w:val="ListBullet"/>
        <w:spacing w:before="0" w:after="40" w:line="276" w:lineRule="auto"/>
      </w:pPr>
      <w:r>
        <w:rPr>
          <w:rFonts w:ascii="Arial" w:hAnsi="Arial"/>
          <w:b/>
          <w:color w:val="0F172A"/>
          <w:sz w:val="19"/>
        </w:rPr>
        <w:t xml:space="preserve">Scenario 1: Cross-State Concurrent Collision: </w:t>
      </w:r>
      <w:r>
        <w:rPr>
          <w:rFonts w:ascii="Arial" w:hAnsi="Arial"/>
          <w:color w:val="334155"/>
          <w:sz w:val="19"/>
        </w:rPr>
        <w:t>Delhi Institute and MIT&amp;R submit overlapping student records for Devansh Gupta. The PSI engine and Neo4j graph flag the collision in 29ms and route it to Review Chamber.</w:t>
      </w:r>
    </w:p>
    <w:p>
      <w:pPr>
        <w:pStyle w:val="ListBullet"/>
        <w:spacing w:before="0" w:after="40" w:line="276" w:lineRule="auto"/>
      </w:pPr>
      <w:r>
        <w:rPr>
          <w:rFonts w:ascii="Arial" w:hAnsi="Arial"/>
          <w:b/>
          <w:color w:val="0F172A"/>
          <w:sz w:val="19"/>
        </w:rPr>
        <w:t xml:space="preserve">Scenario 2: Intake Quota Circuit Breaker: </w:t>
      </w:r>
      <w:r>
        <w:rPr>
          <w:rFonts w:ascii="Arial" w:hAnsi="Arial"/>
          <w:color w:val="334155"/>
          <w:sz w:val="19"/>
        </w:rPr>
        <w:t>Institution attempts to submit 61st student in a 60-seat approved Computer Science program. The Intake Circuit Breaker immediately trips to LOCKED status.</w:t>
      </w:r>
    </w:p>
    <w:p>
      <w:pPr>
        <w:pStyle w:val="ListBullet"/>
        <w:spacing w:before="0" w:after="40" w:line="276" w:lineRule="auto"/>
      </w:pPr>
      <w:r>
        <w:rPr>
          <w:rFonts w:ascii="Arial" w:hAnsi="Arial"/>
          <w:b/>
          <w:color w:val="0F172A"/>
          <w:sz w:val="19"/>
        </w:rPr>
        <w:t xml:space="preserve">Scenario 3: Multilingual Identity Resolution: </w:t>
      </w:r>
      <w:r>
        <w:rPr>
          <w:rFonts w:ascii="Arial" w:hAnsi="Arial"/>
          <w:color w:val="334155"/>
          <w:sz w:val="19"/>
        </w:rPr>
        <w:t>Candidate names spelled differently across state board memos are linked via fuzzy phonetic matching and APAAR hash continuity.</w:t>
      </w:r>
    </w:p>
    <w:p>
      <w:pPr>
        <w:pStyle w:val="ListBullet"/>
        <w:spacing w:before="0" w:after="40" w:line="276" w:lineRule="auto"/>
      </w:pPr>
      <w:r>
        <w:rPr>
          <w:rFonts w:ascii="Arial" w:hAnsi="Arial"/>
          <w:b/>
          <w:color w:val="0F172A"/>
          <w:sz w:val="19"/>
        </w:rPr>
        <w:t xml:space="preserve">Scenario 4: Suspicious Institutional Behavior: </w:t>
      </w:r>
      <w:r>
        <w:rPr>
          <w:rFonts w:ascii="Arial" w:hAnsi="Arial"/>
          <w:color w:val="334155"/>
          <w:sz w:val="19"/>
        </w:rPr>
        <w:t>Institution exhibits abnormal cancellation spikes post-cutoff. The Isolation Forest model generates an anomaly score of 0.89, alerting AICTE.</w:t>
      </w:r>
    </w:p>
    <w:p>
      <w:pPr>
        <w:pStyle w:val="ListBullet"/>
        <w:spacing w:before="0" w:after="40" w:line="276" w:lineRule="auto"/>
      </w:pPr>
      <w:r>
        <w:rPr>
          <w:rFonts w:ascii="Arial" w:hAnsi="Arial"/>
          <w:b/>
          <w:color w:val="0F172A"/>
          <w:sz w:val="19"/>
        </w:rPr>
        <w:t xml:space="preserve">Scenario 5: Unauthorized Tamper Detection: </w:t>
      </w:r>
      <w:r>
        <w:rPr>
          <w:rFonts w:ascii="Arial" w:hAnsi="Arial"/>
          <w:color w:val="334155"/>
          <w:sz w:val="19"/>
        </w:rPr>
        <w:t>Simulated unauthorized SQL update outside Spring Boot workflow is immediately detected by the self-healing integrity ledger.</w:t>
      </w:r>
    </w:p>
    <w:p>
      <w:pPr>
        <w:pStyle w:val="ListBullet"/>
        <w:spacing w:before="0" w:after="40" w:line="276" w:lineRule="auto"/>
      </w:pPr>
      <w:r>
        <w:rPr>
          <w:rFonts w:ascii="Arial" w:hAnsi="Arial"/>
          <w:b/>
          <w:color w:val="0F172A"/>
          <w:sz w:val="19"/>
        </w:rPr>
        <w:t xml:space="preserve">Scenario 6: Privacy-Preserving Verification: </w:t>
      </w:r>
      <w:r>
        <w:rPr>
          <w:rFonts w:ascii="Arial" w:hAnsi="Arial"/>
          <w:color w:val="334155"/>
          <w:sz w:val="19"/>
        </w:rPr>
        <w:t>Employer requests degree verification; portal discloses degree completion without exposing sensitive Aadhaar numbers or personal PII.</w:t>
      </w:r>
    </w:p>
    <w:p>
      <w:pPr>
        <w:pStyle w:val="ListBullet"/>
        <w:spacing w:before="0" w:after="40" w:line="276" w:lineRule="auto"/>
      </w:pPr>
      <w:r>
        <w:rPr>
          <w:rFonts w:ascii="Arial" w:hAnsi="Arial"/>
          <w:b/>
          <w:color w:val="0F172A"/>
          <w:sz w:val="19"/>
        </w:rPr>
        <w:t xml:space="preserve">Scenario 7: Offline Air-Gapped Verification: </w:t>
      </w:r>
      <w:r>
        <w:rPr>
          <w:rFonts w:ascii="Arial" w:hAnsi="Arial"/>
          <w:color w:val="334155"/>
          <w:sz w:val="19"/>
        </w:rPr>
        <w:t>Air-gapped mobile scanner verifies student's compressed QR credential using cached AICTE public key without internet connection.</w:t>
      </w:r>
    </w:p>
    <w:p>
      <w:pPr>
        <w:pStyle w:val="ListBullet"/>
        <w:spacing w:before="0" w:after="40" w:line="276" w:lineRule="auto"/>
      </w:pPr>
      <w:r>
        <w:rPr>
          <w:rFonts w:ascii="Arial" w:hAnsi="Arial"/>
          <w:b/>
          <w:color w:val="0F172A"/>
          <w:sz w:val="19"/>
        </w:rPr>
        <w:t xml:space="preserve">Scenario 8: Fault-Tolerant Batch Ingestion: </w:t>
      </w:r>
      <w:r>
        <w:rPr>
          <w:rFonts w:ascii="Arial" w:hAnsi="Arial"/>
          <w:color w:val="334155"/>
          <w:sz w:val="19"/>
        </w:rPr>
        <w:t>Mixed CSV batch with valid students and corrupted rows is processed gracefully; valid records are committed while malformed entries are quarantined.</w:t>
      </w:r>
    </w:p>
    <w:p>
      <w:r>
        <w:br w:type="page"/>
      </w:r>
    </w:p>
    <w:p>
      <w:pPr>
        <w:keepNext/>
        <w:spacing w:before="280" w:after="120"/>
      </w:pPr>
      <w:r>
        <w:rPr>
          <w:rFonts w:ascii="Arial" w:hAnsi="Arial"/>
          <w:b/>
          <w:color w:val="0F172A"/>
          <w:sz w:val="30"/>
        </w:rPr>
        <w:t>19. Competitive Advantage &amp; National Strategic Impact</w:t>
      </w:r>
    </w:p>
    <w:p>
      <w:pPr>
        <w:spacing w:before="0" w:after="80" w:line="276" w:lineRule="auto"/>
      </w:pPr>
      <w:r>
        <w:rPr>
          <w:rFonts w:ascii="Arial" w:hAnsi="Arial"/>
          <w:color w:val="334155"/>
          <w:sz w:val="19"/>
        </w:rPr>
        <w:t>Project Sentinel-Ledger (Drishyam Mesh) delivers unprecedented strategic advantages to Indian higher education governance:</w:t>
      </w:r>
    </w:p>
    <w:p>
      <w:pPr>
        <w:pStyle w:val="ListBullet"/>
        <w:spacing w:before="0" w:after="40" w:line="276" w:lineRule="auto"/>
      </w:pPr>
      <w:r>
        <w:rPr>
          <w:rFonts w:ascii="Arial" w:hAnsi="Arial"/>
          <w:b/>
          <w:color w:val="0F172A"/>
          <w:sz w:val="19"/>
        </w:rPr>
        <w:t xml:space="preserve">1. Admission Integrity: </w:t>
      </w:r>
      <w:r>
        <w:rPr>
          <w:rFonts w:ascii="Arial" w:hAnsi="Arial"/>
          <w:color w:val="334155"/>
          <w:sz w:val="19"/>
        </w:rPr>
        <w:t>Eliminates duplicate ghost enrollments and seat-blocking syndicates across all state CETs in real time.</w:t>
      </w:r>
    </w:p>
    <w:p>
      <w:pPr>
        <w:pStyle w:val="ListBullet"/>
        <w:spacing w:before="0" w:after="40" w:line="276" w:lineRule="auto"/>
      </w:pPr>
      <w:r>
        <w:rPr>
          <w:rFonts w:ascii="Arial" w:hAnsi="Arial"/>
          <w:b/>
          <w:color w:val="0F172A"/>
          <w:sz w:val="19"/>
        </w:rPr>
        <w:t xml:space="preserve">2. Sovereign Privacy: </w:t>
      </w:r>
      <w:r>
        <w:rPr>
          <w:rFonts w:ascii="Arial" w:hAnsi="Arial"/>
          <w:color w:val="334155"/>
          <w:sz w:val="19"/>
        </w:rPr>
        <w:t>Guarantees zero central concentration of student identifiers, mitigating catastrophic data breach risks.</w:t>
      </w:r>
    </w:p>
    <w:p>
      <w:pPr>
        <w:pStyle w:val="ListBullet"/>
        <w:spacing w:before="0" w:after="40" w:line="276" w:lineRule="auto"/>
      </w:pPr>
      <w:r>
        <w:rPr>
          <w:rFonts w:ascii="Arial" w:hAnsi="Arial"/>
          <w:b/>
          <w:color w:val="0F172A"/>
          <w:sz w:val="19"/>
        </w:rPr>
        <w:t xml:space="preserve">3. Frictionless Adoption: </w:t>
      </w:r>
      <w:r>
        <w:rPr>
          <w:rFonts w:ascii="Arial" w:hAnsi="Arial"/>
          <w:color w:val="334155"/>
          <w:sz w:val="19"/>
        </w:rPr>
        <w:t>Operates as a lightweight integration layer over existing ERPs, requiring zero capital expenditure for colleges.</w:t>
      </w:r>
    </w:p>
    <w:p>
      <w:pPr>
        <w:pStyle w:val="ListBullet"/>
        <w:spacing w:before="0" w:after="40" w:line="276" w:lineRule="auto"/>
      </w:pPr>
      <w:r>
        <w:rPr>
          <w:rFonts w:ascii="Arial" w:hAnsi="Arial"/>
          <w:b/>
          <w:color w:val="0F172A"/>
          <w:sz w:val="19"/>
        </w:rPr>
        <w:t xml:space="preserve">4. Student Empowerment: </w:t>
      </w:r>
      <w:r>
        <w:rPr>
          <w:rFonts w:ascii="Arial" w:hAnsi="Arial"/>
          <w:color w:val="334155"/>
          <w:sz w:val="19"/>
        </w:rPr>
        <w:t>Empowers students with sovereign, portable, and offline-verifiable academic credentials aligned with NEP 2020.</w:t>
      </w:r>
    </w:p>
    <w:p>
      <w:pPr>
        <w:pStyle w:val="ListBullet"/>
        <w:spacing w:before="0" w:after="40" w:line="276" w:lineRule="auto"/>
      </w:pPr>
      <w:r>
        <w:rPr>
          <w:rFonts w:ascii="Arial" w:hAnsi="Arial"/>
          <w:b/>
          <w:color w:val="0F172A"/>
          <w:sz w:val="19"/>
        </w:rPr>
        <w:t xml:space="preserve">5. Continuous Governance: </w:t>
      </w:r>
      <w:r>
        <w:rPr>
          <w:rFonts w:ascii="Arial" w:hAnsi="Arial"/>
          <w:color w:val="334155"/>
          <w:sz w:val="19"/>
        </w:rPr>
        <w:t>Provides AICTE regulators with real-time explainable intelligence rather than post-mortem audit reports.</w:t>
      </w:r>
    </w:p>
    <w:p>
      <w:pPr>
        <w:spacing w:before="0" w:after="80" w:line="276" w:lineRule="auto"/>
      </w:pPr>
      <w:r>
        <w:rPr>
          <w:rFonts w:ascii="Arial" w:hAnsi="Arial"/>
          <w:color w:val="334155"/>
          <w:sz w:val="19"/>
        </w:rPr>
        <w:t>Final Positioning: Project Sentinel-Ledger is a privacy-preserving academic governance and admission intelligence platform that empowers AICTE to verify enrollment claims, monitor institutional compliance, and establish trustworthy academic credentials without requiring unrestricted central access to every student's personal data.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4A3B8"/>
        <w:sz w:val="16"/>
      </w:rPr>
      <w:t>All India Council for Technical Education (AICTE) • Smart India Hackathon • Page Reference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PROJECT SENTINEL-LEDGER (DRISHYAM MESH) • TECHNICAL SPECIFICATION &amp; POC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