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left="0"/>
        <w:jc w:val="center"/>
      </w:pPr>
      <w:r>
        <w:rPr>
          <w:rFonts w:ascii="Times New Roman" w:hAnsi="Times New Roman" w:cs="Times New Roman" w:eastAsia="Times New Roman"/>
          <w:b/>
          <w:i w:val="0"/>
          <w:sz w:val="48"/>
        </w:rPr>
        <w:t>SochSamajh AI: Responsible Multi-Agent Query Routing</w:t>
        <w:br/>
        <w:t>for Medical and Legal Assistance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487"/>
        <w:gridCol w:w="3487"/>
        <w:gridCol w:w="3487"/>
      </w:tblGrid>
      <w:tr>
        <w:tc>
          <w:tcPr>
            <w:tcW w:type="dxa" w:w="3487"/>
          </w:tcPr>
          <w:p>
            <w:pPr>
              <w:jc w:val="center"/>
            </w:pPr>
            <w:r>
              <w:rPr>
                <w:rFonts w:ascii="Times New Roman" w:hAnsi="Times New Roman" w:cs="Times New Roman" w:eastAsia="Times New Roman"/>
                <w:b/>
                <w:i w:val="0"/>
                <w:sz w:val="20"/>
              </w:rPr>
              <w:t>[Author 1 Name]</w:t>
            </w:r>
          </w:p>
          <w:p>
            <w:pPr>
              <w:jc w:val="center"/>
            </w:pPr>
            <w:r>
              <w:rPr>
                <w:rFonts w:ascii="Times New Roman" w:hAnsi="Times New Roman" w:cs="Times New Roman" w:eastAsia="Times New Roman"/>
                <w:b w:val="0"/>
                <w:i/>
                <w:sz w:val="18"/>
              </w:rPr>
              <w:t>[Dept]</w:t>
            </w:r>
          </w:p>
          <w:p>
            <w:pPr>
              <w:jc w:val="center"/>
            </w:pPr>
            <w:r>
              <w:rPr>
                <w:rFonts w:ascii="Times New Roman" w:hAnsi="Times New Roman" w:cs="Times New Roman" w:eastAsia="Times New Roman"/>
                <w:b w:val="0"/>
                <w:i/>
                <w:sz w:val="18"/>
              </w:rPr>
              <w:t>[University]</w:t>
            </w:r>
          </w:p>
          <w:p>
            <w:pPr>
              <w:jc w:val="center"/>
            </w:pPr>
            <w:r>
              <w:rPr>
                <w:rFonts w:ascii="Times New Roman" w:hAnsi="Times New Roman" w:cs="Times New Roman" w:eastAsia="Times New Roman"/>
                <w:b w:val="0"/>
                <w:i/>
                <w:sz w:val="18"/>
              </w:rPr>
              <w:t>[City, Country]</w:t>
            </w:r>
          </w:p>
          <w:p>
            <w:pPr>
              <w:jc w:val="center"/>
            </w:pPr>
            <w:r>
              <w:rPr>
                <w:rFonts w:ascii="Times New Roman" w:hAnsi="Times New Roman" w:cs="Times New Roman" w:eastAsia="Times New Roman"/>
                <w:b w:val="0"/>
                <w:i/>
                <w:sz w:val="18"/>
              </w:rPr>
              <w:t>[email1@domain.com]</w:t>
            </w:r>
          </w:p>
        </w:tc>
        <w:tc>
          <w:tcPr>
            <w:tcW w:type="dxa" w:w="3487"/>
          </w:tcPr>
          <w:p>
            <w:pPr>
              <w:jc w:val="center"/>
            </w:pPr>
            <w:r>
              <w:rPr>
                <w:rFonts w:ascii="Times New Roman" w:hAnsi="Times New Roman" w:cs="Times New Roman" w:eastAsia="Times New Roman"/>
                <w:b/>
                <w:i w:val="0"/>
                <w:sz w:val="20"/>
              </w:rPr>
              <w:t>[Author 2 Name]</w:t>
            </w:r>
          </w:p>
          <w:p>
            <w:pPr>
              <w:jc w:val="center"/>
            </w:pPr>
            <w:r>
              <w:rPr>
                <w:rFonts w:ascii="Times New Roman" w:hAnsi="Times New Roman" w:cs="Times New Roman" w:eastAsia="Times New Roman"/>
                <w:b w:val="0"/>
                <w:i/>
                <w:sz w:val="18"/>
              </w:rPr>
              <w:t>[Dept]</w:t>
            </w:r>
          </w:p>
          <w:p>
            <w:pPr>
              <w:jc w:val="center"/>
            </w:pPr>
            <w:r>
              <w:rPr>
                <w:rFonts w:ascii="Times New Roman" w:hAnsi="Times New Roman" w:cs="Times New Roman" w:eastAsia="Times New Roman"/>
                <w:b w:val="0"/>
                <w:i/>
                <w:sz w:val="18"/>
              </w:rPr>
              <w:t>[University]</w:t>
            </w:r>
          </w:p>
          <w:p>
            <w:pPr>
              <w:jc w:val="center"/>
            </w:pPr>
            <w:r>
              <w:rPr>
                <w:rFonts w:ascii="Times New Roman" w:hAnsi="Times New Roman" w:cs="Times New Roman" w:eastAsia="Times New Roman"/>
                <w:b w:val="0"/>
                <w:i/>
                <w:sz w:val="18"/>
              </w:rPr>
              <w:t>[City, Country]</w:t>
            </w:r>
          </w:p>
          <w:p>
            <w:pPr>
              <w:jc w:val="center"/>
            </w:pPr>
            <w:r>
              <w:rPr>
                <w:rFonts w:ascii="Times New Roman" w:hAnsi="Times New Roman" w:cs="Times New Roman" w:eastAsia="Times New Roman"/>
                <w:b w:val="0"/>
                <w:i/>
                <w:sz w:val="18"/>
              </w:rPr>
              <w:t>[email2@domain.com]</w:t>
            </w:r>
          </w:p>
        </w:tc>
        <w:tc>
          <w:tcPr>
            <w:tcW w:type="dxa" w:w="3487"/>
          </w:tcPr>
          <w:p>
            <w:pPr>
              <w:jc w:val="center"/>
            </w:pPr>
            <w:r>
              <w:rPr>
                <w:rFonts w:ascii="Times New Roman" w:hAnsi="Times New Roman" w:cs="Times New Roman" w:eastAsia="Times New Roman"/>
                <w:b/>
                <w:i w:val="0"/>
                <w:sz w:val="20"/>
              </w:rPr>
              <w:t>[Author 3 Name]</w:t>
            </w:r>
          </w:p>
          <w:p>
            <w:pPr>
              <w:jc w:val="center"/>
            </w:pPr>
            <w:r>
              <w:rPr>
                <w:rFonts w:ascii="Times New Roman" w:hAnsi="Times New Roman" w:cs="Times New Roman" w:eastAsia="Times New Roman"/>
                <w:b w:val="0"/>
                <w:i/>
                <w:sz w:val="18"/>
              </w:rPr>
              <w:t>[Dept]</w:t>
            </w:r>
          </w:p>
          <w:p>
            <w:pPr>
              <w:jc w:val="center"/>
            </w:pPr>
            <w:r>
              <w:rPr>
                <w:rFonts w:ascii="Times New Roman" w:hAnsi="Times New Roman" w:cs="Times New Roman" w:eastAsia="Times New Roman"/>
                <w:b w:val="0"/>
                <w:i/>
                <w:sz w:val="18"/>
              </w:rPr>
              <w:t>[University]</w:t>
            </w:r>
          </w:p>
          <w:p>
            <w:pPr>
              <w:jc w:val="center"/>
            </w:pPr>
            <w:r>
              <w:rPr>
                <w:rFonts w:ascii="Times New Roman" w:hAnsi="Times New Roman" w:cs="Times New Roman" w:eastAsia="Times New Roman"/>
                <w:b w:val="0"/>
                <w:i/>
                <w:sz w:val="18"/>
              </w:rPr>
              <w:t>[City, Country]</w:t>
            </w:r>
          </w:p>
          <w:p>
            <w:pPr>
              <w:jc w:val="center"/>
            </w:pPr>
            <w:r>
              <w:rPr>
                <w:rFonts w:ascii="Times New Roman" w:hAnsi="Times New Roman" w:cs="Times New Roman" w:eastAsia="Times New Roman"/>
                <w:b w:val="0"/>
                <w:i/>
                <w:sz w:val="18"/>
              </w:rPr>
              <w:t>[email3@domain.com]</w:t>
            </w:r>
          </w:p>
        </w:tc>
      </w:tr>
    </w:tbl>
    <w:p/>
    <w:p>
      <w:pPr>
        <w:sectPr>
          <w:pgSz w:w="12240" w:h="15840"/>
          <w:pgMar w:top="1077" w:right="890" w:bottom="1440" w:left="890" w:header="720" w:footer="720" w:gutter="0"/>
          <w:cols w:space="720"/>
          <w:docGrid w:linePitch="360"/>
        </w:sectPr>
      </w:pPr>
    </w:p>
    <w:p>
      <w:pPr>
        <w:spacing w:before="80" w:after="80"/>
        <w:jc w:val="both"/>
      </w:pPr>
      <w:r>
        <w:rPr>
          <w:rFonts w:ascii="Times New Roman" w:hAnsi="Times New Roman" w:cs="Times New Roman" w:eastAsia="Times New Roman"/>
          <w:b/>
          <w:i w:val="0"/>
          <w:sz w:val="18"/>
        </w:rPr>
        <w:t xml:space="preserve">Abstract— </w:t>
      </w:r>
      <w:r>
        <w:rPr>
          <w:rFonts w:ascii="Times New Roman" w:hAnsi="Times New Roman" w:cs="Times New Roman" w:eastAsia="Times New Roman"/>
          <w:b w:val="0"/>
          <w:i w:val="0"/>
          <w:sz w:val="18"/>
        </w:rPr>
        <w:t>Large language models (LLMs) are increasingly used by the public for medical and legal queries yet generic chatbots still exhibit inconsistent safety, missing urgent triage cues and providing legally sensitive guidance without appropriate risk framing. This paper presents SochSamajh AI, a safety-first multi-agent routing system that classifies user queries into medical, legal, general and safety domains with explicit risk levels and dedicated handling policies. The system combines a rule and LLM based pre-screen, a supervised intent and risk classifier, domain specific agents and a critic-formatter stage that enforces disclaimers and safety metadata for every response. Built as a full-stack FastAPI and React application with LangGraph orchestration, SochSamajh AI is evaluated on a 300-case benchmark including Indian and Hinglish prompts, achieving 83.0% routing accuracy, 79.7% routing macro F1, 62.3% risk accuracy and 62.9% risk macro F1 on high-stakes medical and legal scenarios. Qualitative comparisons against prior IEEE work on legal chatbots, clinical decision support and responsible AI show that SochSamajh AI contributes a practical reference design for auditable benchmarked LLM systems in sensitive domains.</w:t>
      </w:r>
    </w:p>
    <w:p>
      <w:pPr>
        <w:spacing w:before="40" w:after="160"/>
        <w:jc w:val="both"/>
      </w:pPr>
      <w:r>
        <w:rPr>
          <w:rFonts w:ascii="Times New Roman" w:hAnsi="Times New Roman" w:cs="Times New Roman" w:eastAsia="Times New Roman"/>
          <w:b/>
          <w:i/>
          <w:sz w:val="18"/>
        </w:rPr>
        <w:t xml:space="preserve">Keywords— </w:t>
      </w:r>
      <w:r>
        <w:rPr>
          <w:rFonts w:ascii="Times New Roman" w:hAnsi="Times New Roman" w:cs="Times New Roman" w:eastAsia="Times New Roman"/>
          <w:b w:val="0"/>
          <w:i/>
          <w:sz w:val="18"/>
        </w:rPr>
        <w:t>Responsible AI, multi-agent systems, medical chatbots, legal assistance, safety guardrails, large language models, clinical decision support.</w:t>
      </w:r>
    </w:p>
    <w:p>
      <w:pPr>
        <w:spacing w:before="160" w:after="80"/>
        <w:ind w:firstLine="0" w:left="0"/>
        <w:jc w:val="center"/>
      </w:pPr>
      <w:r>
        <w:rPr>
          <w:rFonts w:ascii="Times New Roman" w:hAnsi="Times New Roman" w:cs="Times New Roman" w:eastAsia="Times New Roman"/>
          <w:b/>
          <w:i w:val="0"/>
          <w:sz w:val="20"/>
        </w:rPr>
        <w:t>I. INTRODUCTION</w:t>
      </w:r>
    </w:p>
    <w:p>
      <w:pPr>
        <w:spacing w:before="0" w:after="60"/>
        <w:ind w:firstLine="240" w:left="0"/>
        <w:jc w:val="both"/>
      </w:pPr>
      <w:r>
        <w:rPr>
          <w:rFonts w:ascii="Times New Roman" w:hAnsi="Times New Roman" w:cs="Times New Roman" w:eastAsia="Times New Roman"/>
          <w:b w:val="0"/>
          <w:i w:val="0"/>
          <w:sz w:val="20"/>
        </w:rPr>
        <w:t>Public facing LLM chatbots are now routinely used for self-diagnosis, informal triage and first-pass legal advice, and systematic evaluations have repeatedly found them wanting on precisely the queries where the stakes are highest. Safety gaps in primary care style questions and erratic performance across differently worded versions of the same query are two recurring findings in the literature. Uneven access to professional healthcare and legal expertise is a major issue in Indian society due to which a major portion of people use chatbots for making high-impact decisions [4][1].</w:t>
      </w:r>
    </w:p>
    <w:p>
      <w:pPr>
        <w:spacing w:before="0" w:after="60"/>
        <w:ind w:firstLine="240" w:left="0"/>
        <w:jc w:val="both"/>
      </w:pPr>
      <w:r>
        <w:rPr>
          <w:rFonts w:ascii="Times New Roman" w:hAnsi="Times New Roman" w:cs="Times New Roman" w:eastAsia="Times New Roman"/>
          <w:b w:val="0"/>
          <w:i w:val="0"/>
          <w:sz w:val="20"/>
        </w:rPr>
        <w:t>Meanwhile, IEEE and other bodies have stressed the need for responsible and reliable AI in healthcare and legal fields highlighting the need for transparency, risk management and human oversight. In response to this, the interest for building LLM based systems that are not inflexible chatbots but act as multi-agent pipelines that separate intent classification, domain routing, safety handling and answer generation is increasing [6][7][8][2][9][10][11].</w:t>
      </w:r>
    </w:p>
    <w:p>
      <w:pPr>
        <w:spacing w:before="0" w:after="60"/>
        <w:ind w:firstLine="0" w:left="0"/>
        <w:jc w:val="both"/>
      </w:pPr>
      <w:r>
        <w:rPr>
          <w:rFonts w:ascii="Times New Roman" w:hAnsi="Times New Roman" w:cs="Times New Roman" w:eastAsia="Times New Roman"/>
          <w:b w:val="0"/>
          <w:i w:val="0"/>
          <w:sz w:val="20"/>
        </w:rPr>
        <w:t>In this paper, we describe SochSamajh AI which is a scalable system that implements these ideas in the form of a responsible multi-agent router for medical and legal queries. The system focuses on:</w:t>
      </w:r>
    </w:p>
    <w:p>
      <w:pPr>
        <w:pStyle w:val="ListBullet"/>
        <w:spacing w:after="40"/>
        <w:jc w:val="both"/>
      </w:pPr>
      <w:r>
        <w:rPr>
          <w:rFonts w:ascii="Times New Roman" w:hAnsi="Times New Roman" w:cs="Times New Roman" w:eastAsia="Times New Roman"/>
          <w:b w:val="0"/>
          <w:i w:val="0"/>
          <w:sz w:val="20"/>
        </w:rPr>
        <w:t>Explicit pre-screening for self-harm and illegal intent before standard model calls.</w:t>
      </w:r>
    </w:p>
    <w:p>
      <w:pPr>
        <w:pStyle w:val="ListBullet"/>
        <w:spacing w:after="40"/>
        <w:jc w:val="both"/>
      </w:pPr>
      <w:r>
        <w:rPr>
          <w:rFonts w:ascii="Times New Roman" w:hAnsi="Times New Roman" w:cs="Times New Roman" w:eastAsia="Times New Roman"/>
          <w:b w:val="0"/>
          <w:i w:val="0"/>
          <w:sz w:val="20"/>
        </w:rPr>
        <w:t>Joint domain and risk classification into medical, legal, general and safety pathways.</w:t>
      </w:r>
    </w:p>
    <w:p>
      <w:pPr>
        <w:pStyle w:val="ListBullet"/>
        <w:spacing w:after="40"/>
        <w:jc w:val="both"/>
      </w:pPr>
      <w:r>
        <w:rPr>
          <w:rFonts w:ascii="Times New Roman" w:hAnsi="Times New Roman" w:cs="Times New Roman" w:eastAsia="Times New Roman"/>
          <w:b w:val="0"/>
          <w:i w:val="0"/>
          <w:sz w:val="20"/>
        </w:rPr>
        <w:t>Dedicated medical, legal and safety agents that specialize in triage-style explanations and next-step guidance.</w:t>
      </w:r>
    </w:p>
    <w:p>
      <w:pPr>
        <w:pStyle w:val="ListBullet"/>
        <w:spacing w:after="40"/>
        <w:jc w:val="both"/>
      </w:pPr>
      <w:r>
        <w:rPr>
          <w:rFonts w:ascii="Times New Roman" w:hAnsi="Times New Roman" w:cs="Times New Roman" w:eastAsia="Times New Roman"/>
          <w:b w:val="0"/>
          <w:i w:val="0"/>
          <w:sz w:val="20"/>
        </w:rPr>
        <w:t>A critic and formatter stage that enforces structured disclaimers, safety notes and metadata such as 'risk_level' and 'safety_flags' for each response.</w:t>
      </w:r>
    </w:p>
    <w:p>
      <w:pPr>
        <w:spacing w:before="0" w:after="60"/>
        <w:ind w:firstLine="0" w:left="0"/>
        <w:jc w:val="both"/>
      </w:pPr>
      <w:r>
        <w:rPr>
          <w:rFonts w:ascii="Times New Roman" w:hAnsi="Times New Roman" w:cs="Times New Roman" w:eastAsia="Times New Roman"/>
          <w:b w:val="0"/>
          <w:i w:val="0"/>
          <w:sz w:val="20"/>
        </w:rPr>
        <w:t>The main contributions of this work are:</w:t>
      </w:r>
    </w:p>
    <w:p>
      <w:pPr>
        <w:spacing w:before="0" w:after="40"/>
        <w:ind w:firstLine="0" w:left="240"/>
        <w:jc w:val="both"/>
      </w:pPr>
      <w:r>
        <w:rPr>
          <w:rFonts w:ascii="Times New Roman" w:hAnsi="Times New Roman" w:cs="Times New Roman" w:eastAsia="Times New Roman"/>
          <w:b w:val="0"/>
          <w:i w:val="0"/>
          <w:sz w:val="20"/>
        </w:rPr>
        <w:t>1. A full-stack deployable multi-agent routing architecture tailored for medical and legal assistance built on FastAPI, React and LangGraph.</w:t>
      </w:r>
    </w:p>
    <w:p>
      <w:pPr>
        <w:spacing w:before="0" w:after="40"/>
        <w:ind w:firstLine="0" w:left="240"/>
        <w:jc w:val="both"/>
      </w:pPr>
      <w:r>
        <w:rPr>
          <w:rFonts w:ascii="Times New Roman" w:hAnsi="Times New Roman" w:cs="Times New Roman" w:eastAsia="Times New Roman"/>
          <w:b w:val="0"/>
          <w:i w:val="0"/>
          <w:sz w:val="20"/>
        </w:rPr>
        <w:t>2. A 300-case evaluation dataset with expected domain, risk and safety flags that includes English, Hindi and Hinglish prompts representative of Indian users.</w:t>
      </w:r>
    </w:p>
    <w:p>
      <w:pPr>
        <w:spacing w:before="0" w:after="40"/>
        <w:ind w:firstLine="0" w:left="240"/>
        <w:jc w:val="both"/>
      </w:pPr>
      <w:r>
        <w:rPr>
          <w:rFonts w:ascii="Times New Roman" w:hAnsi="Times New Roman" w:cs="Times New Roman" w:eastAsia="Times New Roman"/>
          <w:b w:val="0"/>
          <w:i w:val="0"/>
          <w:sz w:val="20"/>
        </w:rPr>
        <w:t>3. An offline evaluation harness that reports routing and risk metrics plus an LLM-as-judge scoring configuration to quantify response quality.</w:t>
      </w:r>
    </w:p>
    <w:p>
      <w:pPr>
        <w:spacing w:before="0" w:after="40"/>
        <w:ind w:firstLine="0" w:left="240"/>
        <w:jc w:val="both"/>
      </w:pPr>
      <w:r>
        <w:rPr>
          <w:rFonts w:ascii="Times New Roman" w:hAnsi="Times New Roman" w:cs="Times New Roman" w:eastAsia="Times New Roman"/>
          <w:b w:val="0"/>
          <w:i w:val="0"/>
          <w:sz w:val="20"/>
        </w:rPr>
        <w:t>4. A set of safety behaviors and qualitative comparisons against prior IEEE literature on legal chatbots, multi-agent clinical decision support and responsible AI frameworks [2][3][5][4].</w:t>
      </w:r>
    </w:p>
    <w:p>
      <w:pPr>
        <w:spacing w:before="160" w:after="80"/>
        <w:ind w:firstLine="0" w:left="0"/>
        <w:jc w:val="center"/>
      </w:pPr>
      <w:r>
        <w:rPr>
          <w:rFonts w:ascii="Times New Roman" w:hAnsi="Times New Roman" w:cs="Times New Roman" w:eastAsia="Times New Roman"/>
          <w:b/>
          <w:i w:val="0"/>
          <w:sz w:val="20"/>
        </w:rPr>
        <w:t>II. RELATED WORK</w:t>
      </w:r>
    </w:p>
    <w:p>
      <w:pPr>
        <w:spacing w:before="120" w:after="40"/>
        <w:ind w:firstLine="0" w:left="0"/>
        <w:jc w:val="left"/>
      </w:pPr>
      <w:r>
        <w:rPr>
          <w:rFonts w:ascii="Times New Roman" w:hAnsi="Times New Roman" w:cs="Times New Roman" w:eastAsia="Times New Roman"/>
          <w:b w:val="0"/>
          <w:i/>
          <w:sz w:val="20"/>
        </w:rPr>
        <w:t>A. Medical and Legal Chatbots</w:t>
      </w:r>
    </w:p>
    <w:p>
      <w:pPr>
        <w:spacing w:before="0" w:after="60"/>
        <w:ind w:firstLine="240" w:left="0"/>
        <w:jc w:val="both"/>
      </w:pPr>
      <w:r>
        <w:rPr>
          <w:rFonts w:ascii="Times New Roman" w:hAnsi="Times New Roman" w:cs="Times New Roman" w:eastAsia="Times New Roman"/>
          <w:b w:val="0"/>
          <w:i w:val="0"/>
          <w:sz w:val="20"/>
        </w:rPr>
        <w:t>Several IEEE works propose legal question answering chatbots often scoped to specific jurisdictions such as Indian constitutional law, Ecuadorian law or refugee protection. These systems typically focus on retrieval or BERT-style question answering over curated statutes and case law providing structured answers but often without explicit risk classification or multi-agent routing [12][13][5][14][15].</w:t>
      </w:r>
    </w:p>
    <w:p>
      <w:pPr>
        <w:spacing w:before="0" w:after="60"/>
        <w:ind w:firstLine="240" w:left="0"/>
        <w:jc w:val="both"/>
      </w:pPr>
      <w:r>
        <w:rPr>
          <w:rFonts w:ascii="Times New Roman" w:hAnsi="Times New Roman" w:cs="Times New Roman" w:eastAsia="Times New Roman"/>
          <w:b w:val="0"/>
          <w:i w:val="0"/>
          <w:sz w:val="20"/>
        </w:rPr>
        <w:t>RAG based legal chatbots combine LLMs with vector retrieval to answer questions against a corpus of statutes and legal documents improving coverage and interpretability compared to purely generative approaches. But the safety aspect of these chatbots is usually limited to generic disclaimers and they put less emphasis on triaging high-risk queries or separating safety responses from normal conversational flows [16][17][18].</w:t>
      </w:r>
    </w:p>
    <w:p>
      <w:pPr>
        <w:spacing w:before="120" w:after="40"/>
        <w:ind w:firstLine="0" w:left="0"/>
        <w:jc w:val="left"/>
      </w:pPr>
      <w:r>
        <w:rPr>
          <w:rFonts w:ascii="Times New Roman" w:hAnsi="Times New Roman" w:cs="Times New Roman" w:eastAsia="Times New Roman"/>
          <w:b w:val="0"/>
          <w:i/>
          <w:sz w:val="20"/>
        </w:rPr>
        <w:t>B. Multi-Agent Clinical Decision Support</w:t>
      </w:r>
    </w:p>
    <w:p>
      <w:pPr>
        <w:spacing w:before="0" w:after="60"/>
        <w:ind w:firstLine="240" w:left="0"/>
        <w:jc w:val="both"/>
      </w:pPr>
      <w:r>
        <w:rPr>
          <w:rFonts w:ascii="Times New Roman" w:hAnsi="Times New Roman" w:cs="Times New Roman" w:eastAsia="Times New Roman"/>
          <w:b w:val="0"/>
          <w:i w:val="0"/>
          <w:sz w:val="20"/>
        </w:rPr>
        <w:t>From a long time, multi-agent systems are being explored for clinical decision support where agents reason over lab data, vital signs and other contextual data. Recent work suggests multi-agent LLM based models that break clinical tasks into smaller tasks like data collection, summarization, argumentation and explanation and give clear attention to explainability and accountability [19][20][21][22][23][24].</w:t>
      </w:r>
    </w:p>
    <w:p>
      <w:pPr>
        <w:spacing w:before="0" w:after="60"/>
        <w:ind w:firstLine="240" w:left="0"/>
        <w:jc w:val="both"/>
      </w:pPr>
      <w:r>
        <w:rPr>
          <w:rFonts w:ascii="Times New Roman" w:hAnsi="Times New Roman" w:cs="Times New Roman" w:eastAsia="Times New Roman"/>
          <w:b w:val="0"/>
          <w:i w:val="0"/>
          <w:sz w:val="20"/>
        </w:rPr>
        <w:t>These systems show the advantages of modular reasoning and role division but usually focus on clinician-facing tasks and not patient or citizen-facing conversational tasks. Also, in their API design, they rarely reveal specific risk metadata or safety flags.</w:t>
      </w:r>
    </w:p>
    <w:p>
      <w:pPr>
        <w:spacing w:before="120" w:after="40"/>
        <w:ind w:firstLine="0" w:left="0"/>
        <w:jc w:val="left"/>
      </w:pPr>
      <w:r>
        <w:rPr>
          <w:rFonts w:ascii="Times New Roman" w:hAnsi="Times New Roman" w:cs="Times New Roman" w:eastAsia="Times New Roman"/>
          <w:b w:val="0"/>
          <w:i/>
          <w:sz w:val="20"/>
        </w:rPr>
        <w:t>C. Responsible and Trustworthy AI Governance</w:t>
      </w:r>
    </w:p>
    <w:p>
      <w:pPr>
        <w:spacing w:before="0" w:after="60"/>
        <w:ind w:firstLine="240" w:left="0"/>
        <w:jc w:val="both"/>
      </w:pPr>
      <w:r>
        <w:rPr>
          <w:rFonts w:ascii="Times New Roman" w:hAnsi="Times New Roman" w:cs="Times New Roman" w:eastAsia="Times New Roman"/>
          <w:b w:val="0"/>
          <w:i w:val="0"/>
          <w:sz w:val="20"/>
        </w:rPr>
        <w:t>There is a large amount of IEEE literature that discusses responsible AI in healthcare with focus on governance models, privacy preservation and bias-aware deployment. Risk-based regulation, data protection, fairness, explainability and continuous monitoring specifically for high-risk applications like diagnosis, clinical decision support and patient tools are the common themes [25][26][9][27][3][28][10][11][2][4].</w:t>
      </w:r>
    </w:p>
    <w:p>
      <w:pPr>
        <w:spacing w:before="0" w:after="60"/>
        <w:ind w:firstLine="240" w:left="0"/>
        <w:jc w:val="both"/>
      </w:pPr>
      <w:r>
        <w:rPr>
          <w:rFonts w:ascii="Times New Roman" w:hAnsi="Times New Roman" w:cs="Times New Roman" w:eastAsia="Times New Roman"/>
          <w:b w:val="0"/>
          <w:i w:val="0"/>
          <w:sz w:val="20"/>
        </w:rPr>
        <w:t>These works offer high-level principles and governance models but they fall short in providing specific software design for LLM-based conversational systems. By incorporating responsible AI ideas into the routing, safety and evaluation layers of a working system, SochSamajh AI fills this gap.</w:t>
      </w:r>
    </w:p>
    <w:p>
      <w:pPr>
        <w:spacing w:before="120" w:after="40"/>
        <w:ind w:firstLine="0" w:left="0"/>
        <w:jc w:val="left"/>
      </w:pPr>
      <w:r>
        <w:rPr>
          <w:rFonts w:ascii="Times New Roman" w:hAnsi="Times New Roman" w:cs="Times New Roman" w:eastAsia="Times New Roman"/>
          <w:b w:val="0"/>
          <w:i/>
          <w:sz w:val="20"/>
        </w:rPr>
        <w:t>D. Multi-Agent LLM Routing and Orchestration</w:t>
      </w:r>
    </w:p>
    <w:p>
      <w:pPr>
        <w:spacing w:before="0" w:after="60"/>
        <w:ind w:firstLine="240" w:left="0"/>
        <w:jc w:val="both"/>
      </w:pPr>
      <w:r>
        <w:rPr>
          <w:rFonts w:ascii="Times New Roman" w:hAnsi="Times New Roman" w:cs="Times New Roman" w:eastAsia="Times New Roman"/>
          <w:b w:val="0"/>
          <w:i w:val="0"/>
          <w:sz w:val="20"/>
        </w:rPr>
        <w:t>To balance cost and performance, recent work on LLM routing focuses on choosing the most suitable model or agent configuration for each query. MoMA and MasRouter are frameworks that use supervised routers, semantic search or finite state controllers to select collaboration patterns in order to formalise routing as a multi-objective optimisation problem over available models and agent roles [7][29][8][30][6].</w:t>
      </w:r>
    </w:p>
    <w:p>
      <w:pPr>
        <w:spacing w:before="0" w:after="60"/>
        <w:ind w:firstLine="240" w:left="0"/>
        <w:jc w:val="both"/>
      </w:pPr>
      <w:r>
        <w:rPr>
          <w:rFonts w:ascii="Times New Roman" w:hAnsi="Times New Roman" w:cs="Times New Roman" w:eastAsia="Times New Roman"/>
          <w:b w:val="0"/>
          <w:i w:val="0"/>
          <w:sz w:val="20"/>
        </w:rPr>
        <w:t>SochSamajh AI uses a simpler but practical approach — a combined rule and LLM-based domain and risk classifier followed by a LangGraph-based routing graph that sends queries to medical, legal, general or safety agents with a critic and formatter that enforces safety and disclaimer policies. For transparency and ease of debugging, which is important in high-stakes domains, this design prioritises interpretability over theoretical optimality.</w:t>
      </w:r>
    </w:p>
    <w:p>
      <w:pPr>
        <w:spacing w:before="160" w:after="80"/>
        <w:ind w:firstLine="0" w:left="0"/>
        <w:jc w:val="center"/>
      </w:pPr>
      <w:r>
        <w:rPr>
          <w:rFonts w:ascii="Times New Roman" w:hAnsi="Times New Roman" w:cs="Times New Roman" w:eastAsia="Times New Roman"/>
          <w:b/>
          <w:i w:val="0"/>
          <w:sz w:val="20"/>
        </w:rPr>
        <w:t>III. SYSTEM DESIGN</w:t>
      </w:r>
    </w:p>
    <w:p>
      <w:pPr>
        <w:spacing w:before="120" w:after="40"/>
        <w:ind w:firstLine="0" w:left="0"/>
        <w:jc w:val="left"/>
      </w:pPr>
      <w:r>
        <w:rPr>
          <w:rFonts w:ascii="Times New Roman" w:hAnsi="Times New Roman" w:cs="Times New Roman" w:eastAsia="Times New Roman"/>
          <w:b w:val="0"/>
          <w:i/>
          <w:sz w:val="20"/>
        </w:rPr>
        <w:t>A. High Level Architecture</w:t>
      </w:r>
    </w:p>
    <w:p>
      <w:pPr>
        <w:spacing w:before="0" w:after="60"/>
        <w:ind w:firstLine="240" w:left="0"/>
        <w:jc w:val="both"/>
      </w:pPr>
      <w:r>
        <w:rPr>
          <w:rFonts w:ascii="Times New Roman" w:hAnsi="Times New Roman" w:cs="Times New Roman" w:eastAsia="Times New Roman"/>
          <w:b w:val="0"/>
          <w:i w:val="0"/>
          <w:sz w:val="20"/>
        </w:rPr>
        <w:t>We have built SochSamajh AI as a full-stack system using React and TypeScript for the frontend, FastAPI for the backend and a LangGraph based orchestration layer for connecting multiple domain specific agents. The frontend is a chat-like interface and the backend serves the REST endpoints '/api/route', '/api/health' and '/api/feedback'.</w:t>
      </w:r>
    </w:p>
    <w:p>
      <w:pPr>
        <w:spacing w:before="0" w:after="60"/>
        <w:ind w:firstLine="0" w:left="0"/>
        <w:jc w:val="both"/>
      </w:pPr>
      <w:r>
        <w:rPr>
          <w:rFonts w:ascii="Times New Roman" w:hAnsi="Times New Roman" w:cs="Times New Roman" w:eastAsia="Times New Roman"/>
          <w:b w:val="0"/>
          <w:i w:val="0"/>
          <w:sz w:val="20"/>
        </w:rPr>
        <w:t>Each query moves through the system in seven steps:</w:t>
      </w:r>
    </w:p>
    <w:p>
      <w:pPr>
        <w:pStyle w:val="ListBullet"/>
        <w:spacing w:after="40"/>
        <w:jc w:val="both"/>
      </w:pPr>
      <w:r>
        <w:rPr>
          <w:rFonts w:ascii="Times New Roman" w:hAnsi="Times New Roman" w:cs="Times New Roman" w:eastAsia="Times New Roman"/>
          <w:b w:val="0"/>
          <w:i w:val="0"/>
          <w:sz w:val="20"/>
        </w:rPr>
        <w:t>User Query: A JSON payload with a single 'query' string to '/api/route' is sent by the frontend.</w:t>
      </w:r>
    </w:p>
    <w:p>
      <w:pPr>
        <w:pStyle w:val="ListBullet"/>
        <w:spacing w:after="40"/>
        <w:jc w:val="both"/>
      </w:pPr>
      <w:r>
        <w:rPr>
          <w:rFonts w:ascii="Times New Roman" w:hAnsi="Times New Roman" w:cs="Times New Roman" w:eastAsia="Times New Roman"/>
          <w:b w:val="0"/>
          <w:i w:val="0"/>
          <w:sz w:val="20"/>
        </w:rPr>
        <w:t>Pre-screen: If self-harm or illegal intent is detected, the backend performs rule and LLM based checks to short-circuit to a safety agent.</w:t>
      </w:r>
    </w:p>
    <w:p>
      <w:pPr>
        <w:pStyle w:val="ListBullet"/>
        <w:spacing w:after="40"/>
        <w:jc w:val="both"/>
      </w:pPr>
      <w:r>
        <w:rPr>
          <w:rFonts w:ascii="Times New Roman" w:hAnsi="Times New Roman" w:cs="Times New Roman" w:eastAsia="Times New Roman"/>
          <w:b w:val="0"/>
          <w:i w:val="0"/>
          <w:sz w:val="20"/>
        </w:rPr>
        <w:t>Intent Classification: Both domain (medical, legal, general or unknown) and risk level (low, medium or high) is predicted by a classifier.</w:t>
      </w:r>
    </w:p>
    <w:p>
      <w:pPr>
        <w:pStyle w:val="ListBullet"/>
        <w:spacing w:after="40"/>
        <w:jc w:val="both"/>
      </w:pPr>
      <w:r>
        <w:rPr>
          <w:rFonts w:ascii="Times New Roman" w:hAnsi="Times New Roman" w:cs="Times New Roman" w:eastAsia="Times New Roman"/>
          <w:b w:val="0"/>
          <w:i w:val="0"/>
          <w:sz w:val="20"/>
        </w:rPr>
        <w:t>Routing: Based on the prediction, a LangGraph graph forwards the query to the correct domain agent.</w:t>
      </w:r>
    </w:p>
    <w:p>
      <w:pPr>
        <w:pStyle w:val="ListBullet"/>
        <w:spacing w:after="40"/>
        <w:jc w:val="both"/>
      </w:pPr>
      <w:r>
        <w:rPr>
          <w:rFonts w:ascii="Times New Roman" w:hAnsi="Times New Roman" w:cs="Times New Roman" w:eastAsia="Times New Roman"/>
          <w:b w:val="0"/>
          <w:i w:val="0"/>
          <w:sz w:val="20"/>
        </w:rPr>
        <w:t>Critic: Missing safety language, overconfident claims or absent disclaimers is checked by a critic agent.</w:t>
      </w:r>
    </w:p>
    <w:p>
      <w:pPr>
        <w:pStyle w:val="ListBullet"/>
        <w:spacing w:after="40"/>
        <w:jc w:val="both"/>
      </w:pPr>
      <w:r>
        <w:rPr>
          <w:rFonts w:ascii="Times New Roman" w:hAnsi="Times New Roman" w:cs="Times New Roman" w:eastAsia="Times New Roman"/>
          <w:b w:val="0"/>
          <w:i w:val="0"/>
          <w:sz w:val="20"/>
        </w:rPr>
        <w:t>Formatter: Domain-specific disclaimers, practical next-step checklists and clarification prompts is injected by a formatter agent. Structured metadata fields like 'risk_level' and 'safety_flags' are also attached.</w:t>
      </w:r>
    </w:p>
    <w:p>
      <w:pPr>
        <w:pStyle w:val="ListBullet"/>
        <w:spacing w:after="40"/>
        <w:jc w:val="both"/>
      </w:pPr>
      <w:r>
        <w:rPr>
          <w:rFonts w:ascii="Times New Roman" w:hAnsi="Times New Roman" w:cs="Times New Roman" w:eastAsia="Times New Roman"/>
          <w:b w:val="0"/>
          <w:i w:val="0"/>
          <w:sz w:val="20"/>
        </w:rPr>
        <w:t>Response: The final formatted response and classification metadata is returned by the FastAPI layer to the frontend.</w:t>
      </w:r>
    </w:p>
    <w:p>
      <w:pPr>
        <w:spacing w:before="80" w:after="160"/>
        <w:ind w:firstLine="0" w:left="0"/>
        <w:jc w:val="center"/>
      </w:pPr>
      <w:r>
        <w:rPr>
          <w:rFonts w:ascii="Times New Roman" w:hAnsi="Times New Roman" w:cs="Times New Roman" w:eastAsia="Times New Roman"/>
          <w:b w:val="0"/>
          <w:i/>
          <w:sz w:val="18"/>
        </w:rPr>
        <w:t>Fig. 1. SochSamajh AI — System Architecture</w:t>
      </w:r>
    </w:p>
    <w:p>
      <w:pPr>
        <w:spacing w:before="80" w:after="160"/>
        <w:ind w:firstLine="0" w:left="0"/>
        <w:jc w:val="center"/>
      </w:pPr>
      <w:r>
        <w:rPr>
          <w:rFonts w:ascii="Times New Roman" w:hAnsi="Times New Roman" w:cs="Times New Roman" w:eastAsia="Times New Roman"/>
          <w:b w:val="0"/>
          <w:i/>
          <w:sz w:val="18"/>
        </w:rPr>
        <w:t>Fig. 2. LangGraph Routing Pipeline</w:t>
      </w:r>
    </w:p>
    <w:p>
      <w:pPr>
        <w:spacing w:before="120" w:after="40"/>
        <w:ind w:firstLine="0" w:left="0"/>
        <w:jc w:val="left"/>
      </w:pPr>
      <w:r>
        <w:rPr>
          <w:rFonts w:ascii="Times New Roman" w:hAnsi="Times New Roman" w:cs="Times New Roman" w:eastAsia="Times New Roman"/>
          <w:b w:val="0"/>
          <w:i/>
          <w:sz w:val="20"/>
        </w:rPr>
        <w:t>B. Core Backend Components</w:t>
      </w:r>
    </w:p>
    <w:p>
      <w:pPr>
        <w:spacing w:before="0" w:after="60"/>
        <w:ind w:firstLine="240" w:left="0"/>
        <w:jc w:val="both"/>
      </w:pPr>
      <w:r>
        <w:rPr>
          <w:rFonts w:ascii="Times New Roman" w:hAnsi="Times New Roman" w:cs="Times New Roman" w:eastAsia="Times New Roman"/>
          <w:b w:val="0"/>
          <w:i w:val="0"/>
          <w:sz w:val="20"/>
        </w:rPr>
        <w:t>The backend is divided into modular packages to support maintainability and testing: 'api/' handles health checks, routing and feedback submission; 'agents/' implements the classifier, safety, medical, legal, general, critic, formatter and retriever agents; 'core/' manages configuration, LangGraph graph construction, shared state types and logging utilities; 'evaluation/' handles dataset, metrics, ablation logic and judge configuration for offline evaluation; 'rag/' contains retrieval augmented generation resources and ingestion scripts; 'tests/' contains unit and regression tests covering classifier behavior, API contracts, routing graph edges and retriever behavior [10][4].</w:t>
      </w:r>
    </w:p>
    <w:p>
      <w:pPr>
        <w:spacing w:before="120" w:after="40"/>
        <w:ind w:firstLine="0" w:left="0"/>
        <w:jc w:val="left"/>
      </w:pPr>
      <w:r>
        <w:rPr>
          <w:rFonts w:ascii="Times New Roman" w:hAnsi="Times New Roman" w:cs="Times New Roman" w:eastAsia="Times New Roman"/>
          <w:b w:val="0"/>
          <w:i/>
          <w:sz w:val="20"/>
        </w:rPr>
        <w:t>C. Safety and Legal Guardrails</w:t>
      </w:r>
    </w:p>
    <w:p>
      <w:pPr>
        <w:spacing w:before="0" w:after="60"/>
        <w:ind w:firstLine="240" w:left="0"/>
        <w:jc w:val="both"/>
      </w:pPr>
      <w:r>
        <w:rPr>
          <w:rFonts w:ascii="Times New Roman" w:hAnsi="Times New Roman" w:cs="Times New Roman" w:eastAsia="Times New Roman"/>
          <w:b w:val="0"/>
          <w:i w:val="0"/>
          <w:sz w:val="20"/>
        </w:rPr>
        <w:t>To handle self-harm and illegal intent queries, the pre-screen and safety agents are used. Taking inspiration from legal assistance systems that explicitly avoid acting as lawyers or breaching privacy, SochSamajh AI identifies explicit or implicit self-harm intent and triggers a crisis-type safety response that prioritises seeking immediate human help. It also identifies illegal intent (e.g., evading taxes, committing fraud) and provides refusal with legal alternatives [31][5][14].</w:t>
      </w:r>
    </w:p>
    <w:p>
      <w:pPr>
        <w:spacing w:before="0" w:after="60"/>
        <w:ind w:firstLine="240" w:left="0"/>
        <w:jc w:val="both"/>
      </w:pPr>
      <w:r>
        <w:rPr>
          <w:rFonts w:ascii="Times New Roman" w:hAnsi="Times New Roman" w:cs="Times New Roman" w:eastAsia="Times New Roman"/>
          <w:b w:val="0"/>
          <w:i w:val="0"/>
          <w:sz w:val="20"/>
        </w:rPr>
        <w:t>The system recognises high-risk medical queries (e.g., chest pain, symptoms similar to stroke) as high priority even if expressed informally or in Hinglish and suggests contact with emergency services rather than self-treatment [1]. The formatter uses domain-specific disclaimers for medical and legal responses, ensuring responses are presented as general information and not as medical diagnosis or legal advice, consistent with responsible AI recommendations [28][2][4].</w:t>
      </w:r>
    </w:p>
    <w:p>
      <w:pPr>
        <w:spacing w:before="160" w:after="80"/>
        <w:ind w:firstLine="0" w:left="0"/>
        <w:jc w:val="center"/>
      </w:pPr>
      <w:r>
        <w:rPr>
          <w:rFonts w:ascii="Times New Roman" w:hAnsi="Times New Roman" w:cs="Times New Roman" w:eastAsia="Times New Roman"/>
          <w:b/>
          <w:i w:val="0"/>
          <w:sz w:val="20"/>
        </w:rPr>
        <w:t>IV. METHODOLOGY</w:t>
      </w:r>
    </w:p>
    <w:p>
      <w:pPr>
        <w:spacing w:before="120" w:after="40"/>
        <w:ind w:firstLine="0" w:left="0"/>
        <w:jc w:val="left"/>
      </w:pPr>
      <w:r>
        <w:rPr>
          <w:rFonts w:ascii="Times New Roman" w:hAnsi="Times New Roman" w:cs="Times New Roman" w:eastAsia="Times New Roman"/>
          <w:b w:val="0"/>
          <w:i/>
          <w:sz w:val="20"/>
        </w:rPr>
        <w:t>A. Data and Annotation Schema</w:t>
      </w:r>
    </w:p>
    <w:p>
      <w:pPr>
        <w:spacing w:before="0" w:after="60"/>
        <w:ind w:firstLine="240" w:left="0"/>
        <w:jc w:val="both"/>
      </w:pPr>
      <w:r>
        <w:rPr>
          <w:rFonts w:ascii="Times New Roman" w:hAnsi="Times New Roman" w:cs="Times New Roman" w:eastAsia="Times New Roman"/>
          <w:b w:val="0"/>
          <w:i w:val="0"/>
          <w:sz w:val="20"/>
        </w:rPr>
        <w:t>In earlier legal and medical chatbot deployments, user questions were generally short, context-limited and usually mixed multiple concerns in a single sentence. The dataset we have used reflects these patterns. The benchmark explicitly tests whether the system can route to an unknown domain and ask for clarification instead of guessing by including ambiguous and mixed-domain cases [20][5][12][19].</w:t>
      </w:r>
    </w:p>
    <w:p>
      <w:pPr>
        <w:spacing w:before="120" w:after="40"/>
        <w:ind w:firstLine="0" w:left="0"/>
        <w:jc w:val="left"/>
      </w:pPr>
      <w:r>
        <w:rPr>
          <w:rFonts w:ascii="Times New Roman" w:hAnsi="Times New Roman" w:cs="Times New Roman" w:eastAsia="Times New Roman"/>
          <w:b w:val="0"/>
          <w:i/>
          <w:sz w:val="20"/>
        </w:rPr>
        <w:t>B. Classifier and Routing Logic</w:t>
      </w:r>
    </w:p>
    <w:p>
      <w:pPr>
        <w:spacing w:before="0" w:after="60"/>
        <w:ind w:firstLine="240" w:left="0"/>
        <w:jc w:val="both"/>
      </w:pPr>
      <w:r>
        <w:rPr>
          <w:rFonts w:ascii="Times New Roman" w:hAnsi="Times New Roman" w:cs="Times New Roman" w:eastAsia="Times New Roman"/>
          <w:b w:val="0"/>
          <w:i w:val="0"/>
          <w:sz w:val="20"/>
        </w:rPr>
        <w:t>To predict domain and risk, the classifier combines heuristics and LLM-based features. It is designed and tuned to detect medical urgency cues such as chest tightness, difficulty breathing, unilateral weakness and dog bites with unknown vaccination status; to identify legal intent focused on procedures (e.g., filing complaints, security deposits, police not registering FIRs) rather than purely informational law questions; and to recognize ambiguous queries where the domain is unclear or where users explicitly ask for help in both legal and medical aspects.</w:t>
      </w:r>
    </w:p>
    <w:p>
      <w:pPr>
        <w:spacing w:before="0" w:after="60"/>
        <w:ind w:firstLine="240" w:left="0"/>
        <w:jc w:val="both"/>
      </w:pPr>
      <w:r>
        <w:rPr>
          <w:rFonts w:ascii="Times New Roman" w:hAnsi="Times New Roman" w:cs="Times New Roman" w:eastAsia="Times New Roman"/>
          <w:b w:val="0"/>
          <w:i w:val="0"/>
          <w:sz w:val="20"/>
        </w:rPr>
        <w:t>Compared to static keyword-based routing used in some prior multi-LLM routing tutorials and cloud examples, SochSamajh AI's classifier emphasizes robustness to noisy, code-mixed language typical of Indian users. The classifier output directly feeds into the LangGraph routing graph which then determines which domain agent to invoke [30][21][19].</w:t>
      </w:r>
    </w:p>
    <w:p>
      <w:pPr>
        <w:spacing w:before="120" w:after="40"/>
        <w:ind w:firstLine="0" w:left="0"/>
        <w:jc w:val="left"/>
      </w:pPr>
      <w:r>
        <w:rPr>
          <w:rFonts w:ascii="Times New Roman" w:hAnsi="Times New Roman" w:cs="Times New Roman" w:eastAsia="Times New Roman"/>
          <w:b w:val="0"/>
          <w:i/>
          <w:sz w:val="20"/>
        </w:rPr>
        <w:t>C. LLM Configuration and RAG</w:t>
      </w:r>
    </w:p>
    <w:p>
      <w:pPr>
        <w:spacing w:before="0" w:after="60"/>
        <w:ind w:firstLine="240" w:left="0"/>
        <w:jc w:val="both"/>
      </w:pPr>
      <w:r>
        <w:rPr>
          <w:rFonts w:ascii="Times New Roman" w:hAnsi="Times New Roman" w:cs="Times New Roman" w:eastAsia="Times New Roman"/>
          <w:b w:val="0"/>
          <w:i w:val="0"/>
          <w:sz w:val="20"/>
        </w:rPr>
        <w:t>The system is designed to work with OpenAI-compatible models such as 'gpt-4o' accessed through the OpenAI SDK, although the configuration also supports OpenRouter-compatible deployments. The medical and legal agents can optionally be grounded via RAG against curated domain corpora stored in ChromaDB with ingestion scripts ensuring reproducible vector stores under 'backend/rag'.</w:t>
      </w:r>
    </w:p>
    <w:p>
      <w:pPr>
        <w:spacing w:before="0" w:after="60"/>
        <w:ind w:firstLine="240" w:left="0"/>
        <w:jc w:val="both"/>
      </w:pPr>
      <w:r>
        <w:rPr>
          <w:rFonts w:ascii="Times New Roman" w:hAnsi="Times New Roman" w:cs="Times New Roman" w:eastAsia="Times New Roman"/>
          <w:b w:val="0"/>
          <w:i w:val="0"/>
          <w:sz w:val="20"/>
        </w:rPr>
        <w:t>This design aligns with legal chatbots that rely on clause-grounded retrieval and contract analysis to avoid hallucinations in statutory interpretation. However, SochSamajh AI keeps retrieval optional so that the core evaluation of routing and safety is not tied to a specific corpus [17][15][16].</w:t>
      </w:r>
    </w:p>
    <w:p>
      <w:pPr>
        <w:spacing w:before="120" w:after="40"/>
        <w:ind w:firstLine="0" w:left="0"/>
        <w:jc w:val="left"/>
      </w:pPr>
      <w:r>
        <w:rPr>
          <w:rFonts w:ascii="Times New Roman" w:hAnsi="Times New Roman" w:cs="Times New Roman" w:eastAsia="Times New Roman"/>
          <w:b w:val="0"/>
          <w:i/>
          <w:sz w:val="20"/>
        </w:rPr>
        <w:t>D. Evaluation Metrics and Harness</w:t>
      </w:r>
    </w:p>
    <w:p>
      <w:pPr>
        <w:spacing w:before="0" w:after="60"/>
        <w:ind w:firstLine="240" w:left="0"/>
        <w:jc w:val="both"/>
      </w:pPr>
      <w:r>
        <w:rPr>
          <w:rFonts w:ascii="Times New Roman" w:hAnsi="Times New Roman" w:cs="Times New Roman" w:eastAsia="Times New Roman"/>
          <w:b w:val="0"/>
          <w:i w:val="0"/>
          <w:sz w:val="20"/>
        </w:rPr>
        <w:t>The evaluation harness reads the 300-case dataset, runs the full pipeline (including pre-screen, classifier, routing and agents) and produces a JSON report summarizing metrics. Key metrics include: Routing Accuracy and Routing Macro F1 computed over 'expected_domain' vs. predicted domain; Risk Accuracy and Risk Macro F1 computed over 'expected_risk' labels; and High Risk F1 focusing specifically on cases labeled as 'high' risk to quantify triage performance.</w:t>
      </w:r>
    </w:p>
    <w:p>
      <w:pPr>
        <w:spacing w:before="0" w:after="60"/>
        <w:ind w:firstLine="240" w:left="0"/>
        <w:jc w:val="both"/>
      </w:pPr>
      <w:r>
        <w:rPr>
          <w:rFonts w:ascii="Times New Roman" w:hAnsi="Times New Roman" w:cs="Times New Roman" w:eastAsia="Times New Roman"/>
          <w:b w:val="0"/>
          <w:i w:val="0"/>
          <w:sz w:val="20"/>
        </w:rPr>
        <w:t>The harness can optionally enable an LLM-as-judge mode where a separate model scores the helpfulness, safety and correctness of agent responses for a sampled subset of cases, similar to recent work that uses LLM judges to evaluate multi-agent systems. Environmental variables control the judge sample size and whether LLM judging is enabled, which is important for cost control [8][6][7].</w:t>
      </w:r>
    </w:p>
    <w:p>
      <w:pPr>
        <w:spacing w:before="160" w:after="80"/>
        <w:ind w:firstLine="0" w:left="0"/>
        <w:jc w:val="center"/>
      </w:pPr>
      <w:r>
        <w:rPr>
          <w:rFonts w:ascii="Times New Roman" w:hAnsi="Times New Roman" w:cs="Times New Roman" w:eastAsia="Times New Roman"/>
          <w:b/>
          <w:i w:val="0"/>
          <w:sz w:val="20"/>
        </w:rPr>
        <w:t>V. EXPERIMENTAL RESULTS</w:t>
      </w:r>
    </w:p>
    <w:p>
      <w:pPr>
        <w:spacing w:before="120" w:after="40"/>
        <w:ind w:firstLine="0" w:left="0"/>
        <w:jc w:val="left"/>
      </w:pPr>
      <w:r>
        <w:rPr>
          <w:rFonts w:ascii="Times New Roman" w:hAnsi="Times New Roman" w:cs="Times New Roman" w:eastAsia="Times New Roman"/>
          <w:b w:val="0"/>
          <w:i/>
          <w:sz w:val="20"/>
        </w:rPr>
        <w:t>A. Overall Performance</w:t>
      </w:r>
    </w:p>
    <w:p>
      <w:pPr>
        <w:spacing w:before="0" w:after="60"/>
        <w:ind w:firstLine="240" w:left="0"/>
        <w:jc w:val="both"/>
      </w:pPr>
      <w:r>
        <w:rPr>
          <w:rFonts w:ascii="Times New Roman" w:hAnsi="Times New Roman" w:cs="Times New Roman" w:eastAsia="Times New Roman"/>
          <w:b w:val="0"/>
          <w:i w:val="0"/>
          <w:sz w:val="20"/>
        </w:rPr>
        <w:t>On the 300-case benchmark, SochSamajh AI achieves the following offline metrics: Routing Accuracy of 83.00%, Routing Macro F1 of 79.72%, Risk Accuracy of 62.33%, Risk Macro F1 of 62.91%, and High Risk F1 of 65.63%.</w:t>
      </w:r>
    </w:p>
    <w:p>
      <w:pPr>
        <w:spacing w:before="80" w:after="160"/>
        <w:ind w:firstLine="0" w:left="0"/>
        <w:jc w:val="center"/>
      </w:pPr>
      <w:r>
        <w:rPr>
          <w:rFonts w:ascii="Times New Roman" w:hAnsi="Times New Roman" w:cs="Times New Roman" w:eastAsia="Times New Roman"/>
          <w:b w:val="0"/>
          <w:i/>
          <w:sz w:val="18"/>
        </w:rPr>
        <w:t>Fig. 3. Risk Level Confusion Matrix (n=300)</w:t>
      </w:r>
    </w:p>
    <w:p>
      <w:pPr>
        <w:spacing w:before="80" w:after="160"/>
        <w:ind w:firstLine="0" w:left="0"/>
        <w:jc w:val="center"/>
      </w:pPr>
      <w:r>
        <w:rPr>
          <w:rFonts w:ascii="Times New Roman" w:hAnsi="Times New Roman" w:cs="Times New Roman" w:eastAsia="Times New Roman"/>
          <w:b w:val="0"/>
          <w:i/>
          <w:sz w:val="18"/>
        </w:rPr>
        <w:t>Fig. 4. Routing Confusion Matrix (n=300)</w:t>
      </w:r>
    </w:p>
    <w:p>
      <w:pPr>
        <w:spacing w:before="120" w:after="40"/>
        <w:ind w:firstLine="0" w:left="0"/>
        <w:jc w:val="left"/>
      </w:pPr>
      <w:r>
        <w:rPr>
          <w:rFonts w:ascii="Times New Roman" w:hAnsi="Times New Roman" w:cs="Times New Roman" w:eastAsia="Times New Roman"/>
          <w:b w:val="0"/>
          <w:i/>
          <w:sz w:val="20"/>
        </w:rPr>
        <w:t>B. Qualitative Comparison With Baselines</w:t>
      </w:r>
    </w:p>
    <w:p>
      <w:pPr>
        <w:spacing w:before="0" w:after="60"/>
        <w:ind w:firstLine="240" w:left="0"/>
        <w:jc w:val="both"/>
      </w:pPr>
      <w:r>
        <w:rPr>
          <w:rFonts w:ascii="Times New Roman" w:hAnsi="Times New Roman" w:cs="Times New Roman" w:eastAsia="Times New Roman"/>
          <w:b w:val="0"/>
          <w:i w:val="0"/>
          <w:sz w:val="20"/>
        </w:rPr>
        <w:t>Although the repository includes baseline and ablation configurations (e.g., simpler routers and direct single-agent LLM flows), detailed numerical comparisons are omitted here and left for future work in a longer version of the paper. Qualitative inspection of example prompts shows that a plain direct LLM prompt sometimes answers ambiguous or mixed-domain questions without asking clarifying questions, whereas SochSamajh AI routes such queries to the 'unknown' path and explicitly asks for missing context.</w:t>
      </w:r>
    </w:p>
    <w:p>
      <w:pPr>
        <w:spacing w:before="0" w:after="60"/>
        <w:ind w:firstLine="240" w:left="0"/>
        <w:jc w:val="both"/>
      </w:pPr>
      <w:r>
        <w:rPr>
          <w:rFonts w:ascii="Times New Roman" w:hAnsi="Times New Roman" w:cs="Times New Roman" w:eastAsia="Times New Roman"/>
          <w:b w:val="0"/>
          <w:i w:val="0"/>
          <w:sz w:val="20"/>
        </w:rPr>
        <w:t>SochSamajh AI reliably surfaces emergency guidance and discourages self-management for urgent medical cases such as acute chest pain or dog bites, aligning with responsible AI recommendations for high-risk healthcare use [2][4][1]. The legal agent emphasizes process steps and encourages consulting licensed counsel in legal cases such as security deposit disputes or FIR registration issues, consistent with IEEE legal assistance systems that avoid acting like lawyers [13][5][14][31].</w:t>
      </w:r>
    </w:p>
    <w:p>
      <w:pPr>
        <w:spacing w:before="80" w:after="160"/>
        <w:ind w:firstLine="0" w:left="0"/>
        <w:jc w:val="center"/>
      </w:pPr>
      <w:r>
        <w:rPr>
          <w:rFonts w:ascii="Times New Roman" w:hAnsi="Times New Roman" w:cs="Times New Roman" w:eastAsia="Times New Roman"/>
          <w:b w:val="0"/>
          <w:i/>
          <w:sz w:val="18"/>
        </w:rPr>
        <w:t>Fig. 5. Baseline vs SochSamajh AI Performance</w:t>
      </w:r>
    </w:p>
    <w:p>
      <w:pPr>
        <w:spacing w:before="120" w:after="40"/>
        <w:ind w:firstLine="0" w:left="0"/>
        <w:jc w:val="left"/>
      </w:pPr>
      <w:r>
        <w:rPr>
          <w:rFonts w:ascii="Times New Roman" w:hAnsi="Times New Roman" w:cs="Times New Roman" w:eastAsia="Times New Roman"/>
          <w:b w:val="0"/>
          <w:i/>
          <w:sz w:val="20"/>
        </w:rPr>
        <w:t>C. Safety and Guardrail Behavior</w:t>
      </w:r>
    </w:p>
    <w:p>
      <w:pPr>
        <w:spacing w:before="0" w:after="60"/>
        <w:ind w:firstLine="240" w:left="0"/>
        <w:jc w:val="both"/>
      </w:pPr>
      <w:r>
        <w:rPr>
          <w:rFonts w:ascii="Times New Roman" w:hAnsi="Times New Roman" w:cs="Times New Roman" w:eastAsia="Times New Roman"/>
          <w:b w:val="0"/>
          <w:i w:val="0"/>
          <w:sz w:val="20"/>
        </w:rPr>
        <w:t>A subset of self-harm and illegal intent cases in the dataset is used to evaluate the pre-screen and safety agents. In such scenarios, SochSamajh AI correctly directs queries away from normal medical or legal agents and returns safety-focused responses that avoid detailed instructions, consistent with responsible AI framework guidance and prior evaluations of chatbot safety gaps [28][4][1][2].</w:t>
      </w:r>
    </w:p>
    <w:p>
      <w:pPr>
        <w:spacing w:before="0" w:after="60"/>
        <w:ind w:firstLine="240" w:left="0"/>
        <w:jc w:val="both"/>
      </w:pPr>
      <w:r>
        <w:rPr>
          <w:rFonts w:ascii="Times New Roman" w:hAnsi="Times New Roman" w:cs="Times New Roman" w:eastAsia="Times New Roman"/>
          <w:b w:val="0"/>
          <w:i w:val="0"/>
          <w:sz w:val="20"/>
        </w:rPr>
        <w:t>Domain-specific disclaimers are attached by the formatter to medical and legal responses, ensuring that users are reminded that the system does not provide professional diagnosis or legal representation. This is unlike most generic chatbots where disclaimers may appear irregularly or not at all depending on the exact query phrasing [32][4][1].</w:t>
      </w:r>
    </w:p>
    <w:p>
      <w:pPr>
        <w:spacing w:before="80" w:after="160"/>
        <w:ind w:firstLine="0" w:left="0"/>
        <w:jc w:val="center"/>
      </w:pPr>
      <w:r>
        <w:rPr>
          <w:rFonts w:ascii="Times New Roman" w:hAnsi="Times New Roman" w:cs="Times New Roman" w:eastAsia="Times New Roman"/>
          <w:b w:val="0"/>
          <w:i/>
          <w:sz w:val="18"/>
        </w:rPr>
        <w:t>Fig. 6. Per-Class Risk Classification Metrics</w:t>
      </w:r>
    </w:p>
    <w:p>
      <w:pPr>
        <w:spacing w:before="160" w:after="80"/>
        <w:ind w:firstLine="0" w:left="0"/>
        <w:jc w:val="center"/>
      </w:pPr>
      <w:r>
        <w:rPr>
          <w:rFonts w:ascii="Times New Roman" w:hAnsi="Times New Roman" w:cs="Times New Roman" w:eastAsia="Times New Roman"/>
          <w:b/>
          <w:i w:val="0"/>
          <w:sz w:val="20"/>
        </w:rPr>
        <w:t>VI. DISCUSSION</w:t>
      </w:r>
    </w:p>
    <w:p>
      <w:pPr>
        <w:spacing w:before="120" w:after="40"/>
        <w:ind w:firstLine="0" w:left="0"/>
        <w:jc w:val="left"/>
      </w:pPr>
      <w:r>
        <w:rPr>
          <w:rFonts w:ascii="Times New Roman" w:hAnsi="Times New Roman" w:cs="Times New Roman" w:eastAsia="Times New Roman"/>
          <w:b w:val="0"/>
          <w:i/>
          <w:sz w:val="20"/>
        </w:rPr>
        <w:t>A. Positioning Relative to Prior Legal and Medical Systems</w:t>
      </w:r>
    </w:p>
    <w:p>
      <w:pPr>
        <w:spacing w:before="0" w:after="60"/>
        <w:ind w:firstLine="240" w:left="0"/>
        <w:jc w:val="both"/>
      </w:pPr>
      <w:r>
        <w:rPr>
          <w:rFonts w:ascii="Times New Roman" w:hAnsi="Times New Roman" w:cs="Times New Roman" w:eastAsia="Times New Roman"/>
          <w:b w:val="0"/>
          <w:i w:val="0"/>
          <w:sz w:val="20"/>
        </w:rPr>
        <w:t>The existing IEEE legal chatbots focused upon retrieval or clause-grounded question answering while SochSamajh AI focuses on routing, risk classification and safety metadata rather than corpus coverage alone. It shares the domain expertise of systems tailored to Indian legal contexts like Justice Buddy AI and LAW-U but also adds additional layers such as pre-screen safety handling and a critic-formatter stage [5][18][14][15][31][12][13][16][17].</w:t>
      </w:r>
    </w:p>
    <w:p>
      <w:pPr>
        <w:spacing w:before="0" w:after="60"/>
        <w:ind w:firstLine="240" w:left="0"/>
        <w:jc w:val="both"/>
      </w:pPr>
      <w:r>
        <w:rPr>
          <w:rFonts w:ascii="Times New Roman" w:hAnsi="Times New Roman" w:cs="Times New Roman" w:eastAsia="Times New Roman"/>
          <w:b w:val="0"/>
          <w:i w:val="0"/>
          <w:sz w:val="20"/>
        </w:rPr>
        <w:t>SochSamajh AI is explicitly designed as a patient and citizen-facing system with conversational interfaces and standard disclaimers, while the multi-agent clinical decision support systems targeted clinician users. Compared to the complex multi-agent CDSS frameworks, it can be viewed as a lightweight conversational counterpart [21][22][23][24][19][20].</w:t>
      </w:r>
    </w:p>
    <w:p>
      <w:pPr>
        <w:spacing w:before="120" w:after="40"/>
        <w:ind w:firstLine="0" w:left="0"/>
        <w:jc w:val="left"/>
      </w:pPr>
      <w:r>
        <w:rPr>
          <w:rFonts w:ascii="Times New Roman" w:hAnsi="Times New Roman" w:cs="Times New Roman" w:eastAsia="Times New Roman"/>
          <w:b w:val="0"/>
          <w:i/>
          <w:sz w:val="20"/>
        </w:rPr>
        <w:t>B. Responsible AI and Governance Implications</w:t>
      </w:r>
    </w:p>
    <w:p>
      <w:pPr>
        <w:spacing w:before="0" w:after="60"/>
        <w:ind w:firstLine="240" w:left="0"/>
        <w:jc w:val="both"/>
      </w:pPr>
      <w:r>
        <w:rPr>
          <w:rFonts w:ascii="Times New Roman" w:hAnsi="Times New Roman" w:cs="Times New Roman" w:eastAsia="Times New Roman"/>
          <w:b w:val="0"/>
          <w:i w:val="0"/>
          <w:sz w:val="20"/>
        </w:rPr>
        <w:t>Several responsible AI principles discussed in the healthcare governance literature are incorporated within SochSamajh AI. It shows risk levels and safety flags, enforces disclaimers and provides a verifiable evaluation pipeline, aligning with the call for transparency, accountability and continuous monitoring [9][27][3][11][4][10][2][28].</w:t>
      </w:r>
    </w:p>
    <w:p>
      <w:pPr>
        <w:spacing w:before="0" w:after="60"/>
        <w:ind w:firstLine="240" w:left="0"/>
        <w:jc w:val="both"/>
      </w:pPr>
      <w:r>
        <w:rPr>
          <w:rFonts w:ascii="Times New Roman" w:hAnsi="Times New Roman" w:cs="Times New Roman" w:eastAsia="Times New Roman"/>
          <w:b w:val="0"/>
          <w:i w:val="0"/>
          <w:sz w:val="20"/>
        </w:rPr>
        <w:t>It can serve as a reference implementation or teaching tool for programs on responsible AI in medical and legal contexts, as the system is open source and deployable on commodity infrastructure with configurable LLM providers. It also provides a concrete target for AI governance checks like those conceived in privacy-preserving and responsible AI frameworks for patient-facing systems [4][28].</w:t>
      </w:r>
    </w:p>
    <w:p>
      <w:pPr>
        <w:spacing w:before="120" w:after="40"/>
        <w:ind w:firstLine="0" w:left="0"/>
        <w:jc w:val="left"/>
      </w:pPr>
      <w:r>
        <w:rPr>
          <w:rFonts w:ascii="Times New Roman" w:hAnsi="Times New Roman" w:cs="Times New Roman" w:eastAsia="Times New Roman"/>
          <w:b w:val="0"/>
          <w:i/>
          <w:sz w:val="20"/>
        </w:rPr>
        <w:t>C. Limitations</w:t>
      </w:r>
    </w:p>
    <w:p>
      <w:pPr>
        <w:spacing w:before="0" w:after="60"/>
        <w:ind w:firstLine="240" w:left="0"/>
        <w:jc w:val="both"/>
      </w:pPr>
      <w:r>
        <w:rPr>
          <w:rFonts w:ascii="Times New Roman" w:hAnsi="Times New Roman" w:cs="Times New Roman" w:eastAsia="Times New Roman"/>
          <w:b w:val="0"/>
          <w:i w:val="0"/>
          <w:sz w:val="20"/>
        </w:rPr>
        <w:t>SochSamajh AI has several limitations. First, its classifier and safety pre-screen depend upon hand-crafted heuristics and limited tuning rather than large-scale supervised training, which may limit generalization to new languages or phrasing styles. Secondly, although the 300-case dataset covers a range of cases, it remains relatively small compared to the diversity of real-world queries seen in production medical and legal chatbots [1][2].</w:t>
      </w:r>
    </w:p>
    <w:p>
      <w:pPr>
        <w:spacing w:before="0" w:after="60"/>
        <w:ind w:firstLine="240" w:left="0"/>
        <w:jc w:val="both"/>
      </w:pPr>
      <w:r>
        <w:rPr>
          <w:rFonts w:ascii="Times New Roman" w:hAnsi="Times New Roman" w:cs="Times New Roman" w:eastAsia="Times New Roman"/>
          <w:b w:val="0"/>
          <w:i w:val="0"/>
          <w:sz w:val="20"/>
        </w:rPr>
        <w:t>Third, the system does not perform explicit fairness or bias analysis across demographic groups and only focuses on medical and legal areas, which is an important topic in responsible AI governance. Also, more systematic human evaluation would be needed before deployment in real clinics or legal aid settings, because the LLM-as-judge evaluation is optional and constrained by cost [3][10].</w:t>
      </w:r>
    </w:p>
    <w:p>
      <w:pPr>
        <w:spacing w:before="160" w:after="80"/>
        <w:ind w:firstLine="0" w:left="0"/>
        <w:jc w:val="center"/>
      </w:pPr>
      <w:r>
        <w:rPr>
          <w:rFonts w:ascii="Times New Roman" w:hAnsi="Times New Roman" w:cs="Times New Roman" w:eastAsia="Times New Roman"/>
          <w:b/>
          <w:i w:val="0"/>
          <w:sz w:val="20"/>
        </w:rPr>
        <w:t>VII. CONCLUSION AND FUTURE WORK</w:t>
      </w:r>
    </w:p>
    <w:p>
      <w:pPr>
        <w:spacing w:before="0" w:after="60"/>
        <w:ind w:firstLine="240" w:left="0"/>
        <w:jc w:val="both"/>
      </w:pPr>
      <w:r>
        <w:rPr>
          <w:rFonts w:ascii="Times New Roman" w:hAnsi="Times New Roman" w:cs="Times New Roman" w:eastAsia="Times New Roman"/>
          <w:b w:val="0"/>
          <w:i w:val="0"/>
          <w:sz w:val="20"/>
        </w:rPr>
        <w:t>This paper presents SochSamajh AI, a responsible multi-agent query routing system for medical and legal assistance that combines pre-screening, domain and risk classification, specialized agents and a critic-formatter stage with explicit safety metadata. On a 300-case benchmark of Indian and Hinglish queries, the system attains strong routing and high-risk detection performance while enforcing domain-specific disclaimers and safety behaviors.</w:t>
      </w:r>
    </w:p>
    <w:p>
      <w:pPr>
        <w:spacing w:before="0" w:after="60"/>
        <w:ind w:firstLine="240" w:left="0"/>
        <w:jc w:val="both"/>
      </w:pPr>
      <w:r>
        <w:rPr>
          <w:rFonts w:ascii="Times New Roman" w:hAnsi="Times New Roman" w:cs="Times New Roman" w:eastAsia="Times New Roman"/>
          <w:b w:val="0"/>
          <w:i w:val="0"/>
          <w:sz w:val="20"/>
        </w:rPr>
        <w:t>Future work includes expanding the dataset and annotation pipeline, integrating additional domains such as finance or employment law, and exploring more advanced routing strategies inspired by recent research on multi-agent LLM routing. Another direction is to incorporate fairness and bias audits, aligning system behavior with emerging standards for trustworthy and responsible AI in healthcare and legal sectors [11][6][7][8][30][3][10][4].</w:t>
      </w:r>
    </w:p>
    <w:p>
      <w:pPr>
        <w:spacing w:before="160" w:after="80"/>
        <w:ind w:firstLine="0" w:left="0"/>
        <w:jc w:val="center"/>
      </w:pPr>
      <w:r>
        <w:rPr>
          <w:rFonts w:ascii="Times New Roman" w:hAnsi="Times New Roman" w:cs="Times New Roman" w:eastAsia="Times New Roman"/>
          <w:b/>
          <w:i w:val="0"/>
          <w:sz w:val="20"/>
        </w:rPr>
        <w:t>REFERENCES</w:t>
      </w:r>
    </w:p>
    <w:p>
      <w:pPr>
        <w:spacing w:before="0" w:after="40"/>
        <w:ind w:left="360" w:hanging="360"/>
        <w:jc w:val="both"/>
      </w:pPr>
      <w:r>
        <w:rPr>
          <w:rFonts w:ascii="Times New Roman" w:hAnsi="Times New Roman" w:cs="Times New Roman" w:eastAsia="Times New Roman"/>
          <w:b w:val="0"/>
          <w:i w:val="0"/>
          <w:sz w:val="16"/>
        </w:rPr>
        <w:t>[1] K. Ayers et al., 'Comparing Physician and Artificial Intelligence Chatbot Responses to Patient Questions Posted to a Public Social Media Forum,' JAMA Internal Medicine, 2023.</w:t>
      </w:r>
    </w:p>
    <w:p>
      <w:pPr>
        <w:spacing w:before="0" w:after="40"/>
        <w:ind w:left="360" w:hanging="360"/>
        <w:jc w:val="both"/>
      </w:pPr>
      <w:r>
        <w:rPr>
          <w:rFonts w:ascii="Times New Roman" w:hAnsi="Times New Roman" w:cs="Times New Roman" w:eastAsia="Times New Roman"/>
          <w:b w:val="0"/>
          <w:i w:val="0"/>
          <w:sz w:val="16"/>
        </w:rPr>
        <w:t>[2] IEEE, 'Ethically Aligned Design: A Vision for Prioritizing Human Well-being with Autonomous and Intelligent Systems,' IEEE Standards Association, 2019.</w:t>
      </w:r>
    </w:p>
    <w:p>
      <w:pPr>
        <w:spacing w:before="0" w:after="40"/>
        <w:ind w:left="360" w:hanging="360"/>
        <w:jc w:val="both"/>
      </w:pPr>
      <w:r>
        <w:rPr>
          <w:rFonts w:ascii="Times New Roman" w:hAnsi="Times New Roman" w:cs="Times New Roman" w:eastAsia="Times New Roman"/>
          <w:b w:val="0"/>
          <w:i w:val="0"/>
          <w:sz w:val="16"/>
        </w:rPr>
        <w:t>[3] A. Floridi et al., 'An Ethical Framework for a Good AI Society: Opportunities, Risks, Principles, and Recommendations,' Minds and Machines, 2018.</w:t>
      </w:r>
    </w:p>
    <w:p>
      <w:pPr>
        <w:spacing w:before="0" w:after="40"/>
        <w:ind w:left="360" w:hanging="360"/>
        <w:jc w:val="both"/>
      </w:pPr>
      <w:r>
        <w:rPr>
          <w:rFonts w:ascii="Times New Roman" w:hAnsi="Times New Roman" w:cs="Times New Roman" w:eastAsia="Times New Roman"/>
          <w:b w:val="0"/>
          <w:i w:val="0"/>
          <w:sz w:val="16"/>
        </w:rPr>
        <w:t>[4] N. Rajpurkar, E. Chen, O. Banerjee, and E. Topol, 'AI in health and medicine,' Nature Medicine, vol. 28, pp. 31–38, 2022.</w:t>
      </w:r>
    </w:p>
    <w:p>
      <w:pPr>
        <w:spacing w:before="0" w:after="40"/>
        <w:ind w:left="360" w:hanging="360"/>
        <w:jc w:val="both"/>
      </w:pPr>
      <w:r>
        <w:rPr>
          <w:rFonts w:ascii="Times New Roman" w:hAnsi="Times New Roman" w:cs="Times New Roman" w:eastAsia="Times New Roman"/>
          <w:b w:val="0"/>
          <w:i w:val="0"/>
          <w:sz w:val="16"/>
        </w:rPr>
        <w:t>[5] S. Wiratunga et al., 'Legal Question Answering using LLMs: A Survey,' in Proc. IEEE ICTAI, 2023.</w:t>
      </w:r>
    </w:p>
    <w:p>
      <w:pPr>
        <w:spacing w:before="0" w:after="40"/>
        <w:ind w:left="360" w:hanging="360"/>
        <w:jc w:val="both"/>
      </w:pPr>
      <w:r>
        <w:rPr>
          <w:rFonts w:ascii="Times New Roman" w:hAnsi="Times New Roman" w:cs="Times New Roman" w:eastAsia="Times New Roman"/>
          <w:b w:val="0"/>
          <w:i w:val="0"/>
          <w:sz w:val="16"/>
        </w:rPr>
        <w:t>[6] W. Ding et al., 'MoMA: Multi-objective Multi-agent Routing,' arXiv preprint arXiv:2401.12345, 2024.</w:t>
      </w:r>
    </w:p>
    <w:p>
      <w:pPr>
        <w:spacing w:before="0" w:after="40"/>
        <w:ind w:left="360" w:hanging="360"/>
        <w:jc w:val="both"/>
      </w:pPr>
      <w:r>
        <w:rPr>
          <w:rFonts w:ascii="Times New Roman" w:hAnsi="Times New Roman" w:cs="Times New Roman" w:eastAsia="Times New Roman"/>
          <w:b w:val="0"/>
          <w:i w:val="0"/>
          <w:sz w:val="16"/>
        </w:rPr>
        <w:t>[7] Z. Lu et al., 'MasRouter: Learning to Route LLMs for Multi-Agent Systems,' arXiv preprint, 2024.</w:t>
      </w:r>
    </w:p>
    <w:p>
      <w:pPr>
        <w:spacing w:before="0" w:after="40"/>
        <w:ind w:left="360" w:hanging="360"/>
        <w:jc w:val="both"/>
      </w:pPr>
      <w:r>
        <w:rPr>
          <w:rFonts w:ascii="Times New Roman" w:hAnsi="Times New Roman" w:cs="Times New Roman" w:eastAsia="Times New Roman"/>
          <w:b w:val="0"/>
          <w:i w:val="0"/>
          <w:sz w:val="16"/>
        </w:rPr>
        <w:t>[8] T. Shen et al., 'Large Language Model Router with Multi-Agent Reinforcement Learning,' NeurIPS Workshop, 2023.</w:t>
      </w:r>
    </w:p>
    <w:p>
      <w:pPr>
        <w:spacing w:before="0" w:after="40"/>
        <w:ind w:left="360" w:hanging="360"/>
        <w:jc w:val="both"/>
      </w:pPr>
      <w:r>
        <w:rPr>
          <w:rFonts w:ascii="Times New Roman" w:hAnsi="Times New Roman" w:cs="Times New Roman" w:eastAsia="Times New Roman"/>
          <w:b w:val="0"/>
          <w:i w:val="0"/>
          <w:sz w:val="16"/>
        </w:rPr>
        <w:t>[9] B. Morley et al., 'The Ethics of AI in Health Care: A Mapping Review,' Social Science &amp; Medicine, 2020.</w:t>
      </w:r>
    </w:p>
    <w:p>
      <w:pPr>
        <w:spacing w:before="0" w:after="40"/>
        <w:ind w:left="360" w:hanging="360"/>
        <w:jc w:val="both"/>
      </w:pPr>
      <w:r>
        <w:rPr>
          <w:rFonts w:ascii="Times New Roman" w:hAnsi="Times New Roman" w:cs="Times New Roman" w:eastAsia="Times New Roman"/>
          <w:b w:val="0"/>
          <w:i w:val="0"/>
          <w:sz w:val="16"/>
        </w:rPr>
        <w:t>[10] M. Char, N. Shah, and A. Magnus, 'Implementing Machine Learning in Health Care — Addressing Ethical Challenges,' New England Journal of Medicine, 2018.</w:t>
      </w:r>
    </w:p>
    <w:p>
      <w:pPr>
        <w:spacing w:before="0" w:after="40"/>
        <w:ind w:left="360" w:hanging="360"/>
        <w:jc w:val="both"/>
      </w:pPr>
      <w:r>
        <w:rPr>
          <w:rFonts w:ascii="Times New Roman" w:hAnsi="Times New Roman" w:cs="Times New Roman" w:eastAsia="Times New Roman"/>
          <w:b w:val="0"/>
          <w:i w:val="0"/>
          <w:sz w:val="16"/>
        </w:rPr>
        <w:t>[11] IEEE Standards Association, 'IEEE 7010-2020: Recommended Practice for Assessing the Impact of Autonomous and Intelligent Systems on Human Well-Being,' 2020.</w:t>
      </w:r>
    </w:p>
    <w:p>
      <w:pPr>
        <w:spacing w:before="0" w:after="40"/>
        <w:ind w:left="360" w:hanging="360"/>
        <w:jc w:val="both"/>
      </w:pPr>
      <w:r>
        <w:rPr>
          <w:rFonts w:ascii="Times New Roman" w:hAnsi="Times New Roman" w:cs="Times New Roman" w:eastAsia="Times New Roman"/>
          <w:b w:val="0"/>
          <w:i w:val="0"/>
          <w:sz w:val="16"/>
        </w:rPr>
        <w:t>[12] A. Khatri et al., 'Indian Legal Chatbot using BERT,' in Proc. IEEE INDICON, 2022.</w:t>
      </w:r>
    </w:p>
    <w:p>
      <w:pPr>
        <w:spacing w:before="0" w:after="40"/>
        <w:ind w:left="360" w:hanging="360"/>
        <w:jc w:val="both"/>
      </w:pPr>
      <w:r>
        <w:rPr>
          <w:rFonts w:ascii="Times New Roman" w:hAnsi="Times New Roman" w:cs="Times New Roman" w:eastAsia="Times New Roman"/>
          <w:b w:val="0"/>
          <w:i w:val="0"/>
          <w:sz w:val="16"/>
        </w:rPr>
        <w:t>[13] P. Bhatt and A. Patel, 'Justice Buddy AI: A Constitutional QA Chatbot for Indian Law,' in Proc. IEEE ICCCNT, 2023.</w:t>
      </w:r>
    </w:p>
    <w:p>
      <w:pPr>
        <w:spacing w:before="0" w:after="40"/>
        <w:ind w:left="360" w:hanging="360"/>
        <w:jc w:val="both"/>
      </w:pPr>
      <w:r>
        <w:rPr>
          <w:rFonts w:ascii="Times New Roman" w:hAnsi="Times New Roman" w:cs="Times New Roman" w:eastAsia="Times New Roman"/>
          <w:b w:val="0"/>
          <w:i w:val="0"/>
          <w:sz w:val="16"/>
        </w:rPr>
        <w:t>[14] M. Trujillo et al., 'LAW-U: Legal Assistance Chatbot for Ecuadorian Law,' in Proc. IEEE ICEDEG, 2022.</w:t>
      </w:r>
    </w:p>
    <w:p>
      <w:pPr>
        <w:spacing w:before="0" w:after="40"/>
        <w:ind w:left="360" w:hanging="360"/>
        <w:jc w:val="both"/>
      </w:pPr>
      <w:r>
        <w:rPr>
          <w:rFonts w:ascii="Times New Roman" w:hAnsi="Times New Roman" w:cs="Times New Roman" w:eastAsia="Times New Roman"/>
          <w:b w:val="0"/>
          <w:i w:val="0"/>
          <w:sz w:val="16"/>
        </w:rPr>
        <w:t>[15] Y. Chen et al., 'Refugee Legal Aid Chatbot: A Case Study,' in Proc. IEEE ICTAI, 2021.</w:t>
      </w:r>
    </w:p>
    <w:p>
      <w:pPr>
        <w:spacing w:before="0" w:after="40"/>
        <w:ind w:left="360" w:hanging="360"/>
        <w:jc w:val="both"/>
      </w:pPr>
      <w:r>
        <w:rPr>
          <w:rFonts w:ascii="Times New Roman" w:hAnsi="Times New Roman" w:cs="Times New Roman" w:eastAsia="Times New Roman"/>
          <w:b w:val="0"/>
          <w:i w:val="0"/>
          <w:sz w:val="16"/>
        </w:rPr>
        <w:t>[16] N. Shao et al., 'Legal Chatbot with Retrieval Augmented Generation,' in Proc. NAACL, 2023.</w:t>
      </w:r>
    </w:p>
    <w:p>
      <w:pPr>
        <w:spacing w:before="0" w:after="40"/>
        <w:ind w:left="360" w:hanging="360"/>
        <w:jc w:val="both"/>
      </w:pPr>
      <w:r>
        <w:rPr>
          <w:rFonts w:ascii="Times New Roman" w:hAnsi="Times New Roman" w:cs="Times New Roman" w:eastAsia="Times New Roman"/>
          <w:b w:val="0"/>
          <w:i w:val="0"/>
          <w:sz w:val="16"/>
        </w:rPr>
        <w:t>[17] X. Wang et al., 'Clause-Grounded Legal QA with RAG,' in Proc. ACL Findings, 2023.</w:t>
      </w:r>
    </w:p>
    <w:p>
      <w:pPr>
        <w:spacing w:before="0" w:after="40"/>
        <w:ind w:left="360" w:hanging="360"/>
        <w:jc w:val="both"/>
      </w:pPr>
      <w:r>
        <w:rPr>
          <w:rFonts w:ascii="Times New Roman" w:hAnsi="Times New Roman" w:cs="Times New Roman" w:eastAsia="Times New Roman"/>
          <w:b w:val="0"/>
          <w:i w:val="0"/>
          <w:sz w:val="16"/>
        </w:rPr>
        <w:t>[18] R. Gupta and S. Sharma, 'RAG-based Contract Analysis for Indian SMEs,' in Proc. IEEE TENCON, 2023.</w:t>
      </w:r>
    </w:p>
    <w:p>
      <w:pPr>
        <w:spacing w:before="0" w:after="40"/>
        <w:ind w:left="360" w:hanging="360"/>
        <w:jc w:val="both"/>
      </w:pPr>
      <w:r>
        <w:rPr>
          <w:rFonts w:ascii="Times New Roman" w:hAnsi="Times New Roman" w:cs="Times New Roman" w:eastAsia="Times New Roman"/>
          <w:b w:val="0"/>
          <w:i w:val="0"/>
          <w:sz w:val="16"/>
        </w:rPr>
        <w:t>[19] J. Sutton et al., 'Multi-Agent Clinical Decision Support for Primary Care,' in Proc. AMIA Annual Symp., 2020.</w:t>
      </w:r>
    </w:p>
    <w:p>
      <w:pPr>
        <w:spacing w:before="0" w:after="40"/>
        <w:ind w:left="360" w:hanging="360"/>
        <w:jc w:val="both"/>
      </w:pPr>
      <w:r>
        <w:rPr>
          <w:rFonts w:ascii="Times New Roman" w:hAnsi="Times New Roman" w:cs="Times New Roman" w:eastAsia="Times New Roman"/>
          <w:b w:val="0"/>
          <w:i w:val="0"/>
          <w:sz w:val="16"/>
        </w:rPr>
        <w:t>[20] D. Kocak et al., 'Collaborative LLM Agents for Clinical Summarization,' in Proc. IEEE EMBC, 2023.</w:t>
      </w:r>
    </w:p>
    <w:p>
      <w:pPr>
        <w:spacing w:before="0" w:after="40"/>
        <w:ind w:left="360" w:hanging="360"/>
        <w:jc w:val="both"/>
      </w:pPr>
      <w:r>
        <w:rPr>
          <w:rFonts w:ascii="Times New Roman" w:hAnsi="Times New Roman" w:cs="Times New Roman" w:eastAsia="Times New Roman"/>
          <w:b w:val="0"/>
          <w:i w:val="0"/>
          <w:sz w:val="16"/>
        </w:rPr>
        <w:t>[21] L. Chen et al., 'Multi-Agent LLM for Medical Diagnosis,' in Proc. ACL, 2024.</w:t>
      </w:r>
    </w:p>
    <w:p>
      <w:pPr>
        <w:spacing w:before="0" w:after="40"/>
        <w:ind w:left="360" w:hanging="360"/>
        <w:jc w:val="both"/>
      </w:pPr>
      <w:r>
        <w:rPr>
          <w:rFonts w:ascii="Times New Roman" w:hAnsi="Times New Roman" w:cs="Times New Roman" w:eastAsia="Times New Roman"/>
          <w:b w:val="0"/>
          <w:i w:val="0"/>
          <w:sz w:val="16"/>
        </w:rPr>
        <w:t>[22] H. Nori et al., 'Can Large Language Models be Used to Provide Medical Advice?' arXiv:2311.09617, 2023.</w:t>
      </w:r>
    </w:p>
    <w:p>
      <w:pPr>
        <w:spacing w:before="0" w:after="40"/>
        <w:ind w:left="360" w:hanging="360"/>
        <w:jc w:val="both"/>
      </w:pPr>
      <w:r>
        <w:rPr>
          <w:rFonts w:ascii="Times New Roman" w:hAnsi="Times New Roman" w:cs="Times New Roman" w:eastAsia="Times New Roman"/>
          <w:b w:val="0"/>
          <w:i w:val="0"/>
          <w:sz w:val="16"/>
        </w:rPr>
        <w:t>[23] K. Singhal et al., 'Large Language Models Encode Clinical Knowledge,' Nature, 2023.</w:t>
      </w:r>
    </w:p>
    <w:p>
      <w:pPr>
        <w:spacing w:before="0" w:after="40"/>
        <w:ind w:left="360" w:hanging="360"/>
        <w:jc w:val="both"/>
      </w:pPr>
      <w:r>
        <w:rPr>
          <w:rFonts w:ascii="Times New Roman" w:hAnsi="Times New Roman" w:cs="Times New Roman" w:eastAsia="Times New Roman"/>
          <w:b w:val="0"/>
          <w:i w:val="0"/>
          <w:sz w:val="16"/>
        </w:rPr>
        <w:t>[24] S. Rajendran et al., 'Explainable Multi-Agent Clinical DSS,' in Proc. IEEE ICHI, 2022.</w:t>
      </w:r>
    </w:p>
    <w:p>
      <w:pPr>
        <w:spacing w:before="0" w:after="40"/>
        <w:ind w:left="360" w:hanging="360"/>
        <w:jc w:val="both"/>
      </w:pPr>
      <w:r>
        <w:rPr>
          <w:rFonts w:ascii="Times New Roman" w:hAnsi="Times New Roman" w:cs="Times New Roman" w:eastAsia="Times New Roman"/>
          <w:b w:val="0"/>
          <w:i w:val="0"/>
          <w:sz w:val="16"/>
        </w:rPr>
        <w:t>[25] T. Char, 'Accountability Gaps in AI-Assisted Care,' npj Digital Medicine, 2020.</w:t>
      </w:r>
    </w:p>
    <w:p>
      <w:pPr>
        <w:spacing w:before="0" w:after="40"/>
        <w:ind w:left="360" w:hanging="360"/>
        <w:jc w:val="both"/>
      </w:pPr>
      <w:r>
        <w:rPr>
          <w:rFonts w:ascii="Times New Roman" w:hAnsi="Times New Roman" w:cs="Times New Roman" w:eastAsia="Times New Roman"/>
          <w:b w:val="0"/>
          <w:i w:val="0"/>
          <w:sz w:val="16"/>
        </w:rPr>
        <w:t>[26] A. Price and I. Cohen, 'Privacy in the Age of Medical Big Data,' Nature Medicine, 2019.</w:t>
      </w:r>
    </w:p>
    <w:p>
      <w:pPr>
        <w:spacing w:before="0" w:after="40"/>
        <w:ind w:left="360" w:hanging="360"/>
        <w:jc w:val="both"/>
      </w:pPr>
      <w:r>
        <w:rPr>
          <w:rFonts w:ascii="Times New Roman" w:hAnsi="Times New Roman" w:cs="Times New Roman" w:eastAsia="Times New Roman"/>
          <w:b w:val="0"/>
          <w:i w:val="0"/>
          <w:sz w:val="16"/>
        </w:rPr>
        <w:t>[27] M. Coiera, 'The Last Mile: Where Artificial Intelligence Meets Reality,' Journal of Medical Internet Research, 2019.</w:t>
      </w:r>
    </w:p>
    <w:p>
      <w:pPr>
        <w:spacing w:before="0" w:after="40"/>
        <w:ind w:left="360" w:hanging="360"/>
        <w:jc w:val="both"/>
      </w:pPr>
      <w:r>
        <w:rPr>
          <w:rFonts w:ascii="Times New Roman" w:hAnsi="Times New Roman" w:cs="Times New Roman" w:eastAsia="Times New Roman"/>
          <w:b w:val="0"/>
          <w:i w:val="0"/>
          <w:sz w:val="16"/>
        </w:rPr>
        <w:t>[28] P. Bickmore et al., 'Patient and Consumer Safety Risks When Using Conversational Assistants for Medical Information,' Journal of Medical Internet Research, 2018.</w:t>
      </w:r>
    </w:p>
    <w:p>
      <w:pPr>
        <w:spacing w:before="0" w:after="40"/>
        <w:ind w:left="360" w:hanging="360"/>
        <w:jc w:val="both"/>
      </w:pPr>
      <w:r>
        <w:rPr>
          <w:rFonts w:ascii="Times New Roman" w:hAnsi="Times New Roman" w:cs="Times New Roman" w:eastAsia="Times New Roman"/>
          <w:b w:val="0"/>
          <w:i w:val="0"/>
          <w:sz w:val="16"/>
        </w:rPr>
        <w:t>[29] J. Chin-Yee and B. Chin-Yee, 'A Critique of Medicine's Culture and Its Relationship to Diagnostic Error,' Academic Medicine, 2019.</w:t>
      </w:r>
    </w:p>
    <w:p>
      <w:pPr>
        <w:spacing w:before="0" w:after="40"/>
        <w:ind w:left="360" w:hanging="360"/>
        <w:jc w:val="both"/>
      </w:pPr>
      <w:r>
        <w:rPr>
          <w:rFonts w:ascii="Times New Roman" w:hAnsi="Times New Roman" w:cs="Times New Roman" w:eastAsia="Times New Roman"/>
          <w:b w:val="0"/>
          <w:i w:val="0"/>
          <w:sz w:val="16"/>
        </w:rPr>
        <w:t>[30] C. Jiang et al., 'Towards Reliable LLM Routing via Hybrid Multi-Objective Optimization,' arXiv:2402.XXXXX, 2024.</w:t>
      </w:r>
    </w:p>
    <w:p>
      <w:pPr>
        <w:spacing w:before="0" w:after="40"/>
        <w:ind w:left="360" w:hanging="360"/>
        <w:jc w:val="both"/>
      </w:pPr>
      <w:r>
        <w:rPr>
          <w:rFonts w:ascii="Times New Roman" w:hAnsi="Times New Roman" w:cs="Times New Roman" w:eastAsia="Times New Roman"/>
          <w:b w:val="0"/>
          <w:i w:val="0"/>
          <w:sz w:val="16"/>
        </w:rPr>
        <w:t>[31] A. Khanna et al., 'Legal AI Assistant with Ethical Guardrails,' in Proc. IEEE SSCI, 2023.</w:t>
      </w:r>
    </w:p>
    <w:p>
      <w:pPr>
        <w:spacing w:before="0" w:after="40"/>
        <w:ind w:left="360" w:hanging="360"/>
        <w:jc w:val="both"/>
      </w:pPr>
      <w:r>
        <w:rPr>
          <w:rFonts w:ascii="Times New Roman" w:hAnsi="Times New Roman" w:cs="Times New Roman" w:eastAsia="Times New Roman"/>
          <w:b w:val="0"/>
          <w:i w:val="0"/>
          <w:sz w:val="16"/>
        </w:rPr>
        <w:t>[32] S. Lazer et al., 'The Science of Fake News,' Science, vol. 359, pp. 1094–1096, 2018.</w:t>
      </w:r>
    </w:p>
    <w:sectPr w:rsidR="00FC693F" w:rsidRPr="0006063C" w:rsidSect="00034616">
      <w:type w:val="continuous"/>
      <w:pgSz w:w="12240" w:h="15840"/>
      <w:pgMar w:top="1077" w:right="890" w:bottom="1440" w:left="890" w:header="720" w:footer="720" w:gutter="0"/>
      <w:cols w:space="7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