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7B0136D1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348DA8DC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REGISTRATION OF LAND LEASE (15A) FOR ELECTRICITY SUBSTATION SITE TO FACTORY DEVELOPMENT ON PART OF GRANT PROPERTY 250194 LOT 30153, PORT DICKSON TOWN, PORT DICKSON DISTRICT, NEGERI SEMBILAN DARUL SPECIFICALLY</w:t>
      </w:r>
      <w:bookmarkStart w:id="0" w:name="_Hlk153537542"/>
      <w:bookmarkStart w:id="1" w:name="_Hlk153537554"/>
      <w:bookmarkEnd w:id="0"/>
      <w:bookmarkEnd w:id="1"/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In relation to the above, I hereby select the following documents to be registered:-</w:t>
      </w:r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 xml:space="preserve">Geran 250194 Lot 30153 (Asal); </w:t>
      </w:r>
    </w:p>
    <w:p w14:paraId="70B7DA95" w14:textId="3993E2C1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15A (Original &amp; DUPLICATE Copy)</w:t>
      </w:r>
      <w:r>
        <w:rPr>
          <w:rFonts w:ascii="Arial" w:hAnsi="Arial" w:cs="Arial"/>
          <w:spacing w:val="-2"/>
        </w:rPr>
        <w:t xml:space="preserve"> which has been signed and stamped;</w:t>
      </w:r>
    </w:p>
    <w:p w14:paraId="16770ADB" w14:textId="55063D6E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 xml:space="preserve">Submission Slip No.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SubmissionSlipNumber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spacing w:val="-2"/>
        </w:rPr>
        <w:t xml:space="preserve"> and a copy </w:t>
      </w:r>
      <w:r>
        <w:rPr>
          <w:rFonts w:ascii="Arial" w:hAnsi="Arial" w:cs="Arial"/>
          <w:b/>
          <w:bCs/>
          <w:spacing w:val="-2"/>
        </w:rPr>
        <w:t xml:space="preserve">Payment Receipt No.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PaymentReceiptNo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amounting to RM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LandTransferRegistrationFeeMYR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spacing w:val="-2"/>
        </w:rPr>
        <w:t>for land transfer registration fees;</w:t>
      </w:r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signs form 15A;</w:t>
      </w:r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24;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f) 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>carry out land leases;</w:t>
      </w:r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land tax receipts for the year 2023;</w:t>
      </w:r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i)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SSM (Company Profile) terkini</w:t>
      </w:r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r>
        <w:rPr>
          <w:rFonts w:ascii="Arial" w:hAnsi="Arial" w:cs="Arial"/>
          <w:b/>
          <w:i/>
          <w:spacing w:val="-2"/>
        </w:rPr>
        <w:t>“ BETTER.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5A87242" w14:textId="73DE45FF" w:rsidR="00CD6649" w:rsidRDefault="00EE228D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 w:rsidRPr="00EE228D">
        <w:rPr>
          <w:rFonts w:ascii="Arial" w:hAnsi="Arial" w:cs="Arial"/>
          <w:spacing w:val="-2"/>
        </w:rPr>
        <w:t>{{Signature}}</w:t>
      </w:r>
      <w:r w:rsidR="00CD6649"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Tenaga Nasional Berhad</w:t>
      </w:r>
    </w:p>
    <w:p w14:paraId="5E6D0E1A" w14:textId="55CED654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C8C3B" w14:textId="77777777" w:rsidR="002E0C56" w:rsidRDefault="002E0C56" w:rsidP="002E3A3B">
      <w:pPr>
        <w:spacing w:after="0" w:line="240" w:lineRule="auto"/>
      </w:pPr>
      <w:r>
        <w:separator/>
      </w:r>
    </w:p>
  </w:endnote>
  <w:endnote w:type="continuationSeparator" w:id="0">
    <w:p w14:paraId="11CCBBE4" w14:textId="77777777" w:rsidR="002E0C56" w:rsidRDefault="002E0C56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A132B" w14:textId="77777777" w:rsidR="002E0C56" w:rsidRDefault="002E0C56" w:rsidP="002E3A3B">
      <w:pPr>
        <w:spacing w:after="0" w:line="240" w:lineRule="auto"/>
      </w:pPr>
      <w:r>
        <w:separator/>
      </w:r>
    </w:p>
  </w:footnote>
  <w:footnote w:type="continuationSeparator" w:id="0">
    <w:p w14:paraId="2BF4B0F0" w14:textId="77777777" w:rsidR="002E0C56" w:rsidRDefault="002E0C56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686741">
    <w:abstractNumId w:val="1"/>
  </w:num>
  <w:num w:numId="2" w16cid:durableId="506553077">
    <w:abstractNumId w:val="5"/>
  </w:num>
  <w:num w:numId="3" w16cid:durableId="438795767">
    <w:abstractNumId w:val="4"/>
  </w:num>
  <w:num w:numId="4" w16cid:durableId="381175564">
    <w:abstractNumId w:val="0"/>
    <w:lvlOverride w:ilvl="0">
      <w:startOverride w:val="4"/>
    </w:lvlOverride>
  </w:num>
  <w:num w:numId="5" w16cid:durableId="1897818858">
    <w:abstractNumId w:val="3"/>
    <w:lvlOverride w:ilvl="0">
      <w:startOverride w:val="2"/>
    </w:lvlOverride>
  </w:num>
  <w:num w:numId="6" w16cid:durableId="920214264">
    <w:abstractNumId w:val="2"/>
  </w:num>
  <w:num w:numId="7" w16cid:durableId="1318221493">
    <w:abstractNumId w:val="7"/>
  </w:num>
  <w:num w:numId="8" w16cid:durableId="542446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477C9"/>
    <w:rsid w:val="0006375D"/>
    <w:rsid w:val="0006537D"/>
    <w:rsid w:val="000667A7"/>
    <w:rsid w:val="00080300"/>
    <w:rsid w:val="000933FB"/>
    <w:rsid w:val="00135D90"/>
    <w:rsid w:val="00160468"/>
    <w:rsid w:val="00170C11"/>
    <w:rsid w:val="00190BA1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9F5"/>
    <w:rsid w:val="002B56AF"/>
    <w:rsid w:val="002E0C56"/>
    <w:rsid w:val="002E3A3B"/>
    <w:rsid w:val="002E675D"/>
    <w:rsid w:val="002F762E"/>
    <w:rsid w:val="003312DD"/>
    <w:rsid w:val="00331C21"/>
    <w:rsid w:val="003A6379"/>
    <w:rsid w:val="003B1974"/>
    <w:rsid w:val="003B35CC"/>
    <w:rsid w:val="003C0A71"/>
    <w:rsid w:val="00402AE3"/>
    <w:rsid w:val="00404FEE"/>
    <w:rsid w:val="00436376"/>
    <w:rsid w:val="004377A8"/>
    <w:rsid w:val="00442967"/>
    <w:rsid w:val="0045413A"/>
    <w:rsid w:val="004767F5"/>
    <w:rsid w:val="004819C9"/>
    <w:rsid w:val="004C46BB"/>
    <w:rsid w:val="004D67BD"/>
    <w:rsid w:val="004E636E"/>
    <w:rsid w:val="00551449"/>
    <w:rsid w:val="00562C11"/>
    <w:rsid w:val="005705BB"/>
    <w:rsid w:val="005B5FC7"/>
    <w:rsid w:val="005C7565"/>
    <w:rsid w:val="005E19F7"/>
    <w:rsid w:val="005F521D"/>
    <w:rsid w:val="00600FD6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086D"/>
    <w:rsid w:val="00781E46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A16B3"/>
    <w:rsid w:val="008A6B76"/>
    <w:rsid w:val="008D65D6"/>
    <w:rsid w:val="008E26B3"/>
    <w:rsid w:val="008E6192"/>
    <w:rsid w:val="008F27B9"/>
    <w:rsid w:val="009016CB"/>
    <w:rsid w:val="00907C2A"/>
    <w:rsid w:val="0095070F"/>
    <w:rsid w:val="0098292C"/>
    <w:rsid w:val="00994091"/>
    <w:rsid w:val="009F33EC"/>
    <w:rsid w:val="009F75B8"/>
    <w:rsid w:val="00A14AF1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3375E"/>
    <w:rsid w:val="00C33F7A"/>
    <w:rsid w:val="00C72F1D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46C35"/>
    <w:rsid w:val="00E61037"/>
    <w:rsid w:val="00E848D0"/>
    <w:rsid w:val="00E87055"/>
    <w:rsid w:val="00EC49FE"/>
    <w:rsid w:val="00EE228D"/>
    <w:rsid w:val="00EE24B4"/>
    <w:rsid w:val="00EF47BE"/>
    <w:rsid w:val="00EF78FB"/>
    <w:rsid w:val="00F03F62"/>
    <w:rsid w:val="00F113B3"/>
    <w:rsid w:val="00F12460"/>
    <w:rsid w:val="00F3248C"/>
    <w:rsid w:val="00F34F73"/>
    <w:rsid w:val="00F468BB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24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Props1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3</cp:revision>
  <cp:lastPrinted>2025-01-24T07:21:00Z</cp:lastPrinted>
  <dcterms:created xsi:type="dcterms:W3CDTF">2025-02-13T03:20:00Z</dcterms:created>
  <dcterms:modified xsi:type="dcterms:W3CDTF">2025-02-20T06:10:00Z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