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SIMATS ENGINEERING</w:t>
      </w:r>
    </w:p>
    <w:p>
      <w:pPr>
        <w:spacing w:after="60"/>
        <w:jc w:val="center"/>
      </w:pPr>
      <w:r>
        <w:t xml:space="preserve">ASSESSMENT TOOL 2</w:t>
      </w:r>
    </w:p>
    <w:p>
      <w:pPr>
        <w:spacing w:after="60"/>
        <w:jc w:val="center"/>
      </w:pPr>
      <w:r>
        <w:t xml:space="preserve">Course Name: Cryptography and Network Security   |   Course Code: CSA51</w:t>
      </w:r>
    </w:p>
    <w:p>
      <w:pPr>
        <w:spacing w:after="60"/>
        <w:jc w:val="center"/>
      </w:pPr>
      <w:r>
        <w:t xml:space="preserve">CO2: Analyze Public Key crypto system strategies using RSA and Key Exchange for Encryption algorithm to strengthen information security. (BL4, BL5)</w:t>
      </w:r>
    </w:p>
    <w:p>
      <w:pPr>
        <w:spacing w:after="300"/>
        <w:jc w:val="center"/>
      </w:pPr>
      <w:r>
        <w:t xml:space="preserve">Scenario-Based: 20% | Total Marks: 50</w:t>
      </w:r>
    </w:p>
    <w:p>
      <w:pPr>
        <w:pStyle w:val="Heading2"/>
        <w:spacing w:after="120" w:before="250"/>
      </w:pPr>
      <w:r>
        <w:t xml:space="preserve">Annexure A — Code of Conduct</w:t>
      </w:r>
    </w:p>
    <w:p>
      <w:pPr>
        <w:spacing w:after="120"/>
      </w:pPr>
      <w:r>
        <w:t xml:space="preserve">I T Sanjeeva Reddy (Reg. No: 192372304) certify that this submission is my original work and that I have adhered to the guidelines specified for this assessment.</w:t>
      </w:r>
    </w:p>
    <w:p>
      <w:pPr>
        <w:spacing w:after="120"/>
      </w:pPr>
      <w:r>
        <w:t xml:space="preserve">I understand that any violation of academic integrity rules will result in disciplinary action.</w:t>
      </w:r>
    </w:p>
    <w:p>
      <w:pPr>
        <w:spacing w:after="120"/>
      </w:pPr>
      <w:r>
        <w:t xml:space="preserve">Signature of the student: T Sanjeeva Reddy</w:t>
      </w:r>
    </w:p>
    <w:p>
      <w:pPr>
        <w:pStyle w:val="Heading1"/>
        <w:spacing w:after="150" w:before="300"/>
      </w:pPr>
      <w:r>
        <w:t xml:space="preserve">Scenario-Based</w:t>
      </w:r>
    </w:p>
    <w:p>
      <w:pPr>
        <w:pStyle w:val="Heading2"/>
        <w:spacing w:after="120" w:before="250"/>
      </w:pPr>
      <w:r>
        <w:t xml:space="preserve">1. Secure Data Transmission using Block Cipher</w:t>
      </w:r>
    </w:p>
    <w:p>
      <w:pPr>
        <w:spacing w:after="120"/>
      </w:pPr>
      <w:r>
        <w:rPr>
          <w:b/>
          <w:bCs/>
        </w:rPr>
        <w:t xml:space="preserve">A. Why ECB shows patterns: </w:t>
      </w:r>
      <w:r>
        <w:t xml:space="preserve">In ECB mode, every plaintext block is encrypted independently using the same key, with no dependency between blocks. As a result, identical plaintext blocks always produce identical ciphertext blocks. Since the company's financial data contains repeated blocks (e.g., recurring transaction formats, zero-padding, or repeated field values), those repetitions are preserved as identical ciphertext blocks — allowing an observer to infer structural or statistical information about the underlying data without decrypting it.</w:t>
      </w:r>
    </w:p>
    <w:p>
      <w:pPr>
        <w:spacing w:after="120"/>
      </w:pPr>
      <w:r>
        <w:rPr>
          <w:b/>
          <w:bCs/>
        </w:rPr>
        <w:t xml:space="preserve">B. Recommended mode: </w:t>
      </w:r>
      <w:r>
        <w:t xml:space="preserve">CBC (Cipher Block Chaining), or an authenticated mode such as GCM, is more secure. In CBC, each plaintext block is XORed with the previous ciphertext block before encryption, so the ciphertext for a given block depends on all preceding blocks. Identical plaintext blocks then produce different ciphertext, eliminating the visible pattern. GCM additionally provides integrity/authentication, which further protects financial data against tampering — an important property for a banking-adjacent use case.</w:t>
      </w:r>
    </w:p>
    <w:p>
      <w:pPr>
        <w:pStyle w:val="Heading2"/>
        <w:spacing w:after="120" w:before="250"/>
      </w:pPr>
      <w:r>
        <w:t xml:space="preserve">2. Choosing an Encryption Algorithm for Banking System</w:t>
      </w:r>
    </w:p>
    <w:p>
      <w:pPr>
        <w:spacing w:after="120"/>
      </w:pPr>
      <w:r>
        <w:rPr>
          <w:b/>
          <w:bCs/>
        </w:rPr>
        <w:t xml:space="preserve">A. Most suitable algorithm: </w:t>
      </w:r>
      <w:r>
        <w:t xml:space="preserve">3-DES (Triple DES) is the most suitable choice among DES, 3-DES, and Blowfish for this banking scenario.</w:t>
      </w:r>
    </w:p>
    <w:p>
      <w:pPr>
        <w:spacing w:after="120"/>
      </w:pPr>
      <w:r>
        <w:rPr>
          <w:b/>
          <w:bCs/>
        </w:rPr>
        <w:t xml:space="preserve">B. Justification: </w:t>
      </w:r>
      <w:r>
        <w:t xml:space="preserve">DES is ruled out because its 56-bit key is no longer secure against brute-force attacks, which is unacceptable for financial data. 3-DES applies DES three times with (typically) two or three different keys, giving an effective security strength of about 112 bits — strong enough for regulated financial use — and it has a long track record of validation and acceptance in the banking/payments industry (e.g., legacy EMV and payment-processing standards). Its slower speed relative to DES and Blowfish is an acceptable trade-off given the scenario explicitly prioritizes high security with only moderate (not maximum) performance requirements. Blowfish, while fast and reasonably secure, lacks the same formal, long-standing validation history in regulated banking environments.</w:t>
      </w:r>
    </w:p>
    <w:p>
      <w:pPr>
        <w:pStyle w:val="Heading2"/>
        <w:spacing w:after="120" w:before="250"/>
      </w:pPr>
      <w:r>
        <w:t xml:space="preserve">3. Key Exchange in an Unsecured Network</w:t>
      </w:r>
    </w:p>
    <w:p>
      <w:pPr>
        <w:spacing w:after="120"/>
      </w:pPr>
      <w:r>
        <w:rPr>
          <w:b/>
          <w:bCs/>
        </w:rPr>
        <w:t xml:space="preserve">A. How the exchange works: </w:t>
      </w:r>
      <w:r>
        <w:t xml:space="preserve">Each user independently chooses a private key and, using publicly agreed parameters (a prime p and generator g), computes a public value g^(private) mod p. The two users exchange these public values openly over the network. Each user then raises the other's public value to the power of their own private key, modulo p, to compute an identical shared secret — without the private keys themselves ever being transmitted.</w:t>
      </w:r>
    </w:p>
    <w:p>
      <w:pPr>
        <w:spacing w:after="120"/>
      </w:pPr>
      <w:r>
        <w:rPr>
          <w:b/>
          <w:bCs/>
        </w:rPr>
        <w:t xml:space="preserve">B. Threat and mitigation: </w:t>
      </w:r>
      <w:r>
        <w:t xml:space="preserve">Because plain Diffie-Hellman does not authenticate who sent which public value, it is vulnerable to a Man-in-the-Middle (MITM) attack: an attacker can intercept and replace both users' public values with their own, establishing separate shared secrets with each party and silently relaying/decrypting all communication. This is mitigated by adding authentication to the exchange — for example, digital signatures on the exchanged values verified via certificates issued by a trusted Certificate Authority, or by performing the exchange within an authenticated protocol such as TLS.</w:t>
      </w:r>
    </w:p>
    <w:p>
      <w:pPr>
        <w:pStyle w:val="Heading2"/>
        <w:spacing w:after="120" w:before="250"/>
      </w:pPr>
      <w:r>
        <w:t xml:space="preserve">4. Public Key Cryptography for Email Security</w:t>
      </w:r>
    </w:p>
    <w:p>
      <w:pPr>
        <w:spacing w:after="120"/>
      </w:pPr>
      <w:r>
        <w:rPr>
          <w:b/>
          <w:bCs/>
        </w:rPr>
        <w:t xml:space="preserve">A. RSA for encryption/decryption: </w:t>
      </w:r>
      <w:r>
        <w:t xml:space="preserve">To send a confidential email, the sender obtains the recipient's public key and uses it to encrypt the message (or, more commonly in practice, uses RSA to encrypt a randomly generated symmetric session key, which then encrypts the actual message body for efficiency). The recipient uses their own private key — known only to them — to decrypt the session key and recover the message. For authentication and non-repudiation, the sender can also compute a hash of the message and sign it with their own private key; the recipient verifies this signature using the sender's public key, confirming the message's origin and integrity.</w:t>
      </w:r>
    </w:p>
    <w:p>
      <w:pPr>
        <w:spacing w:after="120"/>
      </w:pPr>
      <w:r>
        <w:rPr>
          <w:b/>
          <w:bCs/>
        </w:rPr>
        <w:t xml:space="preserve">B. Role of key distribution and management: </w:t>
      </w:r>
      <w:r>
        <w:t xml:space="preserve">The security of this scheme depends entirely on users being able to trust that a given public key genuinely belongs to the claimed owner. This is achieved through a Public Key Infrastructure (PKI): a trusted Certificate Authority issues digital certificates binding public keys to verified identities. Proper key management also requires secure storage of private keys, periodic key rotation, and a clear revocation process (e.g., if a private key is compromised or an employee leaves), since failure in any of these areas — such as a leaked private key or an unverified public key — undermines the confidentiality and authenticity the system is meant to provide.</w:t>
      </w:r>
    </w:p>
    <w:p>
      <w:pPr>
        <w:pStyle w:val="Heading2"/>
        <w:spacing w:after="120" w:before="250"/>
      </w:pPr>
      <w:r>
        <w:t xml:space="preserve">5. Cryptography for IoT Devices</w:t>
      </w:r>
    </w:p>
    <w:p>
      <w:pPr>
        <w:spacing w:after="120"/>
      </w:pPr>
      <w:r>
        <w:rPr>
          <w:b/>
          <w:bCs/>
        </w:rPr>
        <w:t xml:space="preserve">A. Constraints of IoT devices: </w:t>
      </w:r>
      <w:r>
        <w:t xml:space="preserve">Smart-home IoT devices typically have limited battery capacity, low processing power, small amounts of RAM/storage, and constrained network bandwidth. Cryptographic operations must therefore minimize CPU cycles, memory footprint, key size, and energy consumption, while still providing adequate security for the device's lifetime.</w:t>
      </w:r>
    </w:p>
    <w:p>
      <w:pPr>
        <w:spacing w:after="120"/>
      </w:pPr>
      <w:r>
        <w:rPr>
          <w:b/>
          <w:bCs/>
        </w:rPr>
        <w:t xml:space="preserve">B. Recommendation and justification: </w:t>
      </w:r>
      <w:r>
        <w:t xml:space="preserve">Elliptic Curve Cryptography (ECC) is the recommended approach. ECC provides security equivalent to RSA while using dramatically smaller key sizes (e.g., a 160-bit ECC key offers security comparable to a 1024-bit RSA key), which directly translates into faster computations, lower memory and storage requirements, less data to transmit, and reduced power consumption. These properties align closely with the constraints of low-power IoT devices, making ECC clearly preferable to RSA for this smart-home scenario.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2026-08-03T08:47:54.581Z</dcterms:created>
  <dcterms:modified xsi:type="dcterms:W3CDTF">2026-08-03T08:47:54.582Z</dcterms:modified>
</cp:coreProperties>
</file>

<file path=docProps/custom.xml><?xml version="1.0" encoding="utf-8"?>
<Properties xmlns="http://schemas.openxmlformats.org/officeDocument/2006/custom-properties" xmlns:vt="http://schemas.openxmlformats.org/officeDocument/2006/docPropsVTypes"/>
</file>