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SIMATS ENGINEERING</w:t>
      </w:r>
    </w:p>
    <w:p>
      <w:pPr>
        <w:spacing w:after="100"/>
        <w:jc w:val="center"/>
      </w:pPr>
      <w:r>
        <w:rPr>
          <w:b/>
          <w:bCs/>
          <w:sz w:val="26"/>
          <w:szCs w:val="26"/>
        </w:rPr>
        <w:t xml:space="preserve">Assessment Tool 3 — Comparative Analysis</w:t>
      </w:r>
    </w:p>
    <w:p>
      <w:pPr>
        <w:spacing w:after="60"/>
        <w:jc w:val="center"/>
      </w:pPr>
      <w:r>
        <w:rPr>
          <w:sz w:val="22"/>
          <w:szCs w:val="22"/>
        </w:rPr>
        <w:t xml:space="preserve">CSA51 — Cryptography and Network Security</w:t>
      </w:r>
    </w:p>
    <w:p>
      <w:pPr>
        <w:spacing w:after="400"/>
        <w:jc w:val="center"/>
      </w:pPr>
      <w:r>
        <w:rPr>
          <w:sz w:val="22"/>
          <w:szCs w:val="22"/>
        </w:rPr>
        <w:t xml:space="preserve">Name: T Sanjeeva Reddy      Reg. No: 192372304</w:t>
      </w:r>
    </w:p>
    <w:p>
      <w:pPr>
        <w:pStyle w:val="Heading1"/>
        <w:spacing w:after="150" w:before="300"/>
      </w:pPr>
      <w:r>
        <w:t xml:space="preserve">Question 1: Authentication Header (AH) vs. Encapsulating Security Payload (ESP)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Aspect</w:t>
            </w:r>
          </w:p>
        </w:tc>
        <w:tc>
          <w:tcPr>
            <w:tcW w:type="dxa" w:w="3000"/>
            <w:shd w:fill="D9E2F3" w:val="clear"/>
          </w:tcPr>
          <w:p>
            <w:r>
              <w:rPr>
                <w:b/>
                <w:bCs/>
              </w:rPr>
              <w:t xml:space="preserve">AH</w:t>
            </w:r>
          </w:p>
        </w:tc>
        <w:tc>
          <w:tcPr>
            <w:tcW w:type="dxa" w:w="3000"/>
            <w:shd w:fill="D9E2F3" w:val="clear"/>
          </w:tcPr>
          <w:p>
            <w:r>
              <w:rPr>
                <w:b/>
                <w:bCs/>
              </w:rPr>
              <w:t xml:space="preserve">ESP</w:t>
            </w:r>
          </w:p>
        </w:tc>
      </w:tr>
      <w:tr>
        <w:tc>
          <w:tcPr>
            <w:tcW w:type="dxa" w:w="3000"/>
          </w:tcPr>
          <w:p>
            <w:r>
              <w:rPr>
                <w:b w:val="false"/>
                <w:bCs w:val="false"/>
              </w:rPr>
              <w:t xml:space="preserve">Security services</w:t>
            </w:r>
          </w:p>
        </w:tc>
        <w:tc>
          <w:tcPr>
            <w:tcW w:type="dxa" w:w="3000"/>
          </w:tcPr>
          <w:p>
            <w:r>
              <w:rPr>
                <w:b w:val="false"/>
                <w:bCs w:val="false"/>
              </w:rPr>
              <w:t xml:space="preserve">Integrity, source authentication, anti-replay (no confidentiality)</w:t>
            </w:r>
          </w:p>
        </w:tc>
        <w:tc>
          <w:tcPr>
            <w:tcW w:type="dxa" w:w="3000"/>
          </w:tcPr>
          <w:p>
            <w:r>
              <w:rPr>
                <w:b w:val="false"/>
                <w:bCs w:val="false"/>
              </w:rPr>
              <w:t xml:space="preserve">Confidentiality (encryption); integrity/authentication optional but commonly enabled</w:t>
            </w:r>
          </w:p>
        </w:tc>
      </w:tr>
      <w:tr>
        <w:tc>
          <w:tcPr>
            <w:tcW w:type="dxa" w:w="3000"/>
          </w:tcPr>
          <w:p>
            <w:r>
              <w:rPr>
                <w:b w:val="false"/>
                <w:bCs w:val="false"/>
              </w:rPr>
              <w:t xml:space="preserve">Payload encryption</w:t>
            </w:r>
          </w:p>
        </w:tc>
        <w:tc>
          <w:tcPr>
            <w:tcW w:type="dxa" w:w="3000"/>
          </w:tcPr>
          <w:p>
            <w:r>
              <w:rPr>
                <w:b w:val="false"/>
                <w:bCs w:val="false"/>
              </w:rPr>
              <w:t xml:space="preserve">No</w:t>
            </w:r>
          </w:p>
        </w:tc>
        <w:tc>
          <w:tcPr>
            <w:tcW w:type="dxa" w:w="3000"/>
          </w:tcPr>
          <w:p>
            <w:r>
              <w:rPr>
                <w:b w:val="false"/>
                <w:bCs w:val="false"/>
              </w:rPr>
              <w:t xml:space="preserve">Yes</w:t>
            </w:r>
          </w:p>
        </w:tc>
      </w:tr>
      <w:tr>
        <w:tc>
          <w:tcPr>
            <w:tcW w:type="dxa" w:w="3000"/>
          </w:tcPr>
          <w:p>
            <w:r>
              <w:rPr>
                <w:b w:val="false"/>
                <w:bCs w:val="false"/>
              </w:rPr>
              <w:t xml:space="preserve">Covers outer IP header</w:t>
            </w:r>
          </w:p>
        </w:tc>
        <w:tc>
          <w:tcPr>
            <w:tcW w:type="dxa" w:w="3000"/>
          </w:tcPr>
          <w:p>
            <w:r>
              <w:rPr>
                <w:b w:val="false"/>
                <w:bCs w:val="false"/>
              </w:rPr>
              <w:t xml:space="preserve">Yes (immutable fields)</w:t>
            </w:r>
          </w:p>
        </w:tc>
        <w:tc>
          <w:tcPr>
            <w:tcW w:type="dxa" w:w="3000"/>
          </w:tcPr>
          <w:p>
            <w:r>
              <w:rPr>
                <w:b w:val="false"/>
                <w:bCs w:val="false"/>
              </w:rPr>
              <w:t xml:space="preserve">No (only the encapsulated payload/inner header)</w:t>
            </w:r>
          </w:p>
        </w:tc>
      </w:tr>
      <w:tr>
        <w:tc>
          <w:tcPr>
            <w:tcW w:type="dxa" w:w="3000"/>
          </w:tcPr>
          <w:p>
            <w:r>
              <w:rPr>
                <w:b w:val="false"/>
                <w:bCs w:val="false"/>
              </w:rPr>
              <w:t xml:space="preserve">Performance overhead</w:t>
            </w:r>
          </w:p>
        </w:tc>
        <w:tc>
          <w:tcPr>
            <w:tcW w:type="dxa" w:w="3000"/>
          </w:tcPr>
          <w:p>
            <w:r>
              <w:rPr>
                <w:b w:val="false"/>
                <w:bCs w:val="false"/>
              </w:rPr>
              <w:t xml:space="preserve">Lower (hashing only)</w:t>
            </w:r>
          </w:p>
        </w:tc>
        <w:tc>
          <w:tcPr>
            <w:tcW w:type="dxa" w:w="3000"/>
          </w:tcPr>
          <w:p>
            <w:r>
              <w:rPr>
                <w:b w:val="false"/>
                <w:bCs w:val="false"/>
              </w:rPr>
              <w:t xml:space="preserve">Higher (encryption + optional hashing)</w:t>
            </w:r>
          </w:p>
        </w:tc>
      </w:tr>
      <w:tr>
        <w:tc>
          <w:tcPr>
            <w:tcW w:type="dxa" w:w="3000"/>
          </w:tcPr>
          <w:p>
            <w:r>
              <w:rPr>
                <w:b w:val="false"/>
                <w:bCs w:val="false"/>
              </w:rPr>
              <w:t xml:space="preserve">NAT compatibility</w:t>
            </w:r>
          </w:p>
        </w:tc>
        <w:tc>
          <w:tcPr>
            <w:tcW w:type="dxa" w:w="3000"/>
          </w:tcPr>
          <w:p>
            <w:r>
              <w:rPr>
                <w:b w:val="false"/>
                <w:bCs w:val="false"/>
              </w:rPr>
              <w:t xml:space="preserve">Poor — NAT changes IP header, breaking AH's integrity check</w:t>
            </w:r>
          </w:p>
        </w:tc>
        <w:tc>
          <w:tcPr>
            <w:tcW w:type="dxa" w:w="3000"/>
          </w:tcPr>
          <w:p>
            <w:r>
              <w:rPr>
                <w:b w:val="false"/>
                <w:bCs w:val="false"/>
              </w:rPr>
              <w:t xml:space="preserve">Better, especially with NAT-Traversal (UDP encapsulation)</w:t>
            </w:r>
          </w:p>
        </w:tc>
      </w:tr>
      <w:tr>
        <w:tc>
          <w:tcPr>
            <w:tcW w:type="dxa" w:w="3000"/>
          </w:tcPr>
          <w:p>
            <w:r>
              <w:rPr>
                <w:b w:val="false"/>
                <w:bCs w:val="false"/>
              </w:rPr>
              <w:t xml:space="preserve">Typical use case</w:t>
            </w:r>
          </w:p>
        </w:tc>
        <w:tc>
          <w:tcPr>
            <w:tcW w:type="dxa" w:w="3000"/>
          </w:tcPr>
          <w:p>
            <w:r>
              <w:rPr>
                <w:b w:val="false"/>
                <w:bCs w:val="false"/>
              </w:rPr>
              <w:t xml:space="preserve">Routing/control-plane integrity where confidentiality is not needed</w:t>
            </w:r>
          </w:p>
        </w:tc>
        <w:tc>
          <w:tcPr>
            <w:tcW w:type="dxa" w:w="3000"/>
          </w:tcPr>
          <w:p>
            <w:r>
              <w:rPr>
                <w:b w:val="false"/>
                <w:bCs w:val="false"/>
              </w:rPr>
              <w:t xml:space="preserve">VPNs carrying confidential user/application data</w:t>
            </w:r>
          </w:p>
        </w:tc>
      </w:tr>
    </w:tbl>
    <w:p>
      <w:pPr>
        <w:pStyle w:val="Heading2"/>
        <w:spacing w:after="120" w:before="240"/>
      </w:pPr>
      <w:r>
        <w:t xml:space="preserve">Analysis and Recommendation</w:t>
      </w:r>
    </w:p>
    <w:p>
      <w:pPr>
        <w:spacing w:after="160"/>
      </w:pPr>
      <w:r>
        <w:t xml:space="preserve">For a VPN deployment, ESP is the more appropriate protocol, and in practice ESP configured with authentication (combined mode) is preferred over stacking AH+ESP.</w:t>
      </w:r>
    </w:p>
    <w:p>
      <w:pPr>
        <w:spacing w:after="160"/>
      </w:pPr>
      <w:r>
        <w:t xml:space="preserve">The primary reason is NAT compatibility: most enterprise and consumer VPN endpoints sit behind NAT devices, and AH's integrity check breaks because NAT rewrites IP header fields that AH has already signed. ESP does not have this problem since it does not protect the outer IP header, and ESP-NAT-T further resolves any remaining issues by wrapping ESP in UDP.</w:t>
      </w:r>
    </w:p>
    <w:p>
      <w:pPr>
        <w:spacing w:after="160"/>
      </w:pPr>
      <w:r>
        <w:t xml:space="preserve">ESP also directly satisfies the core requirement of most VPNs — confidentiality — which AH cannot provide at all. AH remains useful in narrower scenarios such as securing routing protocol exchanges where payload secrecy is not a concern, but for a general-purpose VPN, ESP (with authentication) is the correct choice.</w:t>
      </w:r>
    </w:p>
    <w:p>
      <w:r>
        <w:br w:type="page"/>
      </w:r>
    </w:p>
    <w:p>
      <w:pPr>
        <w:pStyle w:val="Heading1"/>
        <w:spacing w:after="150" w:before="300"/>
      </w:pPr>
      <w:r>
        <w:t xml:space="preserve">Question 2: Transport Mode vs. Tunnel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Aspect</w:t>
            </w:r>
          </w:p>
        </w:tc>
        <w:tc>
          <w:tcPr>
            <w:tcW w:type="dxa" w:w="3000"/>
            <w:shd w:fill="D9E2F3" w:val="clear"/>
          </w:tcPr>
          <w:p>
            <w:r>
              <w:rPr>
                <w:b/>
                <w:bCs/>
              </w:rPr>
              <w:t xml:space="preserve">Transport Mode</w:t>
            </w:r>
          </w:p>
        </w:tc>
        <w:tc>
          <w:tcPr>
            <w:tcW w:type="dxa" w:w="3000"/>
            <w:shd w:fill="D9E2F3" w:val="clear"/>
          </w:tcPr>
          <w:p>
            <w:r>
              <w:rPr>
                <w:b/>
                <w:bCs/>
              </w:rPr>
              <w:t xml:space="preserve">Tunnel Mode</w:t>
            </w:r>
          </w:p>
        </w:tc>
      </w:tr>
      <w:tr>
        <w:tc>
          <w:tcPr>
            <w:tcW w:type="dxa" w:w="3000"/>
          </w:tcPr>
          <w:p>
            <w:r>
              <w:rPr>
                <w:b w:val="false"/>
                <w:bCs w:val="false"/>
              </w:rPr>
              <w:t xml:space="preserve">What is protected</w:t>
            </w:r>
          </w:p>
        </w:tc>
        <w:tc>
          <w:tcPr>
            <w:tcW w:type="dxa" w:w="3000"/>
          </w:tcPr>
          <w:p>
            <w:r>
              <w:rPr>
                <w:b w:val="false"/>
                <w:bCs w:val="false"/>
              </w:rPr>
              <w:t xml:space="preserve">Only the payload (original IP header stays intact)</w:t>
            </w:r>
          </w:p>
        </w:tc>
        <w:tc>
          <w:tcPr>
            <w:tcW w:type="dxa" w:w="3000"/>
          </w:tcPr>
          <w:p>
            <w:r>
              <w:rPr>
                <w:b w:val="false"/>
                <w:bCs w:val="false"/>
              </w:rPr>
              <w:t xml:space="preserve">Entire original IP packet (header + payload), wrapped in a new outer IP header</w:t>
            </w:r>
          </w:p>
        </w:tc>
      </w:tr>
      <w:tr>
        <w:tc>
          <w:tcPr>
            <w:tcW w:type="dxa" w:w="3000"/>
          </w:tcPr>
          <w:p>
            <w:r>
              <w:rPr>
                <w:b w:val="false"/>
                <w:bCs w:val="false"/>
              </w:rPr>
              <w:t xml:space="preserve">Header overhead</w:t>
            </w:r>
          </w:p>
        </w:tc>
        <w:tc>
          <w:tcPr>
            <w:tcW w:type="dxa" w:w="3000"/>
          </w:tcPr>
          <w:p>
            <w:r>
              <w:rPr>
                <w:b w:val="false"/>
                <w:bCs w:val="false"/>
              </w:rPr>
              <w:t xml:space="preserve">Lower (no extra outer IP header)</w:t>
            </w:r>
          </w:p>
        </w:tc>
        <w:tc>
          <w:tcPr>
            <w:tcW w:type="dxa" w:w="3000"/>
          </w:tcPr>
          <w:p>
            <w:r>
              <w:rPr>
                <w:b w:val="false"/>
                <w:bCs w:val="false"/>
              </w:rPr>
              <w:t xml:space="preserve">Higher (~20 bytes for the new outer IPv4 header)</w:t>
            </w:r>
          </w:p>
        </w:tc>
      </w:tr>
      <w:tr>
        <w:tc>
          <w:tcPr>
            <w:tcW w:type="dxa" w:w="3000"/>
          </w:tcPr>
          <w:p>
            <w:r>
              <w:rPr>
                <w:b w:val="false"/>
                <w:bCs w:val="false"/>
              </w:rPr>
              <w:t xml:space="preserve">Topology visibility</w:t>
            </w:r>
          </w:p>
        </w:tc>
        <w:tc>
          <w:tcPr>
            <w:tcW w:type="dxa" w:w="3000"/>
          </w:tcPr>
          <w:p>
            <w:r>
              <w:rPr>
                <w:b w:val="false"/>
                <w:bCs w:val="false"/>
              </w:rPr>
              <w:t xml:space="preserve">Original source/destination IPs remain visible</w:t>
            </w:r>
          </w:p>
        </w:tc>
        <w:tc>
          <w:tcPr>
            <w:tcW w:type="dxa" w:w="3000"/>
          </w:tcPr>
          <w:p>
            <w:r>
              <w:rPr>
                <w:b w:val="false"/>
                <w:bCs w:val="false"/>
              </w:rPr>
              <w:t xml:space="preserve">Original addresses are hidden inside the encrypted packet</w:t>
            </w:r>
          </w:p>
        </w:tc>
      </w:tr>
      <w:tr>
        <w:tc>
          <w:tcPr>
            <w:tcW w:type="dxa" w:w="3000"/>
          </w:tcPr>
          <w:p>
            <w:r>
              <w:rPr>
                <w:b w:val="false"/>
                <w:bCs w:val="false"/>
              </w:rPr>
              <w:t xml:space="preserve">Typical deployment</w:t>
            </w:r>
          </w:p>
        </w:tc>
        <w:tc>
          <w:tcPr>
            <w:tcW w:type="dxa" w:w="3000"/>
          </w:tcPr>
          <w:p>
            <w:r>
              <w:rPr>
                <w:b w:val="false"/>
                <w:bCs w:val="false"/>
              </w:rPr>
              <w:t xml:space="preserve">Host-to-host, within an already-trusted network segment</w:t>
            </w:r>
          </w:p>
        </w:tc>
        <w:tc>
          <w:tcPr>
            <w:tcW w:type="dxa" w:w="3000"/>
          </w:tcPr>
          <w:p>
            <w:r>
              <w:rPr>
                <w:b w:val="false"/>
                <w:bCs w:val="false"/>
              </w:rPr>
              <w:t xml:space="preserve">Gateway-to-gateway (site-to-site VPNs) or host-to-gateway (remote access VPN)</w:t>
            </w:r>
          </w:p>
        </w:tc>
      </w:tr>
      <w:tr>
        <w:tc>
          <w:tcPr>
            <w:tcW w:type="dxa" w:w="3000"/>
          </w:tcPr>
          <w:p>
            <w:r>
              <w:rPr>
                <w:b w:val="false"/>
                <w:bCs w:val="false"/>
              </w:rPr>
              <w:t xml:space="preserve">NAT/firewall friendliness</w:t>
            </w:r>
          </w:p>
        </w:tc>
        <w:tc>
          <w:tcPr>
            <w:tcW w:type="dxa" w:w="3000"/>
          </w:tcPr>
          <w:p>
            <w:r>
              <w:rPr>
                <w:b w:val="false"/>
                <w:bCs w:val="false"/>
              </w:rPr>
              <w:t xml:space="preserve">More restrictive — original addressing must be routable</w:t>
            </w:r>
          </w:p>
        </w:tc>
        <w:tc>
          <w:tcPr>
            <w:tcW w:type="dxa" w:w="3000"/>
          </w:tcPr>
          <w:p>
            <w:r>
              <w:rPr>
                <w:b w:val="false"/>
                <w:bCs w:val="false"/>
              </w:rPr>
              <w:t xml:space="preserve">More flexible — new outer header can use public, routable gateway addresses</w:t>
            </w:r>
          </w:p>
        </w:tc>
      </w:tr>
    </w:tbl>
    <w:p>
      <w:pPr>
        <w:pStyle w:val="Heading2"/>
        <w:spacing w:after="120" w:before="240"/>
      </w:pPr>
      <w:r>
        <w:t xml:space="preserve">Analysis and Recommendation</w:t>
      </w:r>
    </w:p>
    <w:p>
      <w:pPr>
        <w:spacing w:after="160"/>
      </w:pPr>
      <w:r>
        <w:t xml:space="preserve">Transport mode is best suited to securing host-to-host communication within a network that is already considered part of the trust boundary — for example, two servers in the same data centre that want encrypted communication without the overhead of a new outer header.</w:t>
      </w:r>
    </w:p>
    <w:p>
      <w:pPr>
        <w:spacing w:after="160"/>
      </w:pPr>
      <w:r>
        <w:t xml:space="preserve">Tunnel mode is the natural fit for network-to-network communication, such as connecting two corporate branch offices over the public internet. By encapsulating the entire original packet, tunnel mode hides the internal addressing scheme of both networks from anyone observing the public link, which is essential when the endpoints themselves are not directly internet-routable.</w:t>
      </w:r>
    </w:p>
    <w:p>
      <w:pPr>
        <w:spacing w:after="160"/>
      </w:pPr>
      <w:r>
        <w:t xml:space="preserve">In effect: transport mode optimizes for efficiency between two trusted endpoints, while tunnel mode optimizes for security and topology-hiding between two networks — which is why virtually all site-to-site and remote-access VPNs use tunnel mode.</w:t>
      </w:r>
    </w:p>
    <w:p>
      <w:r>
        <w:br w:type="page"/>
      </w:r>
    </w:p>
    <w:p>
      <w:pPr>
        <w:pStyle w:val="Heading1"/>
        <w:spacing w:after="150" w:before="300"/>
      </w:pPr>
      <w:r>
        <w:t xml:space="preserve">Question 3: Pretty Good Privacy (PGP) vs. S/MIME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Aspect</w:t>
            </w:r>
          </w:p>
        </w:tc>
        <w:tc>
          <w:tcPr>
            <w:tcW w:type="dxa" w:w="3000"/>
            <w:shd w:fill="D9E2F3" w:val="clear"/>
          </w:tcPr>
          <w:p>
            <w:r>
              <w:rPr>
                <w:b/>
                <w:bCs/>
              </w:rPr>
              <w:t xml:space="preserve">PGP</w:t>
            </w:r>
          </w:p>
        </w:tc>
        <w:tc>
          <w:tcPr>
            <w:tcW w:type="dxa" w:w="3000"/>
            <w:shd w:fill="D9E2F3" w:val="clear"/>
          </w:tcPr>
          <w:p>
            <w:r>
              <w:rPr>
                <w:b/>
                <w:bCs/>
              </w:rPr>
              <w:t xml:space="preserve">S/MIME</w:t>
            </w:r>
          </w:p>
        </w:tc>
      </w:tr>
      <w:tr>
        <w:tc>
          <w:tcPr>
            <w:tcW w:type="dxa" w:w="3000"/>
          </w:tcPr>
          <w:p>
            <w:r>
              <w:rPr>
                <w:b w:val="false"/>
                <w:bCs w:val="false"/>
              </w:rPr>
              <w:t xml:space="preserve">Trust model</w:t>
            </w:r>
          </w:p>
        </w:tc>
        <w:tc>
          <w:tcPr>
            <w:tcW w:type="dxa" w:w="3000"/>
          </w:tcPr>
          <w:p>
            <w:r>
              <w:rPr>
                <w:b w:val="false"/>
                <w:bCs w:val="false"/>
              </w:rPr>
              <w:t xml:space="preserve">Decentralized Web of Trust — users sign each other's keys</w:t>
            </w:r>
          </w:p>
        </w:tc>
        <w:tc>
          <w:tcPr>
            <w:tcW w:type="dxa" w:w="3000"/>
          </w:tcPr>
          <w:p>
            <w:r>
              <w:rPr>
                <w:b w:val="false"/>
                <w:bCs w:val="false"/>
              </w:rPr>
              <w:t xml:space="preserve">Centralized PKI — hierarchical Certificate Authorities</w:t>
            </w:r>
          </w:p>
        </w:tc>
      </w:tr>
      <w:tr>
        <w:tc>
          <w:tcPr>
            <w:tcW w:type="dxa" w:w="3000"/>
          </w:tcPr>
          <w:p>
            <w:r>
              <w:rPr>
                <w:b w:val="false"/>
                <w:bCs w:val="false"/>
              </w:rPr>
              <w:t xml:space="preserve">Key management</w:t>
            </w:r>
          </w:p>
        </w:tc>
        <w:tc>
          <w:tcPr>
            <w:tcW w:type="dxa" w:w="3000"/>
          </w:tcPr>
          <w:p>
            <w:r>
              <w:rPr>
                <w:b w:val="false"/>
                <w:bCs w:val="false"/>
              </w:rPr>
              <w:t xml:space="preserve">Self-managed key pairs; users are responsible for their own key distribution</w:t>
            </w:r>
          </w:p>
        </w:tc>
        <w:tc>
          <w:tcPr>
            <w:tcW w:type="dxa" w:w="3000"/>
          </w:tcPr>
          <w:p>
            <w:r>
              <w:rPr>
                <w:b w:val="false"/>
                <w:bCs w:val="false"/>
              </w:rPr>
              <w:t xml:space="preserve">Certificates issued/renewed/revoked centrally by a CA (often integrated with corporate directory services)</w:t>
            </w:r>
          </w:p>
        </w:tc>
      </w:tr>
      <w:tr>
        <w:tc>
          <w:tcPr>
            <w:tcW w:type="dxa" w:w="3000"/>
          </w:tcPr>
          <w:p>
            <w:r>
              <w:rPr>
                <w:b w:val="false"/>
                <w:bCs w:val="false"/>
              </w:rPr>
              <w:t xml:space="preserve">Scalability</w:t>
            </w:r>
          </w:p>
        </w:tc>
        <w:tc>
          <w:tcPr>
            <w:tcW w:type="dxa" w:w="3000"/>
          </w:tcPr>
          <w:p>
            <w:r>
              <w:rPr>
                <w:b w:val="false"/>
                <w:bCs w:val="false"/>
              </w:rPr>
              <w:t xml:space="preserve">Harder to scale across large organizations — trust must be built manually</w:t>
            </w:r>
          </w:p>
        </w:tc>
        <w:tc>
          <w:tcPr>
            <w:tcW w:type="dxa" w:w="3000"/>
          </w:tcPr>
          <w:p>
            <w:r>
              <w:rPr>
                <w:b w:val="false"/>
                <w:bCs w:val="false"/>
              </w:rPr>
              <w:t xml:space="preserve">Scales well; certificate issuance can be automated org-wide</w:t>
            </w:r>
          </w:p>
        </w:tc>
      </w:tr>
      <w:tr>
        <w:tc>
          <w:tcPr>
            <w:tcW w:type="dxa" w:w="3000"/>
          </w:tcPr>
          <w:p>
            <w:r>
              <w:rPr>
                <w:b w:val="false"/>
                <w:bCs w:val="false"/>
              </w:rPr>
              <w:t xml:space="preserve">Enterprise/mail client integration</w:t>
            </w:r>
          </w:p>
        </w:tc>
        <w:tc>
          <w:tcPr>
            <w:tcW w:type="dxa" w:w="3000"/>
          </w:tcPr>
          <w:p>
            <w:r>
              <w:rPr>
                <w:b w:val="false"/>
                <w:bCs w:val="false"/>
              </w:rPr>
              <w:t xml:space="preserve">Requires third-party plug-ins in most mail clients</w:t>
            </w:r>
          </w:p>
        </w:tc>
        <w:tc>
          <w:tcPr>
            <w:tcW w:type="dxa" w:w="3000"/>
          </w:tcPr>
          <w:p>
            <w:r>
              <w:rPr>
                <w:b w:val="false"/>
                <w:bCs w:val="false"/>
              </w:rPr>
              <w:t xml:space="preserve">Natively supported in Outlook, Apple Mail, and most enterprise mail platforms</w:t>
            </w:r>
          </w:p>
        </w:tc>
      </w:tr>
      <w:tr>
        <w:tc>
          <w:tcPr>
            <w:tcW w:type="dxa" w:w="3000"/>
          </w:tcPr>
          <w:p>
            <w:r>
              <w:rPr>
                <w:b w:val="false"/>
                <w:bCs w:val="false"/>
              </w:rPr>
              <w:t xml:space="preserve">Revocation</w:t>
            </w:r>
          </w:p>
        </w:tc>
        <w:tc>
          <w:tcPr>
            <w:tcW w:type="dxa" w:w="3000"/>
          </w:tcPr>
          <w:p>
            <w:r>
              <w:rPr>
                <w:b w:val="false"/>
                <w:bCs w:val="false"/>
              </w:rPr>
              <w:t xml:space="preserve">Depends on key owners publishing revocation certificates; not centrally enforced</w:t>
            </w:r>
          </w:p>
        </w:tc>
        <w:tc>
          <w:tcPr>
            <w:tcW w:type="dxa" w:w="3000"/>
          </w:tcPr>
          <w:p>
            <w:r>
              <w:rPr>
                <w:b w:val="false"/>
                <w:bCs w:val="false"/>
              </w:rPr>
              <w:t xml:space="preserve">Centrally enforced via CRL/OCSP</w:t>
            </w:r>
          </w:p>
        </w:tc>
      </w:tr>
    </w:tbl>
    <w:p>
      <w:pPr>
        <w:pStyle w:val="Heading2"/>
        <w:spacing w:after="120" w:before="240"/>
      </w:pPr>
      <w:r>
        <w:t xml:space="preserve">Analysis and Recommendation</w:t>
      </w:r>
    </w:p>
    <w:p>
      <w:pPr>
        <w:spacing w:after="160"/>
      </w:pPr>
      <w:r>
        <w:t xml:space="preserve">For a corporate email system, S/MIME is the more suitable approach. Its PKI-based trust model gives IT and security teams centralized control over certificate issuance and — critically — revocation, which matters when an employee leaves the company or a key is compromised.</w:t>
      </w:r>
    </w:p>
    <w:p>
      <w:pPr>
        <w:spacing w:after="160"/>
      </w:pPr>
      <w:r>
        <w:t xml:space="preserve">S/MIME's native integration into mainstream enterprise mail clients also means far less user training and configuration burden compared to PGP, which typically requires additional plug-ins and manual trust-building between individual users.</w:t>
      </w:r>
    </w:p>
    <w:p>
      <w:pPr>
        <w:spacing w:after="160"/>
      </w:pPr>
      <w:r>
        <w:t xml:space="preserve">PGP remains attractive for smaller, technically fluent communities (e.g. open-source projects, security researchers) where a Web of Trust is culturally and practically workable, but for enterprise-wide deployment, S/MIME's centralized, auditable model is the stronger fit.</w:t>
      </w:r>
    </w:p>
    <w:p>
      <w:r>
        <w:br w:type="page"/>
      </w:r>
    </w:p>
    <w:p>
      <w:pPr>
        <w:pStyle w:val="Heading1"/>
        <w:spacing w:after="150" w:before="300"/>
      </w:pPr>
      <w:r>
        <w:t xml:space="preserve">Question 4: Rule-Based vs. Machine-Learning-Based Spam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Aspect</w:t>
            </w:r>
          </w:p>
        </w:tc>
        <w:tc>
          <w:tcPr>
            <w:tcW w:type="dxa" w:w="3000"/>
            <w:shd w:fill="D9E2F3" w:val="clear"/>
          </w:tcPr>
          <w:p>
            <w:r>
              <w:rPr>
                <w:b/>
                <w:bCs/>
              </w:rPr>
              <w:t xml:space="preserve">Rule-Based</w:t>
            </w:r>
          </w:p>
        </w:tc>
        <w:tc>
          <w:tcPr>
            <w:tcW w:type="dxa" w:w="3000"/>
            <w:shd w:fill="D9E2F3" w:val="clear"/>
          </w:tcPr>
          <w:p>
            <w:r>
              <w:rPr>
                <w:b/>
                <w:bCs/>
              </w:rPr>
              <w:t xml:space="preserve">Machine-Learning-Based</w:t>
            </w:r>
          </w:p>
        </w:tc>
      </w:tr>
      <w:tr>
        <w:tc>
          <w:tcPr>
            <w:tcW w:type="dxa" w:w="3000"/>
          </w:tcPr>
          <w:p>
            <w:r>
              <w:rPr>
                <w:b w:val="false"/>
                <w:bCs w:val="false"/>
              </w:rPr>
              <w:t xml:space="preserve">Detection basis</w:t>
            </w:r>
          </w:p>
        </w:tc>
        <w:tc>
          <w:tcPr>
            <w:tcW w:type="dxa" w:w="3000"/>
          </w:tcPr>
          <w:p>
            <w:r>
              <w:rPr>
                <w:b w:val="false"/>
                <w:bCs w:val="false"/>
              </w:rPr>
              <w:t xml:space="preserve">Fixed rules: keyword lists, blacklists, header pattern checks</w:t>
            </w:r>
          </w:p>
        </w:tc>
        <w:tc>
          <w:tcPr>
            <w:tcW w:type="dxa" w:w="3000"/>
          </w:tcPr>
          <w:p>
            <w:r>
              <w:rPr>
                <w:b w:val="false"/>
                <w:bCs w:val="false"/>
              </w:rPr>
              <w:t xml:space="preserve">Statistical model trained on labelled spam/ham examples (e.g. Naive Bayes, gradient boosting)</w:t>
            </w:r>
          </w:p>
        </w:tc>
      </w:tr>
      <w:tr>
        <w:tc>
          <w:tcPr>
            <w:tcW w:type="dxa" w:w="3000"/>
          </w:tcPr>
          <w:p>
            <w:r>
              <w:rPr>
                <w:b w:val="false"/>
                <w:bCs w:val="false"/>
              </w:rPr>
              <w:t xml:space="preserve">Adapting to new spam patterns</w:t>
            </w:r>
          </w:p>
        </w:tc>
        <w:tc>
          <w:tcPr>
            <w:tcW w:type="dxa" w:w="3000"/>
          </w:tcPr>
          <w:p>
            <w:r>
              <w:rPr>
                <w:b w:val="false"/>
                <w:bCs w:val="false"/>
              </w:rPr>
              <w:t xml:space="preserve">Requires manual rule updates whenever attackers change tactics</w:t>
            </w:r>
          </w:p>
        </w:tc>
        <w:tc>
          <w:tcPr>
            <w:tcW w:type="dxa" w:w="3000"/>
          </w:tcPr>
          <w:p>
            <w:r>
              <w:rPr>
                <w:b w:val="false"/>
                <w:bCs w:val="false"/>
              </w:rPr>
              <w:t xml:space="preserve">Can adapt automatically through periodic retraining on new data</w:t>
            </w:r>
          </w:p>
        </w:tc>
      </w:tr>
      <w:tr>
        <w:tc>
          <w:tcPr>
            <w:tcW w:type="dxa" w:w="3000"/>
          </w:tcPr>
          <w:p>
            <w:r>
              <w:rPr>
                <w:b w:val="false"/>
                <w:bCs w:val="false"/>
              </w:rPr>
              <w:t xml:space="preserve">False positive rate over time</w:t>
            </w:r>
          </w:p>
        </w:tc>
        <w:tc>
          <w:tcPr>
            <w:tcW w:type="dxa" w:w="3000"/>
          </w:tcPr>
          <w:p>
            <w:r>
              <w:rPr>
                <w:b w:val="false"/>
                <w:bCs w:val="false"/>
              </w:rPr>
              <w:t xml:space="preserve">Tends to rise as spammers learn to evade static rules</w:t>
            </w:r>
          </w:p>
        </w:tc>
        <w:tc>
          <w:tcPr>
            <w:tcW w:type="dxa" w:w="3000"/>
          </w:tcPr>
          <w:p>
            <w:r>
              <w:rPr>
                <w:b w:val="false"/>
                <w:bCs w:val="false"/>
              </w:rPr>
              <w:t xml:space="preserve">Can be tuned and improved continuously as more labelled data accumulates</w:t>
            </w:r>
          </w:p>
        </w:tc>
      </w:tr>
      <w:tr>
        <w:tc>
          <w:tcPr>
            <w:tcW w:type="dxa" w:w="3000"/>
          </w:tcPr>
          <w:p>
            <w:r>
              <w:rPr>
                <w:b w:val="false"/>
                <w:bCs w:val="false"/>
              </w:rPr>
              <w:t xml:space="preserve">Transparency/explainability</w:t>
            </w:r>
          </w:p>
        </w:tc>
        <w:tc>
          <w:tcPr>
            <w:tcW w:type="dxa" w:w="3000"/>
          </w:tcPr>
          <w:p>
            <w:r>
              <w:rPr>
                <w:b w:val="false"/>
                <w:bCs w:val="false"/>
              </w:rPr>
              <w:t xml:space="preserve">High — easy to see exactly why a message was flagged</w:t>
            </w:r>
          </w:p>
        </w:tc>
        <w:tc>
          <w:tcPr>
            <w:tcW w:type="dxa" w:w="3000"/>
          </w:tcPr>
          <w:p>
            <w:r>
              <w:rPr>
                <w:b w:val="false"/>
                <w:bCs w:val="false"/>
              </w:rPr>
              <w:t xml:space="preserve">Lower — model decisions are less directly interpretable</w:t>
            </w:r>
          </w:p>
        </w:tc>
      </w:tr>
      <w:tr>
        <w:tc>
          <w:tcPr>
            <w:tcW w:type="dxa" w:w="3000"/>
          </w:tcPr>
          <w:p>
            <w:r>
              <w:rPr>
                <w:b w:val="false"/>
                <w:bCs w:val="false"/>
              </w:rPr>
              <w:t xml:space="preserve">Setup and maintenance cost</w:t>
            </w:r>
          </w:p>
        </w:tc>
        <w:tc>
          <w:tcPr>
            <w:tcW w:type="dxa" w:w="3000"/>
          </w:tcPr>
          <w:p>
            <w:r>
              <w:rPr>
                <w:b w:val="false"/>
                <w:bCs w:val="false"/>
              </w:rPr>
              <w:t xml:space="preserve">Lower initial cost; increasing maintenance burden over time</w:t>
            </w:r>
          </w:p>
        </w:tc>
        <w:tc>
          <w:tcPr>
            <w:tcW w:type="dxa" w:w="3000"/>
          </w:tcPr>
          <w:p>
            <w:r>
              <w:rPr>
                <w:b w:val="false"/>
                <w:bCs w:val="false"/>
              </w:rPr>
              <w:t xml:space="preserve">Higher initial cost (training data, infrastructure); lower ongoing manual-tuning burden</w:t>
            </w:r>
          </w:p>
        </w:tc>
      </w:tr>
    </w:tbl>
    <w:p>
      <w:pPr>
        <w:pStyle w:val="Heading2"/>
        <w:spacing w:after="120" w:before="240"/>
      </w:pPr>
      <w:r>
        <w:t xml:space="preserve">Analysis and Recommendation</w:t>
      </w:r>
    </w:p>
    <w:p>
      <w:pPr>
        <w:spacing w:after="160"/>
      </w:pPr>
      <w:r>
        <w:t xml:space="preserve">Rule-based filtering is effective against known, static spam patterns and offers clear explainability, but it is inherently reactive — spammers can adapt by rewording messages or using entirely new phrasing that never appears in the rule set. This causes its effectiveness to degrade over time without continual manual updates.</w:t>
      </w:r>
    </w:p>
    <w:p>
      <w:pPr>
        <w:spacing w:after="160"/>
      </w:pPr>
      <w:r>
        <w:t xml:space="preserve">Machine-learning-based detection generalizes better to novel spam because it learns statistical patterns (word associations, structural features) rather than exact matches, allowing it to catch previously unseen spam variants and to be retrained as patterns evolve.</w:t>
      </w:r>
    </w:p>
    <w:p>
      <w:pPr>
        <w:spacing w:after="160"/>
      </w:pPr>
      <w:r>
        <w:t xml:space="preserve">In practice, the strongest systems combine both: rule-based checks handle deterministic, high-confidence signals (e.g. failed SPF/DKIM, known malicious domains) with low false-positive risk, while an ML layer handles the fuzzier task of scoring message content — this hybrid approach, used in Q4 of Assessment Tool 2, generally minimizes false positives better than either technique alone.</w:t>
      </w:r>
    </w:p>
    <w:p>
      <w:r>
        <w:br w:type="page"/>
      </w:r>
    </w:p>
    <w:p>
      <w:pPr>
        <w:pStyle w:val="Heading1"/>
        <w:spacing w:after="150" w:before="300"/>
      </w:pPr>
      <w:r>
        <w:t xml:space="preserve">Question 5: Manual vs. Automated (IKE-based) Key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Aspect</w:t>
            </w:r>
          </w:p>
        </w:tc>
        <w:tc>
          <w:tcPr>
            <w:tcW w:type="dxa" w:w="3000"/>
            <w:shd w:fill="D9E2F3" w:val="clear"/>
          </w:tcPr>
          <w:p>
            <w:r>
              <w:rPr>
                <w:b/>
                <w:bCs/>
              </w:rPr>
              <w:t xml:space="preserve">Manual Key Management</w:t>
            </w:r>
          </w:p>
        </w:tc>
        <w:tc>
          <w:tcPr>
            <w:tcW w:type="dxa" w:w="3000"/>
            <w:shd w:fill="D9E2F3" w:val="clear"/>
          </w:tcPr>
          <w:p>
            <w:r>
              <w:rPr>
                <w:b/>
                <w:bCs/>
              </w:rPr>
              <w:t xml:space="preserve">Automated (IKE-based) Key Management</w:t>
            </w:r>
          </w:p>
        </w:tc>
      </w:tr>
      <w:tr>
        <w:tc>
          <w:tcPr>
            <w:tcW w:type="dxa" w:w="3000"/>
          </w:tcPr>
          <w:p>
            <w:r>
              <w:rPr>
                <w:b w:val="false"/>
                <w:bCs w:val="false"/>
              </w:rPr>
              <w:t xml:space="preserve">Key negotiation</w:t>
            </w:r>
          </w:p>
        </w:tc>
        <w:tc>
          <w:tcPr>
            <w:tcW w:type="dxa" w:w="3000"/>
          </w:tcPr>
          <w:p>
            <w:r>
              <w:rPr>
                <w:b w:val="false"/>
                <w:bCs w:val="false"/>
              </w:rPr>
              <w:t xml:space="preserve">Administrator manually configures pre-shared keys on each endpoint</w:t>
            </w:r>
          </w:p>
        </w:tc>
        <w:tc>
          <w:tcPr>
            <w:tcW w:type="dxa" w:w="3000"/>
          </w:tcPr>
          <w:p>
            <w:r>
              <w:rPr>
                <w:b w:val="false"/>
                <w:bCs w:val="false"/>
              </w:rPr>
              <w:t xml:space="preserve">IKE dynamically negotiates keys using Diffie-Hellman exchange</w:t>
            </w:r>
          </w:p>
        </w:tc>
      </w:tr>
      <w:tr>
        <w:tc>
          <w:tcPr>
            <w:tcW w:type="dxa" w:w="3000"/>
          </w:tcPr>
          <w:p>
            <w:r>
              <w:rPr>
                <w:b w:val="false"/>
                <w:bCs w:val="false"/>
              </w:rPr>
              <w:t xml:space="preserve">Rekeying</w:t>
            </w:r>
          </w:p>
        </w:tc>
        <w:tc>
          <w:tcPr>
            <w:tcW w:type="dxa" w:w="3000"/>
          </w:tcPr>
          <w:p>
            <w:r>
              <w:rPr>
                <w:b w:val="false"/>
                <w:bCs w:val="false"/>
              </w:rPr>
              <w:t xml:space="preserve">Manual — easy to forget, leading to expired/stale keys</w:t>
            </w:r>
          </w:p>
        </w:tc>
        <w:tc>
          <w:tcPr>
            <w:tcW w:type="dxa" w:w="3000"/>
          </w:tcPr>
          <w:p>
            <w:r>
              <w:rPr>
                <w:b w:val="false"/>
                <w:bCs w:val="false"/>
              </w:rPr>
              <w:t xml:space="preserve">Automatic rekeying before SA lifetime expiry</w:t>
            </w:r>
          </w:p>
        </w:tc>
      </w:tr>
      <w:tr>
        <w:tc>
          <w:tcPr>
            <w:tcW w:type="dxa" w:w="3000"/>
          </w:tcPr>
          <w:p>
            <w:r>
              <w:rPr>
                <w:b w:val="false"/>
                <w:bCs w:val="false"/>
              </w:rPr>
              <w:t xml:space="preserve">Scalability</w:t>
            </w:r>
          </w:p>
        </w:tc>
        <w:tc>
          <w:tcPr>
            <w:tcW w:type="dxa" w:w="3000"/>
          </w:tcPr>
          <w:p>
            <w:r>
              <w:rPr>
                <w:b w:val="false"/>
                <w:bCs w:val="false"/>
              </w:rPr>
              <w:t xml:space="preserve">Poor — pairwise key configuration grows quadratically with site count</w:t>
            </w:r>
          </w:p>
        </w:tc>
        <w:tc>
          <w:tcPr>
            <w:tcW w:type="dxa" w:w="3000"/>
          </w:tcPr>
          <w:p>
            <w:r>
              <w:rPr>
                <w:b w:val="false"/>
                <w:bCs w:val="false"/>
              </w:rPr>
              <w:t xml:space="preserve">Good — certificate/PKI-based authentication scales linearly per device</w:t>
            </w:r>
          </w:p>
        </w:tc>
      </w:tr>
      <w:tr>
        <w:tc>
          <w:tcPr>
            <w:tcW w:type="dxa" w:w="3000"/>
          </w:tcPr>
          <w:p>
            <w:r>
              <w:rPr>
                <w:b w:val="false"/>
                <w:bCs w:val="false"/>
              </w:rPr>
              <w:t xml:space="preserve">Security</w:t>
            </w:r>
          </w:p>
        </w:tc>
        <w:tc>
          <w:tcPr>
            <w:tcW w:type="dxa" w:w="3000"/>
          </w:tcPr>
          <w:p>
            <w:r>
              <w:rPr>
                <w:b w:val="false"/>
                <w:bCs w:val="false"/>
              </w:rPr>
              <w:t xml:space="preserve">Long-lived static keys increase exposure risk if compromised</w:t>
            </w:r>
          </w:p>
        </w:tc>
        <w:tc>
          <w:tcPr>
            <w:tcW w:type="dxa" w:w="3000"/>
          </w:tcPr>
          <w:p>
            <w:r>
              <w:rPr>
                <w:b w:val="false"/>
                <w:bCs w:val="false"/>
              </w:rPr>
              <w:t xml:space="preserve">Frequent key rotation (perfect forward secrecy with DH) limits impact of any single key compromise</w:t>
            </w:r>
          </w:p>
        </w:tc>
      </w:tr>
      <w:tr>
        <w:tc>
          <w:tcPr>
            <w:tcW w:type="dxa" w:w="3000"/>
          </w:tcPr>
          <w:p>
            <w:r>
              <w:rPr>
                <w:b w:val="false"/>
                <w:bCs w:val="false"/>
              </w:rPr>
              <w:t xml:space="preserve">Operational complexity</w:t>
            </w:r>
          </w:p>
        </w:tc>
        <w:tc>
          <w:tcPr>
            <w:tcW w:type="dxa" w:w="3000"/>
          </w:tcPr>
          <w:p>
            <w:r>
              <w:rPr>
                <w:b w:val="false"/>
                <w:bCs w:val="false"/>
              </w:rPr>
              <w:t xml:space="preserve">Low tooling requirement but high ongoing administrative effort and error-proneness</w:t>
            </w:r>
          </w:p>
        </w:tc>
        <w:tc>
          <w:tcPr>
            <w:tcW w:type="dxa" w:w="3000"/>
          </w:tcPr>
          <w:p>
            <w:r>
              <w:rPr>
                <w:b w:val="false"/>
                <w:bCs w:val="false"/>
              </w:rPr>
              <w:t xml:space="preserve">Higher initial setup (PKI/IKE infrastructure) but low ongoing manual effort</w:t>
            </w:r>
          </w:p>
        </w:tc>
      </w:tr>
    </w:tbl>
    <w:p>
      <w:pPr>
        <w:pStyle w:val="Heading2"/>
        <w:spacing w:after="120" w:before="240"/>
      </w:pPr>
      <w:r>
        <w:t xml:space="preserve">Analysis and Recommendation</w:t>
      </w:r>
    </w:p>
    <w:p>
      <w:pPr>
        <w:spacing w:after="160"/>
      </w:pPr>
      <w:r>
        <w:t xml:space="preserve">For large organizations, automated key management via IKE is clearly superior. Manual key management does not scale: with N sites requiring pairwise keys, the administrative burden grows quadratically, and human error (mismatched or expired keys) becomes increasingly likely — exactly the problem described in Assessment Tool 2, Question 2.</w:t>
      </w:r>
    </w:p>
    <w:p>
      <w:pPr>
        <w:spacing w:after="160"/>
      </w:pPr>
      <w:r>
        <w:t xml:space="preserve">IKE-based automation also strengthens security through regular rekeying and Diffie-Hellman-based perfect forward secrecy, meaning that even if one session key were compromised, past and future sessions remain protected.</w:t>
      </w:r>
    </w:p>
    <w:p>
      <w:pPr>
        <w:spacing w:after="160"/>
      </w:pPr>
      <w:r>
        <w:t xml:space="preserve">The trade-off is upfront complexity: automated key management requires deploying a PKI and configuring IKE policies correctly, which demands more initial engineering effort than simply typing in a shared secret. However, this one-time investment pays off quickly in reduced operational overhead and improved security posture, making it the clear choice for any enterprise-scale IPSec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2026-08-19T05:12:16.561Z</dcterms:created>
  <dcterms:modified xsi:type="dcterms:W3CDTF">2026-08-19T05:12:16.561Z</dcterms:modified>
</cp:coreProperties>
</file>

<file path=docProps/custom.xml><?xml version="1.0" encoding="utf-8"?>
<Properties xmlns="http://schemas.openxmlformats.org/officeDocument/2006/custom-properties" xmlns:vt="http://schemas.openxmlformats.org/officeDocument/2006/docPropsVTypes"/>
</file>