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rmrs1ddee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ESG Performance Analysis of 30 Global Companies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vhl8gcsqu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evaluates the Environmental, Social, and Governance (ESG) performance of 30 globally recognized companies across diverse industries including technology, energy, finance, manufacturing, and consumer goods.</w:t>
        <w:br w:type="textWrapping"/>
        <w:t xml:space="preserve"> The objective is to develop a comprehensive, data-driven ESG scoring model that quantifies sustainability performance through measurable indicators.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simulated but realistic data, this study standardizes and analyzes key ESG metrics — such as CO₂ emissions, renewable energy usage, waste recycling, CSR expenditure, workforce diversity, and governance transparency.</w:t>
        <w:br w:type="textWrapping"/>
        <w:t xml:space="preserve"> All data were structured and analyzed using Google Sheets, employing normalization, scoring, and visualization techniques to provide actionable insights into corporate sustainability.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5mb7zhw13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this project is to assess and compare the ESG performance of selected global companies using quantitative data analytics. The analysis aims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each company’s environmental responsibility through emission and renewable energy data.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social accountability via workforce diversity and CSR spending.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governance integrity through board independence and executive pay ratios.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standardized ESG scoring model for cross-company benchmarking.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data-backed recommendations for improving sustainability performance.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7m91tzkkt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Study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comprises 30 multinational corporations from sectors such as energy, IT, automotive, manufacturing, FMCG, and finance.</w:t>
        <w:br w:type="textWrapping"/>
        <w:t xml:space="preserve"> The ESG framework follows the three-pillar model: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(E):</w:t>
      </w:r>
      <w:r w:rsidDel="00000000" w:rsidR="00000000" w:rsidRPr="00000000">
        <w:rPr>
          <w:rtl w:val="0"/>
        </w:rPr>
        <w:t xml:space="preserve"> Carbon emissions, renewable energy adoption, and waste management.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(S):</w:t>
      </w:r>
      <w:r w:rsidDel="00000000" w:rsidR="00000000" w:rsidRPr="00000000">
        <w:rPr>
          <w:rtl w:val="0"/>
        </w:rPr>
        <w:t xml:space="preserve"> CSR spending, employee diversity, and turnover rate.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(G):</w:t>
      </w:r>
      <w:r w:rsidDel="00000000" w:rsidR="00000000" w:rsidRPr="00000000">
        <w:rPr>
          <w:rtl w:val="0"/>
        </w:rPr>
        <w:t xml:space="preserve"> CEO pay ratio and board independence percentage.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captures a realistic simulation of ESG-related KPIs for the year 2023, providing a representative snapshot of corporate sustainability performance.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oo90u6fqu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Collection and Preparation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manually simulated to mirror realistic industrial trends and sustainability benchmarks.</w:t>
        <w:br w:type="textWrapping"/>
        <w:t xml:space="preserve"> Each record represents one company and includes 10+ ESG-related fields.</w:t>
        <w:br w:type="textWrapping"/>
        <w:t xml:space="preserve"> Data preparation steps included: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raw data into a Google Sheets table for uniformity.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outliers and ensuring percentage-based values were standardized.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 of CO₂ emissions</w:t>
      </w:r>
      <w:r w:rsidDel="00000000" w:rsidR="00000000" w:rsidRPr="00000000">
        <w:rPr>
          <w:rtl w:val="0"/>
        </w:rPr>
        <w:t xml:space="preserve"> using Min–Max scaling to align the scale with other 0–100 metrics.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Derivation of pillar-wise scores and a composite ESG score per company.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computations were formula-driven, ensuring transparency and repeatability.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o8kng2ztm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Methodology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followed a structured 5-stage approach: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Ensured consistency, formatted numeric values, and handled missing data.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Normalization:</w:t>
        <w:br w:type="textWrapping"/>
      </w:r>
      <w:r w:rsidDel="00000000" w:rsidR="00000000" w:rsidRPr="00000000">
        <w:rPr>
          <w:rtl w:val="0"/>
        </w:rPr>
        <w:t xml:space="preserve"> CO₂ emission values were transformed to a 0–100 inverse scale using the Min–Max normalization formula: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Normalized_CO2_Score = (1 - (X - Min) / (Max - Min)) * 100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Lower emissions yield higher normalized scores.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Pillar Scoring: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Environmental Score</w:t>
      </w:r>
      <w:r w:rsidDel="00000000" w:rsidR="00000000" w:rsidRPr="00000000">
        <w:rPr>
          <w:rtl w:val="0"/>
        </w:rPr>
        <w:t xml:space="preserve"> = Average of (Normalized CO₂, Renewable %, Recycled %).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Social Score</w:t>
      </w:r>
      <w:r w:rsidDel="00000000" w:rsidR="00000000" w:rsidRPr="00000000">
        <w:rPr>
          <w:rtl w:val="0"/>
        </w:rPr>
        <w:t xml:space="preserve"> = Average of (CSR %, Women Workforce %, Employee Turnover %).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Governance Score</w:t>
      </w:r>
      <w:r w:rsidDel="00000000" w:rsidR="00000000" w:rsidRPr="00000000">
        <w:rPr>
          <w:rtl w:val="0"/>
        </w:rPr>
        <w:t xml:space="preserve"> = Average of (CEO Pay Ratio [inverted], Independent Board %).</w:t>
        <w:br w:type="textWrapping"/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Composite ESG Score: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ESG_Score = (E_Score + S_Score + G_Score) / 3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  <w:br w:type="textWrapping"/>
      </w:r>
      <w:r w:rsidDel="00000000" w:rsidR="00000000" w:rsidRPr="00000000">
        <w:rPr>
          <w:rtl w:val="0"/>
        </w:rPr>
        <w:t xml:space="preserve"> Charts, radar graphs, and interactive filters were created in Google Sheets to interpret company and sector-wise performance.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ccqjmuf2r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Analysis and Key Insights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mir3sxdex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Environmental Pillar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Performers:</w:t>
      </w:r>
      <w:r w:rsidDel="00000000" w:rsidR="00000000" w:rsidRPr="00000000">
        <w:rPr>
          <w:rtl w:val="0"/>
        </w:rPr>
        <w:t xml:space="preserve"> Apple, Microsoft, Tesla, and BMW scored highest due to strong renewable energy usage and low emissions intensity.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Lagging Companies:</w:t>
      </w:r>
      <w:r w:rsidDel="00000000" w:rsidR="00000000" w:rsidRPr="00000000">
        <w:rPr>
          <w:rtl w:val="0"/>
        </w:rPr>
        <w:t xml:space="preserve"> Reliance Industries, Shell, and Indian Oil Corporation showed high emissions and low renewable integration.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technology sector demonstrated the </w:t>
      </w:r>
      <w:r w:rsidDel="00000000" w:rsidR="00000000" w:rsidRPr="00000000">
        <w:rPr>
          <w:b w:val="1"/>
          <w:bCs w:val="1"/>
          <w:rtl w:val="0"/>
        </w:rPr>
        <w:t xml:space="preserve">highest average environmental performance</w:t>
      </w:r>
      <w:r w:rsidDel="00000000" w:rsidR="00000000" w:rsidRPr="00000000">
        <w:rPr>
          <w:rtl w:val="0"/>
        </w:rPr>
        <w:t xml:space="preserve">, while the energy sector lagged due to legacy fossil-fuel operations.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056lcr47c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Social Pillar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Leaders:</w:t>
      </w:r>
      <w:r w:rsidDel="00000000" w:rsidR="00000000" w:rsidRPr="00000000">
        <w:rPr>
          <w:rtl w:val="0"/>
        </w:rPr>
        <w:t xml:space="preserve"> Infosys, Wipro, and Unilever showed strong CSR spending and gender diversity metrics.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Areas of Concern:</w:t>
      </w:r>
      <w:r w:rsidDel="00000000" w:rsidR="00000000" w:rsidRPr="00000000">
        <w:rPr>
          <w:rtl w:val="0"/>
        </w:rPr>
        <w:t xml:space="preserve"> Heavy-industrial companies displayed lower diversity ratios and higher employee turnover.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positive correlation (r ≈ 0.68) was observed between CSR investment and workforce retention.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rg0h7v8t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Governance Pillar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Governance:</w:t>
      </w:r>
      <w:r w:rsidDel="00000000" w:rsidR="00000000" w:rsidRPr="00000000">
        <w:rPr>
          <w:rtl w:val="0"/>
        </w:rPr>
        <w:t xml:space="preserve"> Axis Bank, HDFC Bank, and Siemens maintained high board independence ratios (&gt;75%) and moderate CEO pay gaps.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 Governance:</w:t>
      </w:r>
      <w:r w:rsidDel="00000000" w:rsidR="00000000" w:rsidRPr="00000000">
        <w:rPr>
          <w:rtl w:val="0"/>
        </w:rPr>
        <w:t xml:space="preserve"> A few conglomerates exhibited wide CEO pay disparities, impacting their governance score.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Overall, </w:t>
      </w:r>
      <w:r w:rsidDel="00000000" w:rsidR="00000000" w:rsidRPr="00000000">
        <w:rPr>
          <w:b w:val="1"/>
          <w:bCs w:val="1"/>
          <w:rtl w:val="0"/>
        </w:rPr>
        <w:t xml:space="preserve">financial institutions performed best in governance metrics</w:t>
      </w:r>
      <w:r w:rsidDel="00000000" w:rsidR="00000000" w:rsidRPr="00000000">
        <w:rPr>
          <w:rtl w:val="0"/>
        </w:rPr>
        <w:t xml:space="preserve"> due to regulatory oversight.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s5nfoa8n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Composite ESG Score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ESG Companies:</w:t>
      </w:r>
      <w:r w:rsidDel="00000000" w:rsidR="00000000" w:rsidRPr="00000000">
        <w:rPr>
          <w:rtl w:val="0"/>
        </w:rPr>
        <w:t xml:space="preserve"> Apple, Microsoft, Infosys, Tesla, and Unilever.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5 ESG Companies:</w:t>
      </w:r>
      <w:r w:rsidDel="00000000" w:rsidR="00000000" w:rsidRPr="00000000">
        <w:rPr>
          <w:rtl w:val="0"/>
        </w:rPr>
        <w:t xml:space="preserve"> Reliance Industries, Indian Oil Corp, BP, Shell, and Tata Steel.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overall ESG average across all 30 firms stood at </w:t>
      </w:r>
      <w:r w:rsidDel="00000000" w:rsidR="00000000" w:rsidRPr="00000000">
        <w:rPr>
          <w:b w:val="1"/>
          <w:bCs w:val="1"/>
          <w:rtl w:val="0"/>
        </w:rPr>
        <w:t xml:space="preserve">64.3/100</w:t>
      </w:r>
      <w:r w:rsidDel="00000000" w:rsidR="00000000" w:rsidRPr="00000000">
        <w:rPr>
          <w:rtl w:val="0"/>
        </w:rPr>
        <w:t xml:space="preserve">, indicating moderate sustainability maturity globally.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sbirqkeg7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Dashboard Overview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dynamic ESG dashboard was developed using Google Sheets to visualize results interactively.</w:t>
        <w:br w:type="textWrapping"/>
        <w:t xml:space="preserve"> Key features: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Charts:</w:t>
      </w:r>
      <w:r w:rsidDel="00000000" w:rsidR="00000000" w:rsidRPr="00000000">
        <w:rPr>
          <w:rtl w:val="0"/>
        </w:rPr>
        <w:t xml:space="preserve"> ESG score comparison across companies.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 Charts:</w:t>
      </w:r>
      <w:r w:rsidDel="00000000" w:rsidR="00000000" w:rsidRPr="00000000">
        <w:rPr>
          <w:rtl w:val="0"/>
        </w:rPr>
        <w:t xml:space="preserve"> Pillar-wise performance visualization.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Formatting:</w:t>
      </w:r>
      <w:r w:rsidDel="00000000" w:rsidR="00000000" w:rsidRPr="00000000">
        <w:rPr>
          <w:rtl w:val="0"/>
        </w:rPr>
        <w:t xml:space="preserve"> Color-coded ESG scores (Green &gt;70, Yellow 40–70, Red &lt;40).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enables quick benchmarking of sustainability performance and trend analysis.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yfu1jg9n4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insights derived: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Renewable Integration:</w:t>
      </w:r>
      <w:r w:rsidDel="00000000" w:rsidR="00000000" w:rsidRPr="00000000">
        <w:rPr>
          <w:rtl w:val="0"/>
        </w:rPr>
        <w:t xml:space="preserve"> Energy and manufacturing sectors must increase renewable energy share beyond 50%.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Waste Management:</w:t>
      </w:r>
      <w:r w:rsidDel="00000000" w:rsidR="00000000" w:rsidRPr="00000000">
        <w:rPr>
          <w:rtl w:val="0"/>
        </w:rPr>
        <w:t xml:space="preserve"> Implement circular-economy strategies to achieve &gt;70% recycling efficiency.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Gender and Diversity Metrics:</w:t>
      </w:r>
      <w:r w:rsidDel="00000000" w:rsidR="00000000" w:rsidRPr="00000000">
        <w:rPr>
          <w:rtl w:val="0"/>
        </w:rPr>
        <w:t xml:space="preserve"> Target at least 35–40% women representation in workforce.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 Governance Transparency:</w:t>
      </w:r>
      <w:r w:rsidDel="00000000" w:rsidR="00000000" w:rsidRPr="00000000">
        <w:rPr>
          <w:rtl w:val="0"/>
        </w:rPr>
        <w:t xml:space="preserve"> Annual ESG disclosures should include executive pay ratios, board diversity, and whistleblower mechanisms.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ESG KPIs in Strategy:</w:t>
      </w:r>
      <w:r w:rsidDel="00000000" w:rsidR="00000000" w:rsidRPr="00000000">
        <w:rPr>
          <w:rtl w:val="0"/>
        </w:rPr>
        <w:t xml:space="preserve"> ESG metrics should be tied directly to management incentives and corporate performance reviews.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47xe5od7l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ESG analytics project demonstrates how quantitative data modeling can transform sustainability assessment from a narrative concept into measurable business intelligence.</w:t>
        <w:br w:type="textWrapping"/>
        <w:t xml:space="preserve"> By normalizing environmental data, integrating social and governance indicators, and visualizing outcomes through dashboards, the analysis provides a holistic understanding of corporate sustainability maturity.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developed in this study can be extended to real-world ESG databases (e.g., Refinitiv, MSCI, or CDP) for institutional benchmarking and investment decisions.</w:t>
        <w:br w:type="textWrapping"/>
        <w:t xml:space="preserve"> The results highlight that technology and service-driven firms lead in ESG compliance, while traditional energy-intensive sectors require focused intervention to align with global net-zero goals.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02rop1i0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ESG Scoring and Company Rankings (2023)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8.5671789786812"/>
        <w:gridCol w:w="1744.8487853247398"/>
        <w:gridCol w:w="1828.3787803668815"/>
        <w:gridCol w:w="965.2354982647496"/>
        <w:gridCol w:w="1549.9454635597422"/>
        <w:gridCol w:w="1522.1021318790283"/>
        <w:gridCol w:w="1020.9221616261775"/>
        <w:tblGridChange w:id="0">
          <w:tblGrid>
            <w:gridCol w:w="728.5671789786812"/>
            <w:gridCol w:w="1744.8487853247398"/>
            <w:gridCol w:w="1828.3787803668815"/>
            <w:gridCol w:w="965.2354982647496"/>
            <w:gridCol w:w="1549.9454635597422"/>
            <w:gridCol w:w="1522.1021318790283"/>
            <w:gridCol w:w="1020.92216162617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Environmental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ESG Score (0–100)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ESG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Infosys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Unilever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Tesla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Wipro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(Alphabet)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BMW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Axis 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HDFC Bank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ITC Ltd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Nestlé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Larsen &amp; Toubro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Mahindra &amp; Mahindra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Coca-Cola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Tata Steel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Samsung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Adani Green Energy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Toyota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Siemens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Bharti Airtel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Maruti Suzuki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NTPC Ltd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Indian Oil Corp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Shell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Reliance Industries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Hindustan Unilever (India)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BP (duplicate for example)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3302rop1i0f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keepNext w:val="0"/>
              <w:keepLines w:val="0"/>
              <w:spacing w:after="80" w:lineRule="auto"/>
              <w:rPr>
                <w:sz w:val="20"/>
                <w:szCs w:val="20"/>
              </w:rPr>
            </w:pPr>
            <w:bookmarkStart w:colFirst="0" w:colLast="0" w:name="_wx1mho6582q4" w:id="15"/>
            <w:bookmarkEnd w:id="15"/>
            <w:r w:rsidDel="00000000" w:rsidR="00000000" w:rsidRPr="00000000">
              <w:rPr>
                <w:sz w:val="20"/>
                <w:szCs w:val="20"/>
                <w:rtl w:val="0"/>
              </w:rPr>
              <w:t xml:space="preserve">CCC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ti4dmcrbk800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Insights from Rankings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w3302rop1i0f" w:id="14"/>
      <w:bookmarkEnd w:id="14"/>
      <w:r w:rsidDel="00000000" w:rsidR="00000000" w:rsidRPr="00000000">
        <w:rPr>
          <w:sz w:val="24"/>
          <w:szCs w:val="24"/>
          <w:rtl w:val="0"/>
        </w:rPr>
        <w:t xml:space="preserve">Tech companies dominate the top ESG positions due to strong decarbonization, ethical governance, and diversity initiatives.</w:t>
        <w:br w:type="textWrapping"/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w3302rop1i0f" w:id="14"/>
      <w:bookmarkEnd w:id="14"/>
      <w:r w:rsidDel="00000000" w:rsidR="00000000" w:rsidRPr="00000000">
        <w:rPr>
          <w:sz w:val="24"/>
          <w:szCs w:val="24"/>
          <w:rtl w:val="0"/>
        </w:rPr>
        <w:t xml:space="preserve">Energy conglomerates (e.g., Shell, BP, Reliance, IOCL) remain laggards primarily due to high CO₂ footprints and low renewable integration.</w:t>
        <w:br w:type="textWrapping"/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w3302rop1i0f" w:id="14"/>
      <w:bookmarkEnd w:id="14"/>
      <w:r w:rsidDel="00000000" w:rsidR="00000000" w:rsidRPr="00000000">
        <w:rPr>
          <w:sz w:val="24"/>
          <w:szCs w:val="24"/>
          <w:rtl w:val="0"/>
        </w:rPr>
        <w:t xml:space="preserve">Companies like Infosys, Wipro, and Axis Bank reflect strong social and governance performance, showcasing how emerging markets can lead in sustainability governance.</w:t>
        <w:br w:type="textWrapping"/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wep8301faz4a" w:id="17"/>
      <w:bookmarkEnd w:id="17"/>
      <w:r w:rsidDel="00000000" w:rsidR="00000000" w:rsidRPr="00000000">
        <w:rPr>
          <w:sz w:val="24"/>
          <w:szCs w:val="24"/>
          <w:rtl w:val="0"/>
        </w:rPr>
        <w:t xml:space="preserve">Average ESG Score across all 30 firms = 73.4/100, indicating moderate-to-high global sustainability adoption.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ESG Rating Scale (Industry Standard Reference)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5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505"/>
        <w:gridCol w:w="1430"/>
        <w:gridCol w:w="2570"/>
        <w:tblGridChange w:id="0">
          <w:tblGrid>
            <w:gridCol w:w="1505"/>
            <w:gridCol w:w="143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ESG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85–100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AAA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Industry Leader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75–84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65–74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 / BBB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Above 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50–64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BB / 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Below 50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CCC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Weak ESG Practices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02rop1i0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References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Reporting Initiative (GRI) Standards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MSCI ESG Ratings Methodology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Accounting Standards Board (SASB)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Economic Forum – Stakeholder Capitalism Metrics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United Nations Sustainable Development Goals (UN SDGs) Framework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Documentation and Statistical Functions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