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1DB" w:rsidRPr="006A324F" w:rsidRDefault="006A324F">
      <w:pPr>
        <w:rPr>
          <w:rFonts w:ascii="Algerian" w:hAnsi="Algerian" w:cs="Times New Roman"/>
          <w:sz w:val="48"/>
          <w:szCs w:val="48"/>
          <w:lang w:val="en-US"/>
        </w:rPr>
      </w:pPr>
      <w:r w:rsidRPr="006A324F">
        <w:rPr>
          <w:rFonts w:ascii="Algerian" w:hAnsi="Algerian" w:cs="Times New Roman"/>
          <w:sz w:val="48"/>
          <w:szCs w:val="48"/>
          <w:lang w:val="en-US"/>
        </w:rPr>
        <w:t xml:space="preserve">        </w:t>
      </w:r>
      <w:proofErr w:type="spellStart"/>
      <w:r w:rsidRPr="006A324F">
        <w:rPr>
          <w:rFonts w:ascii="Algerian" w:hAnsi="Algerian" w:cs="Times New Roman"/>
          <w:sz w:val="48"/>
          <w:szCs w:val="48"/>
          <w:lang w:val="en-US"/>
        </w:rPr>
        <w:t>Kongu</w:t>
      </w:r>
      <w:proofErr w:type="spellEnd"/>
      <w:r w:rsidRPr="006A324F">
        <w:rPr>
          <w:rFonts w:ascii="Algerian" w:hAnsi="Algerian" w:cs="Times New Roman"/>
          <w:sz w:val="48"/>
          <w:szCs w:val="48"/>
          <w:lang w:val="en-US"/>
        </w:rPr>
        <w:t xml:space="preserve"> engineering college</w:t>
      </w:r>
    </w:p>
    <w:p w:rsidR="006A324F" w:rsidRDefault="006A324F">
      <w:pPr>
        <w:rPr>
          <w:rFonts w:ascii="Algerian" w:hAnsi="Algerian" w:cs="Times New Roman"/>
          <w:sz w:val="48"/>
          <w:szCs w:val="48"/>
          <w:lang w:val="en-US"/>
        </w:rPr>
      </w:pPr>
      <w:r>
        <w:rPr>
          <w:rFonts w:ascii="Algerian" w:hAnsi="Algerian" w:cs="Times New Roman"/>
          <w:sz w:val="48"/>
          <w:szCs w:val="48"/>
          <w:lang w:val="en-US"/>
        </w:rPr>
        <w:t xml:space="preserve">             </w:t>
      </w:r>
      <w:r w:rsidRPr="006A324F">
        <w:rPr>
          <w:rFonts w:ascii="Algerian" w:hAnsi="Algerian" w:cs="Times New Roman"/>
          <w:sz w:val="48"/>
          <w:szCs w:val="48"/>
          <w:lang w:val="en-US"/>
        </w:rPr>
        <w:t xml:space="preserve">Department of </w:t>
      </w:r>
      <w:proofErr w:type="spellStart"/>
      <w:r w:rsidRPr="006A324F">
        <w:rPr>
          <w:rFonts w:ascii="Algerian" w:hAnsi="Algerian" w:cs="Times New Roman"/>
          <w:sz w:val="48"/>
          <w:szCs w:val="48"/>
          <w:lang w:val="en-US"/>
        </w:rPr>
        <w:t>ct-ug</w:t>
      </w:r>
      <w:proofErr w:type="spellEnd"/>
      <w:r w:rsidRPr="006A324F">
        <w:rPr>
          <w:rFonts w:ascii="Algerian" w:hAnsi="Algerian" w:cs="Times New Roman"/>
          <w:sz w:val="48"/>
          <w:szCs w:val="48"/>
          <w:lang w:val="en-US"/>
        </w:rPr>
        <w:t xml:space="preserve"> </w:t>
      </w:r>
    </w:p>
    <w:p w:rsidR="006A324F" w:rsidRDefault="006A324F">
      <w:pPr>
        <w:rPr>
          <w:rFonts w:ascii="Algerian" w:hAnsi="Algerian" w:cs="Times New Roman"/>
          <w:sz w:val="48"/>
          <w:szCs w:val="48"/>
          <w:lang w:val="en-US"/>
        </w:rPr>
      </w:pPr>
      <w:r>
        <w:rPr>
          <w:rFonts w:ascii="Algerian" w:hAnsi="Algerian" w:cs="Times New Roman"/>
          <w:sz w:val="48"/>
          <w:szCs w:val="48"/>
          <w:lang w:val="en-US"/>
        </w:rPr>
        <w:t xml:space="preserve">                                                               </w:t>
      </w:r>
    </w:p>
    <w:p w:rsidR="006A324F" w:rsidRPr="006A324F" w:rsidRDefault="006A324F">
      <w:pPr>
        <w:rPr>
          <w:rFonts w:ascii="Algerian" w:hAnsi="Algerian" w:cstheme="minorHAnsi"/>
          <w:sz w:val="20"/>
          <w:szCs w:val="20"/>
          <w:lang w:val="en-US"/>
        </w:rPr>
      </w:pPr>
      <w:r w:rsidRPr="006A324F">
        <w:rPr>
          <w:rFonts w:ascii="Algerian" w:hAnsi="Algerian" w:cs="Times New Roman"/>
          <w:sz w:val="20"/>
          <w:szCs w:val="20"/>
          <w:lang w:val="en-US"/>
        </w:rPr>
        <w:t xml:space="preserve">                                                                                                         </w:t>
      </w:r>
      <w:r>
        <w:rPr>
          <w:rFonts w:ascii="Algerian" w:hAnsi="Algerian" w:cs="Times New Roman"/>
          <w:sz w:val="20"/>
          <w:szCs w:val="20"/>
          <w:lang w:val="en-US"/>
        </w:rPr>
        <w:t xml:space="preserve">          </w:t>
      </w:r>
      <w:r w:rsidRPr="006A324F">
        <w:rPr>
          <w:rFonts w:ascii="Algerian" w:hAnsi="Algerian" w:cs="Times New Roman"/>
          <w:sz w:val="20"/>
          <w:szCs w:val="20"/>
          <w:lang w:val="en-US"/>
        </w:rPr>
        <w:t xml:space="preserve">  </w:t>
      </w:r>
      <w:r w:rsidRPr="006A324F">
        <w:rPr>
          <w:rFonts w:ascii="Algerian" w:hAnsi="Algerian" w:cstheme="minorHAnsi"/>
          <w:sz w:val="20"/>
          <w:szCs w:val="20"/>
          <w:lang w:val="en-US"/>
        </w:rPr>
        <w:t>Academic year</w:t>
      </w:r>
      <w:proofErr w:type="gramStart"/>
      <w:r w:rsidRPr="006A324F">
        <w:rPr>
          <w:rFonts w:ascii="Algerian" w:hAnsi="Algerian" w:cstheme="minorHAnsi"/>
          <w:sz w:val="20"/>
          <w:szCs w:val="20"/>
          <w:lang w:val="en-US"/>
        </w:rPr>
        <w:t>:2024</w:t>
      </w:r>
      <w:proofErr w:type="gramEnd"/>
      <w:r w:rsidRPr="006A324F">
        <w:rPr>
          <w:rFonts w:ascii="Algerian" w:hAnsi="Algerian" w:cstheme="minorHAnsi"/>
          <w:sz w:val="20"/>
          <w:szCs w:val="20"/>
          <w:lang w:val="en-US"/>
        </w:rPr>
        <w:t>-2025</w:t>
      </w:r>
    </w:p>
    <w:p w:rsidR="006A324F" w:rsidRDefault="006A324F">
      <w:pPr>
        <w:rPr>
          <w:rFonts w:ascii="Algerian" w:hAnsi="Algerian" w:cstheme="minorHAnsi"/>
          <w:sz w:val="20"/>
          <w:szCs w:val="20"/>
          <w:lang w:val="en-US"/>
        </w:rPr>
      </w:pPr>
      <w:r w:rsidRPr="006A324F">
        <w:rPr>
          <w:rFonts w:ascii="Algerian" w:hAnsi="Algerian" w:cstheme="minorHAnsi"/>
          <w:sz w:val="20"/>
          <w:szCs w:val="20"/>
          <w:lang w:val="en-US"/>
        </w:rPr>
        <w:t xml:space="preserve">                                                                                                                       </w:t>
      </w:r>
      <w:r>
        <w:rPr>
          <w:rFonts w:ascii="Algerian" w:hAnsi="Algerian" w:cstheme="minorHAnsi"/>
          <w:sz w:val="20"/>
          <w:szCs w:val="20"/>
          <w:lang w:val="en-US"/>
        </w:rPr>
        <w:t xml:space="preserve">    </w:t>
      </w:r>
      <w:r w:rsidRPr="006A324F">
        <w:rPr>
          <w:rFonts w:ascii="Algerian" w:hAnsi="Algerian" w:cstheme="minorHAnsi"/>
          <w:sz w:val="20"/>
          <w:szCs w:val="20"/>
          <w:lang w:val="en-US"/>
        </w:rPr>
        <w:t xml:space="preserve">Class: </w:t>
      </w:r>
      <w:proofErr w:type="spellStart"/>
      <w:proofErr w:type="gramStart"/>
      <w:r w:rsidRPr="006A324F">
        <w:rPr>
          <w:rFonts w:ascii="Algerian" w:hAnsi="Algerian" w:cstheme="minorHAnsi"/>
          <w:sz w:val="20"/>
          <w:szCs w:val="20"/>
          <w:lang w:val="en-US"/>
        </w:rPr>
        <w:t>B.Sc</w:t>
      </w:r>
      <w:proofErr w:type="spellEnd"/>
      <w:r w:rsidRPr="006A324F">
        <w:rPr>
          <w:rFonts w:ascii="Algerian" w:hAnsi="Algerian" w:cstheme="minorHAnsi"/>
          <w:sz w:val="20"/>
          <w:szCs w:val="20"/>
          <w:lang w:val="en-US"/>
        </w:rPr>
        <w:t>(</w:t>
      </w:r>
      <w:proofErr w:type="gramEnd"/>
      <w:r w:rsidRPr="006A324F">
        <w:rPr>
          <w:rFonts w:ascii="Algerian" w:hAnsi="Algerian" w:cstheme="minorHAnsi"/>
          <w:sz w:val="20"/>
          <w:szCs w:val="20"/>
          <w:lang w:val="en-US"/>
        </w:rPr>
        <w:t>CSD,IS,SS)</w:t>
      </w:r>
    </w:p>
    <w:p w:rsidR="006A324F" w:rsidRDefault="006A324F">
      <w:pPr>
        <w:rPr>
          <w:rFonts w:ascii="Algerian" w:hAnsi="Algerian" w:cstheme="minorHAnsi"/>
          <w:sz w:val="20"/>
          <w:szCs w:val="20"/>
          <w:lang w:val="en-US"/>
        </w:rPr>
      </w:pPr>
      <w:bookmarkStart w:id="0" w:name="_GoBack"/>
      <w:bookmarkEnd w:id="0"/>
    </w:p>
    <w:p w:rsidR="006A324F" w:rsidRDefault="006A324F" w:rsidP="006B6ECD">
      <w:pPr>
        <w:shd w:val="clear" w:color="auto" w:fill="ED7D31" w:themeFill="accent2"/>
        <w:rPr>
          <w:rFonts w:ascii="Algerian" w:hAnsi="Algerian" w:cstheme="minorHAnsi"/>
          <w:sz w:val="20"/>
          <w:szCs w:val="20"/>
          <w:lang w:val="en-US"/>
        </w:rPr>
      </w:pPr>
      <w:r w:rsidRPr="006A324F">
        <w:rPr>
          <w:rFonts w:ascii="Algerian" w:hAnsi="Algerian" w:cstheme="minorHAnsi"/>
          <w:sz w:val="20"/>
          <w:szCs w:val="20"/>
          <w:lang w:val="en-US"/>
        </w:rPr>
        <w:t>Course offered</w:t>
      </w:r>
      <w:r>
        <w:rPr>
          <w:rFonts w:ascii="Algerian" w:hAnsi="Algerian" w:cstheme="minorHAnsi"/>
          <w:sz w:val="20"/>
          <w:szCs w:val="20"/>
          <w:lang w:val="en-US"/>
        </w:rPr>
        <w:t xml:space="preserve">                                                                                                                                  </w:t>
      </w:r>
    </w:p>
    <w:tbl>
      <w:tblPr>
        <w:tblStyle w:val="TableGrid"/>
        <w:tblW w:w="0" w:type="auto"/>
        <w:tblInd w:w="421" w:type="dxa"/>
        <w:tblLook w:val="04A0" w:firstRow="1" w:lastRow="0" w:firstColumn="1" w:lastColumn="0" w:noHBand="0" w:noVBand="1"/>
      </w:tblPr>
      <w:tblGrid>
        <w:gridCol w:w="1382"/>
        <w:gridCol w:w="2161"/>
        <w:gridCol w:w="1701"/>
        <w:gridCol w:w="1547"/>
        <w:gridCol w:w="1804"/>
      </w:tblGrid>
      <w:tr w:rsidR="006A324F" w:rsidRPr="006A324F" w:rsidTr="006A324F">
        <w:trPr>
          <w:trHeight w:val="647"/>
        </w:trPr>
        <w:tc>
          <w:tcPr>
            <w:tcW w:w="1382"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S.no</w:t>
            </w:r>
          </w:p>
        </w:tc>
        <w:tc>
          <w:tcPr>
            <w:tcW w:w="216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Course available</w:t>
            </w:r>
          </w:p>
        </w:tc>
        <w:tc>
          <w:tcPr>
            <w:tcW w:w="170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NO OF SEATS</w:t>
            </w:r>
          </w:p>
        </w:tc>
        <w:tc>
          <w:tcPr>
            <w:tcW w:w="1547"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PASSED OUT YEAR</w:t>
            </w:r>
          </w:p>
        </w:tc>
        <w:tc>
          <w:tcPr>
            <w:tcW w:w="1804"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NO OF STUDENTS PLACED</w:t>
            </w:r>
          </w:p>
        </w:tc>
      </w:tr>
      <w:tr w:rsidR="006A324F" w:rsidRPr="006A324F" w:rsidTr="006A324F">
        <w:trPr>
          <w:trHeight w:val="557"/>
        </w:trPr>
        <w:tc>
          <w:tcPr>
            <w:tcW w:w="1382"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1</w:t>
            </w:r>
          </w:p>
        </w:tc>
        <w:tc>
          <w:tcPr>
            <w:tcW w:w="216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CSD</w:t>
            </w:r>
          </w:p>
        </w:tc>
        <w:tc>
          <w:tcPr>
            <w:tcW w:w="170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60</w:t>
            </w:r>
          </w:p>
        </w:tc>
        <w:tc>
          <w:tcPr>
            <w:tcW w:w="1547"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2024</w:t>
            </w:r>
          </w:p>
        </w:tc>
        <w:tc>
          <w:tcPr>
            <w:tcW w:w="1804"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55</w:t>
            </w:r>
          </w:p>
        </w:tc>
      </w:tr>
      <w:tr w:rsidR="006A324F" w:rsidRPr="006A324F" w:rsidTr="006A324F">
        <w:trPr>
          <w:trHeight w:val="560"/>
        </w:trPr>
        <w:tc>
          <w:tcPr>
            <w:tcW w:w="1382"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2</w:t>
            </w:r>
          </w:p>
        </w:tc>
        <w:tc>
          <w:tcPr>
            <w:tcW w:w="216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IS</w:t>
            </w:r>
          </w:p>
        </w:tc>
        <w:tc>
          <w:tcPr>
            <w:tcW w:w="170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60</w:t>
            </w:r>
          </w:p>
        </w:tc>
        <w:tc>
          <w:tcPr>
            <w:tcW w:w="1547"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2024</w:t>
            </w:r>
          </w:p>
        </w:tc>
        <w:tc>
          <w:tcPr>
            <w:tcW w:w="1804"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47</w:t>
            </w:r>
          </w:p>
        </w:tc>
      </w:tr>
      <w:tr w:rsidR="006A324F" w:rsidRPr="006A324F" w:rsidTr="006A324F">
        <w:trPr>
          <w:trHeight w:val="579"/>
        </w:trPr>
        <w:tc>
          <w:tcPr>
            <w:tcW w:w="1382"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3</w:t>
            </w:r>
          </w:p>
        </w:tc>
        <w:tc>
          <w:tcPr>
            <w:tcW w:w="216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SS</w:t>
            </w:r>
          </w:p>
        </w:tc>
        <w:tc>
          <w:tcPr>
            <w:tcW w:w="1701"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60</w:t>
            </w:r>
          </w:p>
        </w:tc>
        <w:tc>
          <w:tcPr>
            <w:tcW w:w="1547"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2024</w:t>
            </w:r>
          </w:p>
        </w:tc>
        <w:tc>
          <w:tcPr>
            <w:tcW w:w="1804" w:type="dxa"/>
          </w:tcPr>
          <w:p w:rsidR="006A324F" w:rsidRPr="006A324F" w:rsidRDefault="006A324F">
            <w:pPr>
              <w:rPr>
                <w:rFonts w:ascii="Arial Rounded MT Bold" w:hAnsi="Arial Rounded MT Bold" w:cstheme="minorHAnsi"/>
                <w:sz w:val="20"/>
                <w:szCs w:val="20"/>
                <w:lang w:val="en-US"/>
              </w:rPr>
            </w:pPr>
            <w:r w:rsidRPr="006A324F">
              <w:rPr>
                <w:rFonts w:ascii="Arial Rounded MT Bold" w:hAnsi="Arial Rounded MT Bold" w:cstheme="minorHAnsi"/>
                <w:sz w:val="20"/>
                <w:szCs w:val="20"/>
                <w:lang w:val="en-US"/>
              </w:rPr>
              <w:t>50</w:t>
            </w:r>
          </w:p>
        </w:tc>
      </w:tr>
    </w:tbl>
    <w:p w:rsidR="007F6BFF" w:rsidRPr="007F6BFF" w:rsidRDefault="007F6BFF" w:rsidP="007F6BFF">
      <w:pPr>
        <w:pStyle w:val="Heading5"/>
        <w:shd w:val="clear" w:color="auto" w:fill="FFFFFF"/>
        <w:spacing w:before="0" w:beforeAutospacing="0"/>
        <w:rPr>
          <w:rFonts w:ascii="Arial Black" w:hAnsi="Arial Black"/>
          <w:b w:val="0"/>
          <w:bCs w:val="0"/>
          <w:color w:val="000080"/>
          <w:sz w:val="22"/>
          <w:szCs w:val="22"/>
          <w:highlight w:val="darkMagenta"/>
        </w:rPr>
      </w:pPr>
      <w:r>
        <w:rPr>
          <w:rFonts w:eastAsiaTheme="minorHAnsi"/>
          <w:b w:val="0"/>
          <w:bCs w:val="0"/>
          <w:lang w:val="en-US" w:eastAsia="en-US"/>
        </w:rPr>
        <w:t xml:space="preserve"> </w:t>
      </w:r>
    </w:p>
    <w:p w:rsidR="007F6BFF" w:rsidRPr="007F6BFF" w:rsidRDefault="007F6BFF" w:rsidP="007F6BFF">
      <w:pPr>
        <w:pStyle w:val="Heading5"/>
        <w:shd w:val="clear" w:color="auto" w:fill="FFFFFF"/>
        <w:spacing w:before="0" w:beforeAutospacing="0"/>
        <w:rPr>
          <w:rFonts w:asciiTheme="minorHAnsi" w:hAnsiTheme="minorHAnsi" w:cstheme="minorHAnsi"/>
          <w:b w:val="0"/>
          <w:bCs w:val="0"/>
          <w:color w:val="000080"/>
          <w:sz w:val="28"/>
          <w:szCs w:val="28"/>
        </w:rPr>
      </w:pPr>
      <w:r>
        <w:rPr>
          <w:rFonts w:asciiTheme="minorHAnsi" w:hAnsiTheme="minorHAnsi" w:cstheme="minorHAnsi"/>
          <w:sz w:val="28"/>
          <w:szCs w:val="28"/>
          <w:lang w:val="en-US"/>
        </w:rPr>
        <w:t xml:space="preserve"> </w:t>
      </w:r>
      <w:r w:rsidRPr="007F6BFF">
        <w:rPr>
          <w:rFonts w:asciiTheme="minorHAnsi" w:hAnsiTheme="minorHAnsi" w:cstheme="minorHAnsi"/>
          <w:b w:val="0"/>
          <w:bCs w:val="0"/>
          <w:color w:val="000080"/>
          <w:sz w:val="28"/>
          <w:szCs w:val="28"/>
        </w:rPr>
        <w:t>Vision</w:t>
      </w:r>
    </w:p>
    <w:p w:rsidR="007F6BFF" w:rsidRDefault="007F6BFF" w:rsidP="007F6BFF">
      <w:pPr>
        <w:pStyle w:val="NormalWeb"/>
        <w:shd w:val="clear" w:color="auto" w:fill="D1ECF1"/>
        <w:spacing w:before="0" w:beforeAutospacing="0"/>
        <w:rPr>
          <w:rFonts w:ascii="Segoe UI" w:hAnsi="Segoe UI" w:cs="Segoe UI"/>
          <w:color w:val="0C5460"/>
        </w:rPr>
      </w:pPr>
      <w:r>
        <w:rPr>
          <w:rFonts w:ascii="Segoe UI" w:hAnsi="Segoe UI" w:cs="Segoe UI"/>
          <w:color w:val="0C5460"/>
        </w:rPr>
        <w:t>To become a technically competent centre in the domain of computer science to take care of the global industrial needs</w:t>
      </w:r>
    </w:p>
    <w:p w:rsidR="007F6BFF" w:rsidRPr="007F6BFF" w:rsidRDefault="007F6BFF" w:rsidP="007F6BFF">
      <w:pPr>
        <w:pStyle w:val="Heading5"/>
        <w:shd w:val="clear" w:color="auto" w:fill="FFFFFF"/>
        <w:spacing w:before="0" w:beforeAutospacing="0"/>
        <w:rPr>
          <w:rFonts w:asciiTheme="minorHAnsi" w:hAnsiTheme="minorHAnsi" w:cstheme="minorHAnsi"/>
          <w:b w:val="0"/>
          <w:bCs w:val="0"/>
          <w:color w:val="000080"/>
          <w:sz w:val="28"/>
          <w:szCs w:val="28"/>
        </w:rPr>
      </w:pPr>
      <w:r w:rsidRPr="007F6BFF">
        <w:rPr>
          <w:rFonts w:asciiTheme="minorHAnsi" w:hAnsiTheme="minorHAnsi" w:cstheme="minorHAnsi"/>
          <w:b w:val="0"/>
          <w:bCs w:val="0"/>
          <w:color w:val="000080"/>
          <w:sz w:val="28"/>
          <w:szCs w:val="28"/>
        </w:rPr>
        <w:t>Mission</w:t>
      </w:r>
    </w:p>
    <w:p w:rsidR="007F6BFF" w:rsidRDefault="007F6BFF" w:rsidP="007F6BFF">
      <w:pPr>
        <w:pStyle w:val="NormalWeb"/>
        <w:shd w:val="clear" w:color="auto" w:fill="D4EDDA"/>
        <w:spacing w:before="0" w:beforeAutospacing="0"/>
        <w:rPr>
          <w:rFonts w:ascii="Segoe UI" w:hAnsi="Segoe UI" w:cs="Segoe UI"/>
          <w:color w:val="155724"/>
        </w:rPr>
      </w:pPr>
      <w:r>
        <w:rPr>
          <w:rFonts w:ascii="Segoe UI" w:hAnsi="Segoe UI" w:cs="Segoe UI"/>
          <w:color w:val="155724"/>
        </w:rPr>
        <w:t>Department of computer technology-UG is committed to</w:t>
      </w:r>
    </w:p>
    <w:p w:rsidR="007F6BFF" w:rsidRDefault="007F6BFF" w:rsidP="007F6BFF">
      <w:pPr>
        <w:numPr>
          <w:ilvl w:val="0"/>
          <w:numId w:val="1"/>
        </w:numPr>
        <w:shd w:val="clear" w:color="auto" w:fill="D4EDDA"/>
        <w:spacing w:before="100" w:beforeAutospacing="1" w:after="100" w:afterAutospacing="1" w:line="240" w:lineRule="auto"/>
        <w:rPr>
          <w:rFonts w:ascii="Segoe UI" w:hAnsi="Segoe UI" w:cs="Segoe UI"/>
          <w:color w:val="155724"/>
        </w:rPr>
      </w:pPr>
      <w:r>
        <w:rPr>
          <w:rFonts w:ascii="Segoe UI" w:hAnsi="Segoe UI" w:cs="Segoe UI"/>
          <w:color w:val="155724"/>
        </w:rPr>
        <w:t>Develop inventive, proficient, ethical and quality conscious software professionals</w:t>
      </w:r>
    </w:p>
    <w:p w:rsidR="007F6BFF" w:rsidRDefault="007F6BFF" w:rsidP="007F6BFF">
      <w:pPr>
        <w:numPr>
          <w:ilvl w:val="0"/>
          <w:numId w:val="1"/>
        </w:numPr>
        <w:shd w:val="clear" w:color="auto" w:fill="D4EDDA"/>
        <w:spacing w:before="100" w:beforeAutospacing="1" w:after="100" w:afterAutospacing="1" w:line="240" w:lineRule="auto"/>
        <w:rPr>
          <w:rFonts w:ascii="Segoe UI" w:hAnsi="Segoe UI" w:cs="Segoe UI"/>
          <w:color w:val="155724"/>
        </w:rPr>
      </w:pPr>
      <w:r>
        <w:rPr>
          <w:rFonts w:ascii="Segoe UI" w:hAnsi="Segoe UI" w:cs="Segoe UI"/>
          <w:color w:val="155724"/>
        </w:rPr>
        <w:t xml:space="preserve">Produce stake holders who can contribute to technological development and social </w:t>
      </w:r>
      <w:proofErr w:type="spellStart"/>
      <w:r>
        <w:rPr>
          <w:rFonts w:ascii="Segoe UI" w:hAnsi="Segoe UI" w:cs="Segoe UI"/>
          <w:color w:val="155724"/>
        </w:rPr>
        <w:t>upliftment</w:t>
      </w:r>
      <w:proofErr w:type="spellEnd"/>
    </w:p>
    <w:p w:rsidR="007F6BFF" w:rsidRDefault="007F6BFF" w:rsidP="007F6BFF">
      <w:pPr>
        <w:numPr>
          <w:ilvl w:val="0"/>
          <w:numId w:val="1"/>
        </w:numPr>
        <w:shd w:val="clear" w:color="auto" w:fill="D4EDDA"/>
        <w:spacing w:before="100" w:beforeAutospacing="1" w:after="100" w:afterAutospacing="1" w:line="240" w:lineRule="auto"/>
        <w:rPr>
          <w:rFonts w:ascii="Segoe UI" w:hAnsi="Segoe UI" w:cs="Segoe UI"/>
          <w:color w:val="155724"/>
        </w:rPr>
      </w:pPr>
      <w:r>
        <w:rPr>
          <w:rFonts w:ascii="Segoe UI" w:hAnsi="Segoe UI" w:cs="Segoe UI"/>
          <w:color w:val="155724"/>
        </w:rPr>
        <w:t>Provide students with the state-of-art technologies to excel in academics to meet the IT industrial needs</w:t>
      </w:r>
    </w:p>
    <w:p w:rsidR="000A1610" w:rsidRDefault="000A1610" w:rsidP="007F6BFF">
      <w:pPr>
        <w:pStyle w:val="Heading5"/>
        <w:spacing w:before="0" w:beforeAutospacing="0"/>
        <w:rPr>
          <w:rFonts w:asciiTheme="minorHAnsi" w:hAnsiTheme="minorHAnsi" w:cstheme="minorHAnsi"/>
          <w:b w:val="0"/>
          <w:bCs w:val="0"/>
          <w:color w:val="000080"/>
          <w:sz w:val="28"/>
          <w:szCs w:val="28"/>
        </w:rPr>
      </w:pPr>
    </w:p>
    <w:p w:rsidR="000A1610" w:rsidRDefault="000A1610" w:rsidP="007F6BFF">
      <w:pPr>
        <w:pStyle w:val="Heading5"/>
        <w:spacing w:before="0" w:beforeAutospacing="0"/>
        <w:rPr>
          <w:rFonts w:asciiTheme="minorHAnsi" w:hAnsiTheme="minorHAnsi" w:cstheme="minorHAnsi"/>
          <w:b w:val="0"/>
          <w:bCs w:val="0"/>
          <w:color w:val="000080"/>
          <w:sz w:val="28"/>
          <w:szCs w:val="28"/>
        </w:rPr>
      </w:pPr>
    </w:p>
    <w:p w:rsidR="000A1610" w:rsidRDefault="000A1610" w:rsidP="007F6BFF">
      <w:pPr>
        <w:pStyle w:val="Heading5"/>
        <w:spacing w:before="0" w:beforeAutospacing="0"/>
        <w:rPr>
          <w:rFonts w:asciiTheme="minorHAnsi" w:hAnsiTheme="minorHAnsi" w:cstheme="minorHAnsi"/>
          <w:b w:val="0"/>
          <w:bCs w:val="0"/>
          <w:color w:val="000080"/>
          <w:sz w:val="28"/>
          <w:szCs w:val="28"/>
        </w:rPr>
      </w:pPr>
    </w:p>
    <w:p w:rsidR="007F6BFF" w:rsidRPr="007F6BFF" w:rsidRDefault="007F6BFF" w:rsidP="007F6BFF">
      <w:pPr>
        <w:pStyle w:val="Heading5"/>
        <w:spacing w:before="0" w:beforeAutospacing="0"/>
        <w:rPr>
          <w:rFonts w:asciiTheme="minorHAnsi" w:hAnsiTheme="minorHAnsi" w:cstheme="minorHAnsi"/>
          <w:b w:val="0"/>
          <w:bCs w:val="0"/>
          <w:color w:val="000080"/>
          <w:sz w:val="28"/>
          <w:szCs w:val="28"/>
        </w:rPr>
      </w:pPr>
      <w:r w:rsidRPr="007F6BFF">
        <w:rPr>
          <w:rFonts w:asciiTheme="minorHAnsi" w:hAnsiTheme="minorHAnsi" w:cstheme="minorHAnsi"/>
          <w:b w:val="0"/>
          <w:bCs w:val="0"/>
          <w:color w:val="000080"/>
          <w:sz w:val="28"/>
          <w:szCs w:val="28"/>
        </w:rPr>
        <w:lastRenderedPageBreak/>
        <w:t>Program Outcomes</w:t>
      </w:r>
    </w:p>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Fonts w:ascii="Segoe UI" w:hAnsi="Segoe UI" w:cs="Segoe UI"/>
          <w:color w:val="155724"/>
        </w:rPr>
        <w:t>Graduates will be able to:</w:t>
      </w:r>
    </w:p>
    <w:tbl>
      <w:tblPr>
        <w:tblW w:w="0" w:type="auto"/>
        <w:tblCellMar>
          <w:left w:w="0" w:type="dxa"/>
          <w:right w:w="0" w:type="dxa"/>
        </w:tblCellMar>
        <w:tblLook w:val="04A0" w:firstRow="1" w:lastRow="0" w:firstColumn="1" w:lastColumn="0" w:noHBand="0" w:noVBand="1"/>
      </w:tblPr>
      <w:tblGrid>
        <w:gridCol w:w="9026"/>
      </w:tblGrid>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1.Engineering knowledge:</w:t>
            </w:r>
            <w:r>
              <w:rPr>
                <w:rFonts w:ascii="Segoe UI" w:hAnsi="Segoe UI" w:cs="Segoe UI"/>
                <w:color w:val="155724"/>
              </w:rPr>
              <w:t>  Apply the knowledge of mathematics, science, engineering fundamentals, and an engineering specialization to the solution of complex engineering problems</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2.Problem analysis:</w:t>
            </w:r>
            <w:r>
              <w:rPr>
                <w:rFonts w:ascii="Segoe UI" w:hAnsi="Segoe UI" w:cs="Segoe UI"/>
                <w:color w:val="155724"/>
              </w:rPr>
              <w:t xml:space="preserve">  Identify, formulate, research literature, and </w:t>
            </w:r>
            <w:proofErr w:type="spellStart"/>
            <w:r>
              <w:rPr>
                <w:rFonts w:ascii="Segoe UI" w:hAnsi="Segoe UI" w:cs="Segoe UI"/>
                <w:color w:val="155724"/>
              </w:rPr>
              <w:t>analyze</w:t>
            </w:r>
            <w:proofErr w:type="spellEnd"/>
            <w:r>
              <w:rPr>
                <w:rFonts w:ascii="Segoe UI" w:hAnsi="Segoe UI" w:cs="Segoe UI"/>
                <w:color w:val="155724"/>
              </w:rPr>
              <w:t xml:space="preserve"> complex engineering problems reaching substantiated conclusions using first principles of mathematics, natural sciences, and engineering sciences</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3.Design/development of solutions:</w:t>
            </w:r>
            <w:r>
              <w:rPr>
                <w:rFonts w:ascii="Segoe UI" w:hAnsi="Segoe UI" w:cs="Segoe UI"/>
                <w:color w:val="1557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4.Conduct investigations of complex problems:</w:t>
            </w:r>
            <w:r>
              <w:rPr>
                <w:rFonts w:ascii="Segoe UI" w:hAnsi="Segoe UI" w:cs="Segoe UI"/>
                <w:color w:val="155724"/>
              </w:rPr>
              <w:t>  Use research-based knowledge and research methods including design of experiments, analysis and interpretation of data, and synthesis of the information to provide valid conclusions</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5.Modern tool usage:</w:t>
            </w:r>
            <w:r>
              <w:rPr>
                <w:rFonts w:ascii="Segoe UI" w:hAnsi="Segoe UI" w:cs="Segoe UI"/>
                <w:color w:val="155724"/>
              </w:rPr>
              <w:t xml:space="preserve">  Create, select, and apply appropriate techniques, resources, and modern engineering and IT tools including prediction and </w:t>
            </w:r>
            <w:proofErr w:type="spellStart"/>
            <w:r>
              <w:rPr>
                <w:rFonts w:ascii="Segoe UI" w:hAnsi="Segoe UI" w:cs="Segoe UI"/>
                <w:color w:val="155724"/>
              </w:rPr>
              <w:t>modeling</w:t>
            </w:r>
            <w:proofErr w:type="spellEnd"/>
            <w:r>
              <w:rPr>
                <w:rFonts w:ascii="Segoe UI" w:hAnsi="Segoe UI" w:cs="Segoe UI"/>
                <w:color w:val="155724"/>
              </w:rPr>
              <w:t xml:space="preserve"> to complex engineering activities with an understanding of the limitations</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6.The engineer and society:</w:t>
            </w:r>
            <w:r>
              <w:rPr>
                <w:rFonts w:ascii="Segoe UI" w:hAnsi="Segoe UI" w:cs="Segoe UI"/>
                <w:color w:val="155724"/>
              </w:rPr>
              <w:t>  Apply reasoning informed by the contextual knowledge to assess societal, health, safety, legal and cultural issues and the consequent responsibilities relevant to the professional engineering practice</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7.Environment and sustainability:</w:t>
            </w:r>
            <w:r>
              <w:rPr>
                <w:rFonts w:ascii="Segoe UI" w:hAnsi="Segoe UI" w:cs="Segoe UI"/>
                <w:color w:val="155724"/>
              </w:rPr>
              <w:t>  Understand the impact of the professional engineering solutions in societal and environmental contexts, and demonstrate the knowledge of, and need for sustainable development</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8.Ethics:</w:t>
            </w:r>
            <w:r>
              <w:rPr>
                <w:rFonts w:ascii="Segoe UI" w:hAnsi="Segoe UI" w:cs="Segoe UI"/>
                <w:color w:val="155724"/>
              </w:rPr>
              <w:t>  Apply ethical principles and commit to professional ethics and responsibilities and norms of the engineering practice</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9.Individual and team work:</w:t>
            </w:r>
            <w:r>
              <w:rPr>
                <w:rFonts w:ascii="Segoe UI" w:hAnsi="Segoe UI" w:cs="Segoe UI"/>
                <w:color w:val="155724"/>
              </w:rPr>
              <w:t>  Function effectively as an individual</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10.Communication:</w:t>
            </w:r>
            <w:r>
              <w:rPr>
                <w:rFonts w:ascii="Segoe UI" w:hAnsi="Segoe UI" w:cs="Segoe UI"/>
                <w:color w:val="155724"/>
              </w:rPr>
              <w:t>  Communicate effectively on complex engineering activities with the engineering community and with society at large</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11.Project management and finance:</w:t>
            </w:r>
            <w:r>
              <w:rPr>
                <w:rFonts w:ascii="Segoe UI" w:hAnsi="Segoe UI" w:cs="Segoe UI"/>
                <w:color w:val="155724"/>
              </w:rPr>
              <w:t>  Demonstrate knowledge and understanding of the engineering and management principles and apply these to one’s own work</w:t>
            </w:r>
          </w:p>
        </w:tc>
      </w:tr>
      <w:tr w:rsidR="007F6BFF" w:rsidTr="007F6BFF">
        <w:tc>
          <w:tcPr>
            <w:tcW w:w="0" w:type="auto"/>
            <w:hideMark/>
          </w:tcPr>
          <w:p w:rsidR="007F6BFF" w:rsidRDefault="007F6BFF" w:rsidP="000A1610">
            <w:pPr>
              <w:pStyle w:val="NormalWeb"/>
              <w:shd w:val="clear" w:color="auto" w:fill="C5E0B3" w:themeFill="accent6" w:themeFillTint="66"/>
              <w:spacing w:before="0" w:beforeAutospacing="0"/>
              <w:rPr>
                <w:rFonts w:ascii="Segoe UI" w:hAnsi="Segoe UI" w:cs="Segoe UI"/>
                <w:color w:val="155724"/>
              </w:rPr>
            </w:pPr>
            <w:r>
              <w:rPr>
                <w:rStyle w:val="Strong"/>
                <w:rFonts w:ascii="Segoe UI" w:hAnsi="Segoe UI" w:cs="Segoe UI"/>
                <w:color w:val="155724"/>
              </w:rPr>
              <w:t>12.Life-long learning:</w:t>
            </w:r>
            <w:r>
              <w:rPr>
                <w:rFonts w:ascii="Segoe UI" w:hAnsi="Segoe UI" w:cs="Segoe UI"/>
                <w:color w:val="155724"/>
              </w:rPr>
              <w:t>  Recognize the need for and have the preparation and ability to engage in independent and life-long learning in the broadest context of technological change</w:t>
            </w:r>
          </w:p>
        </w:tc>
      </w:tr>
    </w:tbl>
    <w:p w:rsidR="006A324F" w:rsidRPr="006A324F" w:rsidRDefault="006A324F" w:rsidP="006A324F">
      <w:pPr>
        <w:rPr>
          <w:rFonts w:ascii="Algerian" w:hAnsi="Algerian"/>
          <w:sz w:val="24"/>
          <w:szCs w:val="24"/>
          <w:lang w:val="en-US"/>
        </w:rPr>
      </w:pPr>
      <w:r w:rsidRPr="007F6BFF">
        <w:rPr>
          <w:rFonts w:ascii="Algerian" w:hAnsi="Algerian"/>
          <w:sz w:val="28"/>
          <w:szCs w:val="28"/>
          <w:lang w:val="en-US"/>
        </w:rPr>
        <w:t xml:space="preserve">                                                                                                 </w:t>
      </w:r>
      <w:r w:rsidR="007F6BFF">
        <w:rPr>
          <w:rFonts w:ascii="Algerian" w:hAnsi="Algerian"/>
          <w:sz w:val="28"/>
          <w:szCs w:val="28"/>
          <w:lang w:val="en-US"/>
        </w:rPr>
        <w:t xml:space="preserve">                             </w:t>
      </w:r>
    </w:p>
    <w:sectPr w:rsidR="006A324F" w:rsidRPr="006A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20E0D"/>
    <w:multiLevelType w:val="multilevel"/>
    <w:tmpl w:val="7C3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4F"/>
    <w:rsid w:val="000A01DB"/>
    <w:rsid w:val="000A1610"/>
    <w:rsid w:val="004276EF"/>
    <w:rsid w:val="006A324F"/>
    <w:rsid w:val="006B6ECD"/>
    <w:rsid w:val="007F6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9C08A-4C36-4552-863C-5A5ADB3F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F6BF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F6BF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F6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6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16384">
      <w:bodyDiv w:val="1"/>
      <w:marLeft w:val="0"/>
      <w:marRight w:val="0"/>
      <w:marTop w:val="0"/>
      <w:marBottom w:val="0"/>
      <w:divBdr>
        <w:top w:val="none" w:sz="0" w:space="0" w:color="auto"/>
        <w:left w:val="none" w:sz="0" w:space="0" w:color="auto"/>
        <w:bottom w:val="none" w:sz="0" w:space="0" w:color="auto"/>
        <w:right w:val="none" w:sz="0" w:space="0" w:color="auto"/>
      </w:divBdr>
      <w:divsChild>
        <w:div w:id="392117562">
          <w:marLeft w:val="0"/>
          <w:marRight w:val="0"/>
          <w:marTop w:val="0"/>
          <w:marBottom w:val="0"/>
          <w:divBdr>
            <w:top w:val="single" w:sz="6" w:space="0" w:color="BEE5EB"/>
            <w:left w:val="single" w:sz="6" w:space="0" w:color="BEE5EB"/>
            <w:bottom w:val="single" w:sz="6" w:space="0" w:color="BEE5EB"/>
            <w:right w:val="single" w:sz="6" w:space="0" w:color="BEE5EB"/>
          </w:divBdr>
        </w:div>
        <w:div w:id="1904371267">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1815373256">
      <w:bodyDiv w:val="1"/>
      <w:marLeft w:val="0"/>
      <w:marRight w:val="0"/>
      <w:marTop w:val="0"/>
      <w:marBottom w:val="0"/>
      <w:divBdr>
        <w:top w:val="none" w:sz="0" w:space="0" w:color="auto"/>
        <w:left w:val="none" w:sz="0" w:space="0" w:color="auto"/>
        <w:bottom w:val="none" w:sz="0" w:space="0" w:color="auto"/>
        <w:right w:val="none" w:sz="0" w:space="0" w:color="auto"/>
      </w:divBdr>
    </w:div>
    <w:div w:id="1847599158">
      <w:bodyDiv w:val="1"/>
      <w:marLeft w:val="0"/>
      <w:marRight w:val="0"/>
      <w:marTop w:val="0"/>
      <w:marBottom w:val="0"/>
      <w:divBdr>
        <w:top w:val="none" w:sz="0" w:space="0" w:color="auto"/>
        <w:left w:val="none" w:sz="0" w:space="0" w:color="auto"/>
        <w:bottom w:val="none" w:sz="0" w:space="0" w:color="auto"/>
        <w:right w:val="none" w:sz="0" w:space="0" w:color="auto"/>
      </w:divBdr>
      <w:divsChild>
        <w:div w:id="583299273">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2024-08-01T06:37:00Z</dcterms:created>
  <dcterms:modified xsi:type="dcterms:W3CDTF">2024-08-01T06:54:00Z</dcterms:modified>
</cp:coreProperties>
</file>