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4176324"/>
        <w:docPartObj>
          <w:docPartGallery w:val="Cover Pages"/>
          <w:docPartUnique/>
        </w:docPartObj>
      </w:sdtPr>
      <w:sdtContent>
        <w:p w14:paraId="1C1CBBCC" w14:textId="33528811" w:rsidR="00650B52" w:rsidRDefault="00B23147" w:rsidP="00CF5210">
          <w:r>
            <w:rPr>
              <w:noProof/>
            </w:rPr>
            <w:drawing>
              <wp:inline distT="0" distB="0" distL="0" distR="0" wp14:anchorId="4BD59027" wp14:editId="003AC4E1">
                <wp:extent cx="3200000" cy="546032"/>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200000" cy="546032"/>
                        </a:xfrm>
                        <a:prstGeom prst="rect">
                          <a:avLst/>
                        </a:prstGeom>
                      </pic:spPr>
                    </pic:pic>
                  </a:graphicData>
                </a:graphic>
              </wp:inline>
            </w:drawing>
          </w:r>
          <w:r w:rsidR="003E56AC">
            <w:rPr>
              <w:noProof/>
            </w:rPr>
            <mc:AlternateContent>
              <mc:Choice Requires="wps">
                <w:drawing>
                  <wp:anchor distT="0" distB="0" distL="114300" distR="114300" simplePos="0" relativeHeight="251658241" behindDoc="0" locked="0" layoutInCell="1" allowOverlap="1" wp14:anchorId="5B6A6D9B" wp14:editId="1E10CFC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3930" cy="925195"/>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24546C" w14:textId="77777777" w:rsidR="003E56AC" w:rsidRDefault="003E56AC">
                                <w:pPr>
                                  <w:jc w:val="right"/>
                                  <w:rPr>
                                    <w:color w:val="595959" w:themeColor="text1" w:themeTint="A6"/>
                                    <w:sz w:val="28"/>
                                    <w:szCs w:val="28"/>
                                  </w:rPr>
                                </w:pPr>
                                <w:r>
                                  <w:rPr>
                                    <w:color w:val="595959" w:themeColor="text1" w:themeTint="A6"/>
                                    <w:sz w:val="28"/>
                                    <w:szCs w:val="28"/>
                                  </w:rPr>
                                  <w:t>Internal and Confidential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B6A6D9B" id="_x0000_t202" coordsize="21600,21600" o:spt="202" path="m,l,21600r21600,l21600,xe">
                    <v:stroke joinstyle="miter"/>
                    <v:path gradientshapeok="t" o:connecttype="rect"/>
                  </v:shapetype>
                  <v:shape id="Text Box 7" o:spid="_x0000_s1026" type="#_x0000_t202" style="position:absolute;left:0;text-align:left;margin-left:0;margin-top:0;width:575.9pt;height:72.85pt;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" filled="f" stroked="f" strokeweight=".5pt">
                    <v:textbox inset="126pt,0,54pt,0">
                      <w:txbxContent>
                        <w:p w14:paraId="7124546C" w14:textId="77777777" w:rsidR="003E56AC" w:rsidRDefault="003E56AC">
                          <w:pPr>
                            <w:jc w:val="right"/>
                            <w:rPr>
                              <w:color w:val="595959" w:themeColor="text1" w:themeTint="A6"/>
                              <w:sz w:val="28"/>
                              <w:szCs w:val="28"/>
                            </w:rPr>
                          </w:pPr>
                          <w:r>
                            <w:rPr>
                              <w:color w:val="595959" w:themeColor="text1" w:themeTint="A6"/>
                              <w:sz w:val="28"/>
                              <w:szCs w:val="28"/>
                            </w:rPr>
                            <w:t>Internal and Confidential</w:t>
                          </w:r>
                        </w:p>
                      </w:txbxContent>
                    </v:textbox>
                    <w10:wrap type="square" anchorx="page" anchory="page"/>
                  </v:shape>
                </w:pict>
              </mc:Fallback>
            </mc:AlternateContent>
          </w:r>
          <w:r w:rsidR="003E56AC">
            <w:rPr>
              <w:noProof/>
            </w:rPr>
            <mc:AlternateContent>
              <mc:Choice Requires="wps">
                <w:drawing>
                  <wp:anchor distT="0" distB="0" distL="114300" distR="114300" simplePos="0" relativeHeight="251658240" behindDoc="0" locked="0" layoutInCell="1" allowOverlap="1" wp14:anchorId="01A97464" wp14:editId="58CF26D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158595540"/>
                              <w:p w14:paraId="410238B4" w14:textId="5AE8F990" w:rsidR="003E56AC" w:rsidRDefault="003D4D45">
                                <w:pPr>
                                  <w:jc w:val="right"/>
                                  <w:rPr>
                                    <w:color w:val="4472C4" w:themeColor="accent1"/>
                                    <w:sz w:val="64"/>
                                    <w:szCs w:val="64"/>
                                  </w:rPr>
                                </w:pPr>
                                <w:sdt>
                                  <w:sdtPr>
                                    <w:rPr>
                                      <w:rStyle w:val="Heading2Char"/>
                                      <w:rFonts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Content>
                                    <w:r w:rsidR="00FF2C33">
                                      <w:rPr>
                                        <w:rStyle w:val="Heading2Char"/>
                                        <w:rFonts w:cstheme="majorBidi"/>
                                        <w:b w:val="0"/>
                                        <w:bCs w:val="0"/>
                                        <w:spacing w:val="-10"/>
                                        <w:kern w:val="28"/>
                                        <w:sz w:val="36"/>
                                        <w:szCs w:val="56"/>
                                      </w:rPr>
                                      <w:t>Netradyne</w:t>
                                    </w:r>
                                    <w:r w:rsidR="00FF2C33" w:rsidRPr="006555C5">
                                      <w:rPr>
                                        <w:rStyle w:val="Heading2Char"/>
                                        <w:rFonts w:cstheme="majorBidi"/>
                                        <w:b w:val="0"/>
                                        <w:bCs w:val="0"/>
                                        <w:spacing w:val="-10"/>
                                        <w:kern w:val="28"/>
                                        <w:sz w:val="36"/>
                                        <w:szCs w:val="56"/>
                                      </w:rPr>
                                      <w:t xml:space="preserve"> </w:t>
                                    </w:r>
                                    <w:r w:rsidR="00FF2C33">
                                      <w:rPr>
                                        <w:rStyle w:val="Heading2Char"/>
                                        <w:rFonts w:cstheme="majorBidi"/>
                                        <w:b w:val="0"/>
                                        <w:bCs w:val="0"/>
                                        <w:spacing w:val="-10"/>
                                        <w:kern w:val="28"/>
                                        <w:sz w:val="36"/>
                                        <w:szCs w:val="56"/>
                                      </w:rPr>
                                      <w:t>Personal Data Protection Policy</w:t>
                                    </w:r>
                                  </w:sdtContent>
                                </w:sdt>
                                <w:bookmarkEnd w:id="0"/>
                              </w:p>
                              <w:p w14:paraId="0D462431" w14:textId="412BC9B3" w:rsidR="003E56AC" w:rsidRDefault="003D4D45">
                                <w:pPr>
                                  <w:jc w:val="right"/>
                                  <w:rPr>
                                    <w:smallCaps/>
                                    <w:color w:val="404040" w:themeColor="text1" w:themeTint="BF"/>
                                    <w:sz w:val="36"/>
                                    <w:szCs w:val="36"/>
                                  </w:rPr>
                                </w:pPr>
                                <w:sdt>
                                  <w:sdtPr>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Content>
                                    <w:r w:rsidR="003E56AC">
                                      <w:rPr>
                                        <w:color w:val="404040" w:themeColor="text1" w:themeTint="BF"/>
                                        <w:sz w:val="24"/>
                                        <w:szCs w:val="24"/>
                                      </w:rPr>
                                      <w:t xml:space="preserve">     </w:t>
                                    </w:r>
                                  </w:sdtContent>
                                </w:sdt>
                                <w:r w:rsidR="00AB6F5B">
                                  <w:rPr>
                                    <w:color w:val="404040" w:themeColor="text1" w:themeTint="BF"/>
                                    <w:sz w:val="24"/>
                                    <w:szCs w:val="24"/>
                                  </w:rPr>
                                  <w:t>V2.</w:t>
                                </w:r>
                                <w:r w:rsidR="00DF5757">
                                  <w:rPr>
                                    <w:color w:val="404040" w:themeColor="text1" w:themeTint="BF"/>
                                    <w:sz w:val="24"/>
                                    <w:szCs w:val="24"/>
                                  </w:rPr>
                                  <w:t>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1A97464" id="Text Box 8" o:spid="_x0000_s1027"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bookmarkStart w:id="1" w:name="_Toc158595540"/>
                        <w:p w14:paraId="410238B4" w14:textId="5AE8F990" w:rsidR="003E56AC" w:rsidRDefault="003D4D45">
                          <w:pPr>
                            <w:jc w:val="right"/>
                            <w:rPr>
                              <w:color w:val="4472C4" w:themeColor="accent1"/>
                              <w:sz w:val="64"/>
                              <w:szCs w:val="64"/>
                            </w:rPr>
                          </w:pPr>
                          <w:sdt>
                            <w:sdtPr>
                              <w:rPr>
                                <w:rStyle w:val="Heading2Char"/>
                                <w:rFonts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Content>
                              <w:r w:rsidR="00FF2C33">
                                <w:rPr>
                                  <w:rStyle w:val="Heading2Char"/>
                                  <w:rFonts w:cstheme="majorBidi"/>
                                  <w:b w:val="0"/>
                                  <w:bCs w:val="0"/>
                                  <w:spacing w:val="-10"/>
                                  <w:kern w:val="28"/>
                                  <w:sz w:val="36"/>
                                  <w:szCs w:val="56"/>
                                </w:rPr>
                                <w:t>Netradyne</w:t>
                              </w:r>
                              <w:r w:rsidR="00FF2C33" w:rsidRPr="006555C5">
                                <w:rPr>
                                  <w:rStyle w:val="Heading2Char"/>
                                  <w:rFonts w:cstheme="majorBidi"/>
                                  <w:b w:val="0"/>
                                  <w:bCs w:val="0"/>
                                  <w:spacing w:val="-10"/>
                                  <w:kern w:val="28"/>
                                  <w:sz w:val="36"/>
                                  <w:szCs w:val="56"/>
                                </w:rPr>
                                <w:t xml:space="preserve"> </w:t>
                              </w:r>
                              <w:r w:rsidR="00FF2C33">
                                <w:rPr>
                                  <w:rStyle w:val="Heading2Char"/>
                                  <w:rFonts w:cstheme="majorBidi"/>
                                  <w:b w:val="0"/>
                                  <w:bCs w:val="0"/>
                                  <w:spacing w:val="-10"/>
                                  <w:kern w:val="28"/>
                                  <w:sz w:val="36"/>
                                  <w:szCs w:val="56"/>
                                </w:rPr>
                                <w:t>Personal Data Protection Policy</w:t>
                              </w:r>
                            </w:sdtContent>
                          </w:sdt>
                          <w:bookmarkEnd w:id="1"/>
                        </w:p>
                        <w:p w14:paraId="0D462431" w14:textId="412BC9B3" w:rsidR="003E56AC" w:rsidRDefault="003D4D45">
                          <w:pPr>
                            <w:jc w:val="right"/>
                            <w:rPr>
                              <w:smallCaps/>
                              <w:color w:val="404040" w:themeColor="text1" w:themeTint="BF"/>
                              <w:sz w:val="36"/>
                              <w:szCs w:val="36"/>
                            </w:rPr>
                          </w:pPr>
                          <w:sdt>
                            <w:sdtPr>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Content>
                              <w:r w:rsidR="003E56AC">
                                <w:rPr>
                                  <w:color w:val="404040" w:themeColor="text1" w:themeTint="BF"/>
                                  <w:sz w:val="24"/>
                                  <w:szCs w:val="24"/>
                                </w:rPr>
                                <w:t xml:space="preserve">     </w:t>
                              </w:r>
                            </w:sdtContent>
                          </w:sdt>
                          <w:r w:rsidR="00AB6F5B">
                            <w:rPr>
                              <w:color w:val="404040" w:themeColor="text1" w:themeTint="BF"/>
                              <w:sz w:val="24"/>
                              <w:szCs w:val="24"/>
                            </w:rPr>
                            <w:t>V2.</w:t>
                          </w:r>
                          <w:r w:rsidR="00DF5757">
                            <w:rPr>
                              <w:color w:val="404040" w:themeColor="text1" w:themeTint="BF"/>
                              <w:sz w:val="24"/>
                              <w:szCs w:val="24"/>
                            </w:rPr>
                            <w:t>5</w:t>
                          </w:r>
                        </w:p>
                      </w:txbxContent>
                    </v:textbox>
                    <w10:wrap type="square" anchorx="page" anchory="page"/>
                  </v:shape>
                </w:pict>
              </mc:Fallback>
            </mc:AlternateContent>
          </w:r>
          <w:r w:rsidR="003E56AC">
            <w:br w:type="page"/>
          </w:r>
        </w:p>
      </w:sdtContent>
    </w:sdt>
    <w:p w14:paraId="2776A8E7" w14:textId="68B150C4" w:rsidR="009C005D" w:rsidRPr="009416BB" w:rsidRDefault="009C005D" w:rsidP="7222427F">
      <w:pPr>
        <w:pStyle w:val="Heading3"/>
        <w:numPr>
          <w:ilvl w:val="2"/>
          <w:numId w:val="0"/>
        </w:numPr>
        <w:rPr>
          <w:rFonts w:eastAsiaTheme="majorEastAsia"/>
        </w:rPr>
      </w:pPr>
      <w:bookmarkStart w:id="2" w:name="_Toc1849142256"/>
      <w:r>
        <w:t>Document Control</w:t>
      </w:r>
      <w:bookmarkEnd w:id="2"/>
    </w:p>
    <w:tbl>
      <w:tblPr>
        <w:tblW w:w="9429" w:type="dxa"/>
        <w:tblLayout w:type="fixed"/>
        <w:tblLook w:val="04A0" w:firstRow="1" w:lastRow="0" w:firstColumn="1" w:lastColumn="0" w:noHBand="0" w:noVBand="1"/>
      </w:tblPr>
      <w:tblGrid>
        <w:gridCol w:w="3412"/>
        <w:gridCol w:w="6017"/>
      </w:tblGrid>
      <w:tr w:rsidR="0006246B" w:rsidRPr="00E1700A" w14:paraId="18A653DE" w14:textId="77777777" w:rsidTr="51109B02">
        <w:trPr>
          <w:trHeight w:val="288"/>
        </w:trPr>
        <w:tc>
          <w:tcPr>
            <w:tcW w:w="3412" w:type="dxa"/>
            <w:tcBorders>
              <w:top w:val="single" w:sz="6" w:space="0" w:color="auto"/>
              <w:left w:val="single" w:sz="6" w:space="0" w:color="auto"/>
              <w:bottom w:val="single" w:sz="6" w:space="0" w:color="auto"/>
              <w:right w:val="single" w:sz="6" w:space="0" w:color="auto"/>
            </w:tcBorders>
            <w:vAlign w:val="center"/>
          </w:tcPr>
          <w:p w14:paraId="0E3A7FFC" w14:textId="77777777" w:rsidR="0006246B" w:rsidRPr="00373998" w:rsidRDefault="0006246B" w:rsidP="0006246B">
            <w:pPr>
              <w:spacing w:after="117" w:line="240" w:lineRule="auto"/>
              <w:ind w:left="10" w:hanging="10"/>
              <w:rPr>
                <w:rFonts w:eastAsia="Bookman Old Style" w:cs="Bookman Old Style"/>
                <w:color w:val="0070C0"/>
              </w:rPr>
            </w:pPr>
            <w:r w:rsidRPr="003B2516">
              <w:rPr>
                <w:rFonts w:eastAsia="Bookman Old Style" w:cs="Bookman Old Style"/>
                <w:b/>
                <w:bCs/>
                <w:color w:val="0070C0"/>
              </w:rPr>
              <w:t xml:space="preserve">Document </w:t>
            </w:r>
            <w:r>
              <w:rPr>
                <w:rFonts w:eastAsia="Bookman Old Style" w:cs="Bookman Old Style"/>
                <w:b/>
                <w:bCs/>
                <w:color w:val="0070C0"/>
              </w:rPr>
              <w:t>ID</w:t>
            </w:r>
          </w:p>
        </w:tc>
        <w:tc>
          <w:tcPr>
            <w:tcW w:w="6017" w:type="dxa"/>
            <w:tcBorders>
              <w:top w:val="single" w:sz="6" w:space="0" w:color="auto"/>
              <w:left w:val="single" w:sz="6" w:space="0" w:color="auto"/>
              <w:bottom w:val="single" w:sz="6" w:space="0" w:color="auto"/>
              <w:right w:val="single" w:sz="6" w:space="0" w:color="auto"/>
            </w:tcBorders>
            <w:vAlign w:val="center"/>
          </w:tcPr>
          <w:p w14:paraId="754CA6C2" w14:textId="641760BA" w:rsidR="0006246B" w:rsidRPr="00E1700A" w:rsidRDefault="002857DA"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NDPRIVACY</w:t>
            </w:r>
            <w:r w:rsidR="00D054BA">
              <w:rPr>
                <w:rFonts w:eastAsia="Bookman Old Style" w:cs="Bookman Old Style"/>
                <w:color w:val="000000" w:themeColor="text1"/>
              </w:rPr>
              <w:t>2021001</w:t>
            </w:r>
          </w:p>
        </w:tc>
      </w:tr>
      <w:tr w:rsidR="0006246B" w:rsidRPr="00E1700A" w14:paraId="70657C53" w14:textId="77777777" w:rsidTr="51109B02">
        <w:trPr>
          <w:trHeight w:val="288"/>
        </w:trPr>
        <w:tc>
          <w:tcPr>
            <w:tcW w:w="3412" w:type="dxa"/>
            <w:tcBorders>
              <w:top w:val="single" w:sz="6" w:space="0" w:color="auto"/>
              <w:left w:val="single" w:sz="6" w:space="0" w:color="auto"/>
              <w:bottom w:val="single" w:sz="6" w:space="0" w:color="auto"/>
              <w:right w:val="single" w:sz="6" w:space="0" w:color="auto"/>
            </w:tcBorders>
            <w:vAlign w:val="center"/>
          </w:tcPr>
          <w:p w14:paraId="3FEC3AFF" w14:textId="77777777" w:rsidR="0006246B" w:rsidRPr="00373998" w:rsidRDefault="0006246B" w:rsidP="0006246B">
            <w:pPr>
              <w:spacing w:after="117" w:line="240" w:lineRule="auto"/>
              <w:ind w:left="10" w:hanging="10"/>
              <w:rPr>
                <w:rFonts w:eastAsia="Bookman Old Style" w:cs="Bookman Old Style"/>
                <w:b/>
                <w:bCs/>
                <w:color w:val="0070C0"/>
              </w:rPr>
            </w:pPr>
            <w:r w:rsidRPr="003B2516">
              <w:rPr>
                <w:rFonts w:eastAsia="Bookman Old Style" w:cs="Bookman Old Style"/>
                <w:b/>
                <w:bCs/>
                <w:color w:val="0070C0"/>
              </w:rPr>
              <w:t>Document Name</w:t>
            </w:r>
          </w:p>
        </w:tc>
        <w:tc>
          <w:tcPr>
            <w:tcW w:w="6017" w:type="dxa"/>
            <w:tcBorders>
              <w:top w:val="single" w:sz="6" w:space="0" w:color="auto"/>
              <w:left w:val="single" w:sz="6" w:space="0" w:color="auto"/>
              <w:bottom w:val="single" w:sz="6" w:space="0" w:color="auto"/>
              <w:right w:val="single" w:sz="6" w:space="0" w:color="auto"/>
            </w:tcBorders>
            <w:vAlign w:val="center"/>
          </w:tcPr>
          <w:p w14:paraId="64A03030" w14:textId="1D418DD4" w:rsidR="0006246B" w:rsidRPr="00E1700A" w:rsidRDefault="00F16F92"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Netradyne</w:t>
            </w:r>
            <w:r w:rsidR="00F92776">
              <w:rPr>
                <w:rFonts w:eastAsia="Bookman Old Style" w:cs="Bookman Old Style"/>
                <w:color w:val="000000" w:themeColor="text1"/>
              </w:rPr>
              <w:t xml:space="preserve"> </w:t>
            </w:r>
            <w:r w:rsidR="00FF2C33">
              <w:rPr>
                <w:rFonts w:eastAsia="Bookman Old Style" w:cs="Bookman Old Style"/>
                <w:color w:val="000000" w:themeColor="text1"/>
              </w:rPr>
              <w:t>Personal Data Protection Policy</w:t>
            </w:r>
          </w:p>
        </w:tc>
      </w:tr>
      <w:tr w:rsidR="0006246B" w:rsidRPr="00E1700A" w14:paraId="6E297ED3" w14:textId="77777777" w:rsidTr="51109B02">
        <w:trPr>
          <w:trHeight w:val="288"/>
        </w:trPr>
        <w:tc>
          <w:tcPr>
            <w:tcW w:w="3412" w:type="dxa"/>
            <w:tcBorders>
              <w:top w:val="single" w:sz="6" w:space="0" w:color="auto"/>
              <w:left w:val="single" w:sz="6" w:space="0" w:color="auto"/>
              <w:bottom w:val="single" w:sz="6" w:space="0" w:color="auto"/>
              <w:right w:val="single" w:sz="6" w:space="0" w:color="auto"/>
            </w:tcBorders>
            <w:vAlign w:val="center"/>
          </w:tcPr>
          <w:p w14:paraId="005F62A9"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Status</w:t>
            </w:r>
          </w:p>
        </w:tc>
        <w:tc>
          <w:tcPr>
            <w:tcW w:w="6017" w:type="dxa"/>
            <w:tcBorders>
              <w:top w:val="single" w:sz="6" w:space="0" w:color="auto"/>
              <w:left w:val="single" w:sz="6" w:space="0" w:color="auto"/>
              <w:bottom w:val="single" w:sz="6" w:space="0" w:color="auto"/>
              <w:right w:val="single" w:sz="6" w:space="0" w:color="auto"/>
            </w:tcBorders>
            <w:vAlign w:val="center"/>
          </w:tcPr>
          <w:p w14:paraId="66588D16" w14:textId="3248008A" w:rsidR="0006246B" w:rsidRPr="00E1700A" w:rsidRDefault="00F36DDB"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Released</w:t>
            </w:r>
          </w:p>
        </w:tc>
      </w:tr>
      <w:tr w:rsidR="0006246B" w:rsidRPr="00E1700A" w14:paraId="29BD8F39" w14:textId="77777777" w:rsidTr="51109B02">
        <w:trPr>
          <w:trHeight w:val="288"/>
        </w:trPr>
        <w:tc>
          <w:tcPr>
            <w:tcW w:w="3412" w:type="dxa"/>
            <w:tcBorders>
              <w:top w:val="single" w:sz="6" w:space="0" w:color="auto"/>
              <w:left w:val="single" w:sz="6" w:space="0" w:color="auto"/>
              <w:bottom w:val="single" w:sz="6" w:space="0" w:color="auto"/>
              <w:right w:val="single" w:sz="6" w:space="0" w:color="auto"/>
            </w:tcBorders>
            <w:vAlign w:val="center"/>
          </w:tcPr>
          <w:p w14:paraId="48F35A37" w14:textId="69B15F6E" w:rsidR="0006246B" w:rsidRPr="00373998" w:rsidRDefault="0006246B" w:rsidP="0006246B">
            <w:pPr>
              <w:spacing w:after="117" w:line="240" w:lineRule="auto"/>
              <w:ind w:left="10" w:hanging="10"/>
              <w:rPr>
                <w:rFonts w:eastAsia="Bookman Old Style" w:cs="Bookman Old Style"/>
                <w:b/>
                <w:bCs/>
                <w:color w:val="0070C0"/>
              </w:rPr>
            </w:pPr>
            <w:r>
              <w:rPr>
                <w:rFonts w:eastAsia="Bookman Old Style" w:cs="Bookman Old Style"/>
                <w:b/>
                <w:bCs/>
                <w:color w:val="0070C0"/>
              </w:rPr>
              <w:t>Document</w:t>
            </w:r>
            <w:r w:rsidR="0035305C">
              <w:rPr>
                <w:rFonts w:eastAsia="Bookman Old Style" w:cs="Bookman Old Style"/>
                <w:b/>
                <w:bCs/>
                <w:color w:val="0070C0"/>
              </w:rPr>
              <w:t xml:space="preserve"> Initial</w:t>
            </w:r>
            <w:r>
              <w:rPr>
                <w:rFonts w:eastAsia="Bookman Old Style" w:cs="Bookman Old Style"/>
                <w:b/>
                <w:bCs/>
                <w:color w:val="0070C0"/>
              </w:rPr>
              <w:t xml:space="preserve"> Release </w:t>
            </w:r>
            <w:r w:rsidRPr="003B2516">
              <w:rPr>
                <w:rFonts w:eastAsia="Bookman Old Style" w:cs="Bookman Old Style"/>
                <w:b/>
                <w:bCs/>
                <w:color w:val="0070C0"/>
              </w:rPr>
              <w:t>Date</w:t>
            </w:r>
          </w:p>
        </w:tc>
        <w:tc>
          <w:tcPr>
            <w:tcW w:w="6017" w:type="dxa"/>
            <w:tcBorders>
              <w:top w:val="single" w:sz="6" w:space="0" w:color="auto"/>
              <w:left w:val="single" w:sz="6" w:space="0" w:color="auto"/>
              <w:bottom w:val="single" w:sz="6" w:space="0" w:color="auto"/>
              <w:right w:val="single" w:sz="6" w:space="0" w:color="auto"/>
            </w:tcBorders>
            <w:vAlign w:val="center"/>
          </w:tcPr>
          <w:p w14:paraId="3AD8C9AC" w14:textId="1D5D38F6" w:rsidR="0006246B" w:rsidRPr="00E1700A" w:rsidRDefault="00B0799F"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01</w:t>
            </w:r>
            <w:r w:rsidR="0006246B">
              <w:rPr>
                <w:rFonts w:eastAsia="Bookman Old Style" w:cs="Bookman Old Style"/>
                <w:color w:val="000000" w:themeColor="text1"/>
              </w:rPr>
              <w:t>-</w:t>
            </w:r>
            <w:r>
              <w:rPr>
                <w:rFonts w:eastAsia="Bookman Old Style" w:cs="Bookman Old Style"/>
                <w:color w:val="000000" w:themeColor="text1"/>
              </w:rPr>
              <w:t>MAR</w:t>
            </w:r>
            <w:r w:rsidR="0006246B">
              <w:rPr>
                <w:rFonts w:eastAsia="Bookman Old Style" w:cs="Bookman Old Style"/>
                <w:color w:val="000000" w:themeColor="text1"/>
              </w:rPr>
              <w:t>-</w:t>
            </w:r>
            <w:r w:rsidR="007A279D">
              <w:rPr>
                <w:rFonts w:eastAsia="Bookman Old Style" w:cs="Bookman Old Style"/>
                <w:color w:val="000000" w:themeColor="text1"/>
              </w:rPr>
              <w:t>202</w:t>
            </w:r>
            <w:r>
              <w:rPr>
                <w:rFonts w:eastAsia="Bookman Old Style" w:cs="Bookman Old Style"/>
                <w:color w:val="000000" w:themeColor="text1"/>
              </w:rPr>
              <w:t>1</w:t>
            </w:r>
          </w:p>
        </w:tc>
      </w:tr>
      <w:tr w:rsidR="0006246B" w:rsidRPr="00E1700A" w14:paraId="2A82E268" w14:textId="77777777" w:rsidTr="51109B02">
        <w:trPr>
          <w:trHeight w:val="288"/>
        </w:trPr>
        <w:tc>
          <w:tcPr>
            <w:tcW w:w="3412" w:type="dxa"/>
            <w:tcBorders>
              <w:top w:val="single" w:sz="6" w:space="0" w:color="auto"/>
              <w:left w:val="single" w:sz="6" w:space="0" w:color="auto"/>
              <w:bottom w:val="single" w:sz="6" w:space="0" w:color="auto"/>
              <w:right w:val="single" w:sz="6" w:space="0" w:color="auto"/>
            </w:tcBorders>
            <w:vAlign w:val="center"/>
          </w:tcPr>
          <w:p w14:paraId="682C38F9" w14:textId="77777777" w:rsidR="0006246B" w:rsidRPr="00373998" w:rsidRDefault="0006246B" w:rsidP="0006246B">
            <w:pPr>
              <w:spacing w:after="117" w:line="240" w:lineRule="auto"/>
              <w:ind w:left="10" w:hanging="10"/>
              <w:rPr>
                <w:rFonts w:eastAsia="Bookman Old Style" w:cs="Bookman Old Style"/>
                <w:b/>
                <w:bCs/>
                <w:color w:val="0070C0"/>
              </w:rPr>
            </w:pPr>
            <w:r>
              <w:rPr>
                <w:rFonts w:eastAsia="Bookman Old Style" w:cs="Bookman Old Style"/>
                <w:b/>
                <w:bCs/>
                <w:color w:val="0070C0"/>
              </w:rPr>
              <w:t>Document Author</w:t>
            </w:r>
          </w:p>
        </w:tc>
        <w:tc>
          <w:tcPr>
            <w:tcW w:w="6017" w:type="dxa"/>
            <w:tcBorders>
              <w:top w:val="single" w:sz="6" w:space="0" w:color="auto"/>
              <w:left w:val="single" w:sz="6" w:space="0" w:color="auto"/>
              <w:bottom w:val="single" w:sz="6" w:space="0" w:color="auto"/>
              <w:right w:val="single" w:sz="6" w:space="0" w:color="auto"/>
            </w:tcBorders>
            <w:vAlign w:val="center"/>
          </w:tcPr>
          <w:p w14:paraId="03929C4D" w14:textId="64B245B7" w:rsidR="0006246B" w:rsidRPr="00E1700A" w:rsidRDefault="001E4C92" w:rsidP="0006246B">
            <w:pPr>
              <w:spacing w:after="117" w:line="240" w:lineRule="auto"/>
              <w:ind w:left="10" w:hanging="10"/>
              <w:rPr>
                <w:rFonts w:eastAsia="Bookman Old Style" w:cs="Bookman Old Style"/>
                <w:color w:val="000000" w:themeColor="text1"/>
              </w:rPr>
            </w:pPr>
            <w:r>
              <w:t>Shivesh Ranjan</w:t>
            </w:r>
          </w:p>
        </w:tc>
      </w:tr>
      <w:tr w:rsidR="0006246B" w:rsidRPr="00A744A5" w14:paraId="08E12FDD" w14:textId="77777777" w:rsidTr="51109B02">
        <w:trPr>
          <w:trHeight w:val="288"/>
        </w:trPr>
        <w:tc>
          <w:tcPr>
            <w:tcW w:w="3412" w:type="dxa"/>
            <w:tcBorders>
              <w:top w:val="single" w:sz="6" w:space="0" w:color="auto"/>
              <w:left w:val="single" w:sz="6" w:space="0" w:color="auto"/>
              <w:bottom w:val="single" w:sz="6" w:space="0" w:color="auto"/>
              <w:right w:val="single" w:sz="6" w:space="0" w:color="auto"/>
            </w:tcBorders>
            <w:vAlign w:val="center"/>
          </w:tcPr>
          <w:p w14:paraId="7A347E9A" w14:textId="77777777" w:rsidR="0006246B" w:rsidRPr="00373998" w:rsidRDefault="0006246B" w:rsidP="0006246B">
            <w:pPr>
              <w:spacing w:after="117" w:line="240" w:lineRule="auto"/>
              <w:ind w:left="10" w:hanging="10"/>
              <w:rPr>
                <w:rFonts w:eastAsia="Bookman Old Style" w:cs="Bookman Old Style"/>
                <w:b/>
                <w:bCs/>
                <w:color w:val="0070C0"/>
              </w:rPr>
            </w:pPr>
            <w:r>
              <w:rPr>
                <w:rFonts w:eastAsia="Bookman Old Style" w:cs="Bookman Old Style"/>
                <w:b/>
                <w:bCs/>
                <w:color w:val="0070C0"/>
              </w:rPr>
              <w:t>Document Content Contributors</w:t>
            </w:r>
          </w:p>
        </w:tc>
        <w:tc>
          <w:tcPr>
            <w:tcW w:w="6017" w:type="dxa"/>
            <w:tcBorders>
              <w:top w:val="single" w:sz="6" w:space="0" w:color="auto"/>
              <w:left w:val="single" w:sz="6" w:space="0" w:color="auto"/>
              <w:bottom w:val="single" w:sz="6" w:space="0" w:color="auto"/>
              <w:right w:val="single" w:sz="6" w:space="0" w:color="auto"/>
            </w:tcBorders>
            <w:vAlign w:val="center"/>
          </w:tcPr>
          <w:p w14:paraId="4AE9DD72" w14:textId="3E3FBE40" w:rsidR="0006246B" w:rsidRPr="00A744A5" w:rsidRDefault="00A744A5" w:rsidP="0006246B">
            <w:pPr>
              <w:spacing w:after="117" w:line="240" w:lineRule="auto"/>
              <w:ind w:left="10" w:hanging="10"/>
              <w:rPr>
                <w:rFonts w:eastAsia="Bookman Old Style" w:cs="Bookman Old Style"/>
                <w:color w:val="000000" w:themeColor="text1"/>
              </w:rPr>
            </w:pPr>
            <w:r w:rsidRPr="00A744A5">
              <w:rPr>
                <w:rFonts w:eastAsia="Bookman Old Style" w:cs="Bookman Old Style"/>
                <w:color w:val="000000" w:themeColor="text1"/>
              </w:rPr>
              <w:t>Michael Campos, Kristi Griffith, Shiv</w:t>
            </w:r>
            <w:r>
              <w:rPr>
                <w:rFonts w:eastAsia="Bookman Old Style" w:cs="Bookman Old Style"/>
                <w:color w:val="000000" w:themeColor="text1"/>
              </w:rPr>
              <w:t>esh Ranjan</w:t>
            </w:r>
          </w:p>
        </w:tc>
      </w:tr>
      <w:tr w:rsidR="0006246B" w:rsidRPr="00A65F2C" w14:paraId="6EB60628" w14:textId="77777777" w:rsidTr="51109B02">
        <w:trPr>
          <w:trHeight w:val="288"/>
        </w:trPr>
        <w:tc>
          <w:tcPr>
            <w:tcW w:w="3412" w:type="dxa"/>
            <w:tcBorders>
              <w:top w:val="single" w:sz="6" w:space="0" w:color="auto"/>
              <w:left w:val="single" w:sz="6" w:space="0" w:color="auto"/>
              <w:bottom w:val="single" w:sz="6" w:space="0" w:color="auto"/>
              <w:right w:val="single" w:sz="6" w:space="0" w:color="auto"/>
            </w:tcBorders>
            <w:vAlign w:val="center"/>
          </w:tcPr>
          <w:p w14:paraId="41F5F5C5"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Signatory</w:t>
            </w:r>
          </w:p>
        </w:tc>
        <w:tc>
          <w:tcPr>
            <w:tcW w:w="6017" w:type="dxa"/>
            <w:tcBorders>
              <w:top w:val="single" w:sz="6" w:space="0" w:color="auto"/>
              <w:left w:val="single" w:sz="6" w:space="0" w:color="auto"/>
              <w:bottom w:val="single" w:sz="6" w:space="0" w:color="auto"/>
              <w:right w:val="single" w:sz="6" w:space="0" w:color="auto"/>
            </w:tcBorders>
            <w:vAlign w:val="center"/>
          </w:tcPr>
          <w:p w14:paraId="13E26128" w14:textId="72B6FE5A" w:rsidR="0006246B" w:rsidRPr="00FF2C33" w:rsidRDefault="00E11CED" w:rsidP="0006246B">
            <w:pPr>
              <w:spacing w:after="117" w:line="240" w:lineRule="auto"/>
              <w:ind w:left="10" w:hanging="10"/>
              <w:rPr>
                <w:rFonts w:eastAsia="Bookman Old Style" w:cs="Bookman Old Style"/>
                <w:color w:val="000000" w:themeColor="text1"/>
                <w:lang w:val="fr-FR"/>
              </w:rPr>
            </w:pPr>
            <w:r>
              <w:rPr>
                <w:rFonts w:eastAsia="Bookman Old Style" w:cs="Bookman Old Style"/>
                <w:color w:val="000000" w:themeColor="text1"/>
                <w:lang w:val="fr-FR"/>
              </w:rPr>
              <w:t>Michael Campos</w:t>
            </w:r>
            <w:r w:rsidR="003712D4" w:rsidRPr="00FF2C33">
              <w:rPr>
                <w:rFonts w:eastAsia="Bookman Old Style" w:cs="Bookman Old Style"/>
                <w:color w:val="000000" w:themeColor="text1"/>
                <w:lang w:val="fr-FR"/>
              </w:rPr>
              <w:t>&lt;</w:t>
            </w:r>
            <w:r>
              <w:rPr>
                <w:rFonts w:eastAsia="Bookman Old Style" w:cs="Bookman Old Style"/>
                <w:color w:val="000000" w:themeColor="text1"/>
                <w:lang w:val="fr-FR"/>
              </w:rPr>
              <w:t>michael.campos</w:t>
            </w:r>
            <w:r w:rsidR="003712D4" w:rsidRPr="00FF2C33">
              <w:rPr>
                <w:rFonts w:eastAsia="Bookman Old Style" w:cs="Bookman Old Style"/>
                <w:color w:val="000000" w:themeColor="text1"/>
                <w:lang w:val="fr-FR"/>
              </w:rPr>
              <w:t>@</w:t>
            </w:r>
            <w:r w:rsidR="00F16F92" w:rsidRPr="00FF2C33">
              <w:rPr>
                <w:rFonts w:eastAsia="Bookman Old Style" w:cs="Bookman Old Style"/>
                <w:color w:val="000000" w:themeColor="text1"/>
                <w:lang w:val="fr-FR"/>
              </w:rPr>
              <w:t>Netradyne</w:t>
            </w:r>
            <w:r w:rsidR="003712D4" w:rsidRPr="00FF2C33">
              <w:rPr>
                <w:rFonts w:eastAsia="Bookman Old Style" w:cs="Bookman Old Style"/>
                <w:color w:val="000000" w:themeColor="text1"/>
                <w:lang w:val="fr-FR"/>
              </w:rPr>
              <w:t>.com &gt;</w:t>
            </w:r>
          </w:p>
        </w:tc>
      </w:tr>
      <w:tr w:rsidR="0006246B" w:rsidRPr="00A65F2C" w14:paraId="343A252A" w14:textId="77777777" w:rsidTr="51109B02">
        <w:trPr>
          <w:trHeight w:val="288"/>
        </w:trPr>
        <w:tc>
          <w:tcPr>
            <w:tcW w:w="3412" w:type="dxa"/>
            <w:tcBorders>
              <w:top w:val="single" w:sz="6" w:space="0" w:color="auto"/>
              <w:left w:val="single" w:sz="6" w:space="0" w:color="auto"/>
              <w:bottom w:val="single" w:sz="6" w:space="0" w:color="auto"/>
              <w:right w:val="single" w:sz="6" w:space="0" w:color="auto"/>
            </w:tcBorders>
            <w:vAlign w:val="center"/>
          </w:tcPr>
          <w:p w14:paraId="58172970"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Owner</w:t>
            </w:r>
          </w:p>
        </w:tc>
        <w:tc>
          <w:tcPr>
            <w:tcW w:w="6017" w:type="dxa"/>
            <w:tcBorders>
              <w:top w:val="single" w:sz="6" w:space="0" w:color="auto"/>
              <w:left w:val="single" w:sz="6" w:space="0" w:color="auto"/>
              <w:bottom w:val="single" w:sz="6" w:space="0" w:color="auto"/>
              <w:right w:val="single" w:sz="6" w:space="0" w:color="auto"/>
            </w:tcBorders>
            <w:vAlign w:val="center"/>
          </w:tcPr>
          <w:p w14:paraId="0B9D7FBD" w14:textId="4BC595B0" w:rsidR="0006246B" w:rsidRPr="00FF2C33" w:rsidRDefault="00A744A5" w:rsidP="0006246B">
            <w:pPr>
              <w:spacing w:after="117" w:line="240" w:lineRule="auto"/>
              <w:ind w:left="10" w:hanging="10"/>
              <w:rPr>
                <w:rFonts w:eastAsia="Bookman Old Style" w:cs="Bookman Old Style"/>
                <w:color w:val="000000" w:themeColor="text1"/>
                <w:lang w:val="fr-FR"/>
              </w:rPr>
            </w:pPr>
            <w:r>
              <w:rPr>
                <w:rFonts w:eastAsia="Bookman Old Style" w:cs="Bookman Old Style"/>
                <w:color w:val="000000" w:themeColor="text1"/>
                <w:lang w:val="fr-FR"/>
              </w:rPr>
              <w:t>Michael Campos</w:t>
            </w:r>
            <w:r w:rsidRPr="00FF2C33">
              <w:rPr>
                <w:rFonts w:eastAsia="Bookman Old Style" w:cs="Bookman Old Style"/>
                <w:color w:val="000000" w:themeColor="text1"/>
                <w:lang w:val="fr-FR"/>
              </w:rPr>
              <w:t>&lt;</w:t>
            </w:r>
            <w:r>
              <w:rPr>
                <w:rFonts w:eastAsia="Bookman Old Style" w:cs="Bookman Old Style"/>
                <w:color w:val="000000" w:themeColor="text1"/>
                <w:lang w:val="fr-FR"/>
              </w:rPr>
              <w:t>michael.campos</w:t>
            </w:r>
            <w:r w:rsidRPr="00FF2C33">
              <w:rPr>
                <w:rFonts w:eastAsia="Bookman Old Style" w:cs="Bookman Old Style"/>
                <w:color w:val="000000" w:themeColor="text1"/>
                <w:lang w:val="fr-FR"/>
              </w:rPr>
              <w:t>@Netradyne.com &gt;</w:t>
            </w:r>
          </w:p>
        </w:tc>
      </w:tr>
      <w:tr w:rsidR="0006246B" w:rsidRPr="00E1700A" w14:paraId="287FC68A" w14:textId="77777777" w:rsidTr="51109B02">
        <w:trPr>
          <w:trHeight w:val="288"/>
        </w:trPr>
        <w:tc>
          <w:tcPr>
            <w:tcW w:w="3412" w:type="dxa"/>
            <w:tcBorders>
              <w:top w:val="single" w:sz="6" w:space="0" w:color="auto"/>
              <w:left w:val="single" w:sz="6" w:space="0" w:color="auto"/>
              <w:bottom w:val="single" w:sz="6" w:space="0" w:color="auto"/>
              <w:right w:val="single" w:sz="6" w:space="0" w:color="auto"/>
            </w:tcBorders>
            <w:vAlign w:val="center"/>
          </w:tcPr>
          <w:p w14:paraId="35B09C3E"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Version</w:t>
            </w:r>
          </w:p>
        </w:tc>
        <w:tc>
          <w:tcPr>
            <w:tcW w:w="6017" w:type="dxa"/>
            <w:tcBorders>
              <w:top w:val="single" w:sz="6" w:space="0" w:color="auto"/>
              <w:left w:val="single" w:sz="6" w:space="0" w:color="auto"/>
              <w:bottom w:val="single" w:sz="6" w:space="0" w:color="auto"/>
              <w:right w:val="single" w:sz="6" w:space="0" w:color="auto"/>
            </w:tcBorders>
            <w:vAlign w:val="center"/>
          </w:tcPr>
          <w:p w14:paraId="5366C426" w14:textId="5DAD1491" w:rsidR="0006246B" w:rsidRPr="00E1700A" w:rsidRDefault="00A744A5" w:rsidP="00936D31">
            <w:pPr>
              <w:spacing w:after="117" w:line="240" w:lineRule="auto"/>
              <w:rPr>
                <w:rFonts w:eastAsia="Bookman Old Style" w:cs="Bookman Old Style"/>
                <w:color w:val="000000" w:themeColor="text1"/>
              </w:rPr>
            </w:pPr>
            <w:r>
              <w:rPr>
                <w:rFonts w:eastAsia="Bookman Old Style" w:cs="Bookman Old Style"/>
                <w:color w:val="000000" w:themeColor="text1"/>
              </w:rPr>
              <w:t>V2.</w:t>
            </w:r>
            <w:r w:rsidR="00BF0276">
              <w:rPr>
                <w:rFonts w:eastAsia="Bookman Old Style" w:cs="Bookman Old Style"/>
                <w:color w:val="000000" w:themeColor="text1"/>
              </w:rPr>
              <w:t>5</w:t>
            </w:r>
          </w:p>
        </w:tc>
      </w:tr>
      <w:tr w:rsidR="0006246B" w:rsidRPr="00E1700A" w14:paraId="4ED0B47A" w14:textId="77777777" w:rsidTr="51109B02">
        <w:trPr>
          <w:trHeight w:val="288"/>
        </w:trPr>
        <w:tc>
          <w:tcPr>
            <w:tcW w:w="3412" w:type="dxa"/>
            <w:tcBorders>
              <w:top w:val="single" w:sz="6" w:space="0" w:color="auto"/>
              <w:left w:val="single" w:sz="6" w:space="0" w:color="auto"/>
              <w:bottom w:val="single" w:sz="6" w:space="0" w:color="auto"/>
              <w:right w:val="single" w:sz="6" w:space="0" w:color="auto"/>
            </w:tcBorders>
            <w:vAlign w:val="center"/>
          </w:tcPr>
          <w:p w14:paraId="48F062B7" w14:textId="77777777" w:rsidR="0006246B" w:rsidRPr="00373998" w:rsidRDefault="0006246B" w:rsidP="0006246B">
            <w:pPr>
              <w:spacing w:after="117" w:line="240" w:lineRule="auto"/>
              <w:ind w:left="10" w:hanging="10"/>
              <w:rPr>
                <w:rFonts w:eastAsia="Bookman Old Style" w:cs="Bookman Old Style"/>
                <w:color w:val="0070C0"/>
              </w:rPr>
            </w:pPr>
            <w:r w:rsidRPr="003B2516">
              <w:rPr>
                <w:rFonts w:eastAsia="Bookman Old Style" w:cs="Bookman Old Style"/>
                <w:b/>
                <w:bCs/>
                <w:color w:val="0070C0"/>
              </w:rPr>
              <w:t>Information Classification</w:t>
            </w:r>
          </w:p>
        </w:tc>
        <w:tc>
          <w:tcPr>
            <w:tcW w:w="6017" w:type="dxa"/>
            <w:tcBorders>
              <w:top w:val="single" w:sz="6" w:space="0" w:color="auto"/>
              <w:left w:val="single" w:sz="6" w:space="0" w:color="auto"/>
              <w:bottom w:val="single" w:sz="6" w:space="0" w:color="auto"/>
              <w:right w:val="single" w:sz="6" w:space="0" w:color="auto"/>
            </w:tcBorders>
            <w:vAlign w:val="center"/>
          </w:tcPr>
          <w:p w14:paraId="4907E45E" w14:textId="2A370154" w:rsidR="0006246B" w:rsidRPr="00E1700A" w:rsidRDefault="0006246B" w:rsidP="0006246B">
            <w:pPr>
              <w:spacing w:after="117" w:line="240" w:lineRule="auto"/>
              <w:ind w:left="10" w:hanging="10"/>
              <w:rPr>
                <w:rFonts w:eastAsia="Bookman Old Style" w:cs="Bookman Old Style"/>
                <w:color w:val="000000" w:themeColor="text1"/>
              </w:rPr>
            </w:pPr>
            <w:r w:rsidRPr="00E1700A">
              <w:rPr>
                <w:rFonts w:eastAsia="Bookman Old Style" w:cs="Bookman Old Style"/>
                <w:color w:val="000000" w:themeColor="text1"/>
              </w:rPr>
              <w:t>Internal</w:t>
            </w:r>
            <w:r w:rsidR="00FA2F36">
              <w:rPr>
                <w:rFonts w:eastAsia="Bookman Old Style" w:cs="Bookman Old Style"/>
                <w:color w:val="000000" w:themeColor="text1"/>
              </w:rPr>
              <w:t xml:space="preserve"> &amp; Confidential</w:t>
            </w:r>
          </w:p>
        </w:tc>
      </w:tr>
    </w:tbl>
    <w:p w14:paraId="37A88D5A" w14:textId="77777777" w:rsidR="00E30BF7" w:rsidRDefault="00E30BF7" w:rsidP="006E7FF5">
      <w:pPr>
        <w:spacing w:after="0"/>
        <w:rPr>
          <w:b/>
          <w:bCs/>
          <w:color w:val="000000" w:themeColor="text1"/>
          <w:szCs w:val="24"/>
        </w:rPr>
      </w:pPr>
    </w:p>
    <w:p w14:paraId="58439826" w14:textId="77777777" w:rsidR="00300F05" w:rsidRDefault="00300F05" w:rsidP="00300F05">
      <w:pPr>
        <w:spacing w:after="0"/>
        <w:rPr>
          <w:b/>
          <w:bCs/>
          <w:color w:val="000000" w:themeColor="text1"/>
          <w:szCs w:val="24"/>
        </w:rPr>
      </w:pPr>
      <w:r>
        <w:rPr>
          <w:b/>
          <w:bCs/>
          <w:color w:val="000000" w:themeColor="text1"/>
          <w:szCs w:val="24"/>
        </w:rPr>
        <w:t>Document Edit History</w:t>
      </w:r>
    </w:p>
    <w:tbl>
      <w:tblPr>
        <w:tblW w:w="94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7"/>
        <w:gridCol w:w="1365"/>
        <w:gridCol w:w="3988"/>
        <w:gridCol w:w="3208"/>
      </w:tblGrid>
      <w:tr w:rsidR="007F79FF" w:rsidRPr="00E1700A" w14:paraId="0F5E8115" w14:textId="77777777" w:rsidTr="3C3BC306">
        <w:trPr>
          <w:trHeight w:val="253"/>
        </w:trPr>
        <w:tc>
          <w:tcPr>
            <w:tcW w:w="87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430DD92"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Version</w:t>
            </w:r>
            <w:r w:rsidRPr="00373998">
              <w:rPr>
                <w:rFonts w:eastAsia="Times New Roman" w:cs="Times New Roman"/>
                <w:color w:val="0070C0"/>
                <w:szCs w:val="18"/>
              </w:rPr>
              <w:t>  </w:t>
            </w:r>
          </w:p>
        </w:tc>
        <w:tc>
          <w:tcPr>
            <w:tcW w:w="136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1B0F5DE"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Pr>
                <w:rFonts w:eastAsia="Times New Roman" w:cs="Times New Roman"/>
                <w:color w:val="0070C0"/>
                <w:szCs w:val="18"/>
              </w:rPr>
              <w:t>  </w:t>
            </w:r>
          </w:p>
        </w:tc>
        <w:tc>
          <w:tcPr>
            <w:tcW w:w="398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CD51899"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Additions/Modifications</w:t>
            </w:r>
          </w:p>
        </w:tc>
        <w:tc>
          <w:tcPr>
            <w:tcW w:w="32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61D5BFA"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Prepared/Revised By</w:t>
            </w:r>
            <w:r w:rsidRPr="00373998">
              <w:rPr>
                <w:rFonts w:eastAsia="Times New Roman" w:cs="Times New Roman"/>
                <w:color w:val="0070C0"/>
                <w:szCs w:val="18"/>
              </w:rPr>
              <w:t>  </w:t>
            </w:r>
          </w:p>
        </w:tc>
      </w:tr>
      <w:tr w:rsidR="007F79FF" w:rsidRPr="00E1700A" w14:paraId="760130BB" w14:textId="77777777" w:rsidTr="3C3BC306">
        <w:trPr>
          <w:trHeight w:val="253"/>
        </w:trPr>
        <w:tc>
          <w:tcPr>
            <w:tcW w:w="87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78AAE63" w14:textId="38A20A3D" w:rsidR="00300F05" w:rsidRPr="00E1700A" w:rsidRDefault="00873633" w:rsidP="009416BB">
            <w:pPr>
              <w:spacing w:after="0" w:line="240" w:lineRule="auto"/>
              <w:textAlignment w:val="baseline"/>
              <w:rPr>
                <w:rFonts w:eastAsia="Times New Roman" w:cs="Segoe UI"/>
                <w:szCs w:val="18"/>
              </w:rPr>
            </w:pPr>
            <w:r>
              <w:rPr>
                <w:rFonts w:eastAsia="Times New Roman" w:cs="Segoe UI"/>
                <w:szCs w:val="18"/>
              </w:rPr>
              <w:t>v1.0</w:t>
            </w:r>
          </w:p>
        </w:tc>
        <w:tc>
          <w:tcPr>
            <w:tcW w:w="136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E50E8CD" w14:textId="3663257E" w:rsidR="00300F05" w:rsidRPr="00E1700A" w:rsidRDefault="00B45841" w:rsidP="009416BB">
            <w:pPr>
              <w:spacing w:after="0" w:line="240" w:lineRule="auto"/>
              <w:textAlignment w:val="baseline"/>
              <w:rPr>
                <w:rFonts w:eastAsia="Times New Roman" w:cs="Segoe UI"/>
                <w:szCs w:val="18"/>
              </w:rPr>
            </w:pPr>
            <w:r>
              <w:rPr>
                <w:rFonts w:eastAsia="Times New Roman" w:cs="Segoe UI"/>
                <w:szCs w:val="18"/>
              </w:rPr>
              <w:t>01</w:t>
            </w:r>
            <w:r w:rsidR="00873633">
              <w:rPr>
                <w:rFonts w:eastAsia="Times New Roman" w:cs="Segoe UI"/>
                <w:szCs w:val="18"/>
              </w:rPr>
              <w:t>-</w:t>
            </w:r>
            <w:r>
              <w:rPr>
                <w:rFonts w:eastAsia="Times New Roman" w:cs="Segoe UI"/>
                <w:szCs w:val="18"/>
              </w:rPr>
              <w:t>MAR</w:t>
            </w:r>
            <w:r w:rsidR="00873633">
              <w:rPr>
                <w:rFonts w:eastAsia="Times New Roman" w:cs="Segoe UI"/>
                <w:szCs w:val="18"/>
              </w:rPr>
              <w:t>-202</w:t>
            </w:r>
            <w:r>
              <w:rPr>
                <w:rFonts w:eastAsia="Times New Roman" w:cs="Segoe UI"/>
                <w:szCs w:val="18"/>
              </w:rPr>
              <w:t>1</w:t>
            </w:r>
          </w:p>
        </w:tc>
        <w:tc>
          <w:tcPr>
            <w:tcW w:w="398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0FFDC55" w14:textId="64205C40" w:rsidR="00300F05" w:rsidRPr="00E1700A" w:rsidRDefault="0010409A" w:rsidP="00300F05">
            <w:pPr>
              <w:spacing w:after="0" w:line="240" w:lineRule="auto"/>
              <w:textAlignment w:val="baseline"/>
              <w:rPr>
                <w:rFonts w:eastAsia="Times New Roman" w:cs="Segoe UI"/>
                <w:szCs w:val="18"/>
              </w:rPr>
            </w:pPr>
            <w:r>
              <w:rPr>
                <w:rFonts w:eastAsia="Times New Roman" w:cs="Segoe UI"/>
                <w:szCs w:val="18"/>
              </w:rPr>
              <w:t>Original issue</w:t>
            </w:r>
          </w:p>
        </w:tc>
        <w:tc>
          <w:tcPr>
            <w:tcW w:w="32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B49D3E" w14:textId="79F9EE3A" w:rsidR="00300F05" w:rsidRPr="00E1700A" w:rsidRDefault="00B45841" w:rsidP="009416BB">
            <w:pPr>
              <w:spacing w:after="0" w:line="240" w:lineRule="auto"/>
              <w:textAlignment w:val="baseline"/>
              <w:rPr>
                <w:rFonts w:eastAsia="Times New Roman" w:cs="Segoe UI"/>
                <w:szCs w:val="18"/>
              </w:rPr>
            </w:pPr>
            <w:r>
              <w:rPr>
                <w:rFonts w:eastAsia="Times New Roman" w:cs="Segoe UI"/>
                <w:szCs w:val="18"/>
              </w:rPr>
              <w:t>Consultant (Kumar)</w:t>
            </w:r>
          </w:p>
        </w:tc>
      </w:tr>
      <w:tr w:rsidR="007F79FF" w:rsidRPr="00E1700A" w14:paraId="293F5319" w14:textId="77777777" w:rsidTr="3C3BC306">
        <w:trPr>
          <w:trHeight w:val="253"/>
        </w:trPr>
        <w:tc>
          <w:tcPr>
            <w:tcW w:w="87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B774A4" w14:textId="710C52DB" w:rsidR="00300F05" w:rsidRPr="00E1700A" w:rsidRDefault="002A66ED" w:rsidP="009416BB">
            <w:pPr>
              <w:spacing w:after="0" w:line="240" w:lineRule="auto"/>
              <w:textAlignment w:val="baseline"/>
              <w:rPr>
                <w:rFonts w:eastAsia="Times New Roman" w:cs="Segoe UI"/>
                <w:szCs w:val="18"/>
              </w:rPr>
            </w:pPr>
            <w:r>
              <w:rPr>
                <w:rFonts w:eastAsia="Times New Roman" w:cs="Segoe UI"/>
                <w:szCs w:val="18"/>
              </w:rPr>
              <w:t>V2.0</w:t>
            </w:r>
          </w:p>
        </w:tc>
        <w:tc>
          <w:tcPr>
            <w:tcW w:w="136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702710C" w14:textId="0DCAE11C" w:rsidR="00300F05" w:rsidRPr="00E1700A" w:rsidRDefault="00407D07" w:rsidP="009416BB">
            <w:pPr>
              <w:spacing w:after="0" w:line="240" w:lineRule="auto"/>
              <w:textAlignment w:val="baseline"/>
              <w:rPr>
                <w:rFonts w:eastAsia="Times New Roman" w:cs="Segoe UI"/>
                <w:szCs w:val="18"/>
              </w:rPr>
            </w:pPr>
            <w:r>
              <w:rPr>
                <w:rFonts w:eastAsia="Times New Roman" w:cs="Segoe UI"/>
                <w:szCs w:val="18"/>
              </w:rPr>
              <w:t>11</w:t>
            </w:r>
            <w:r w:rsidR="009149AF">
              <w:rPr>
                <w:rFonts w:eastAsia="Times New Roman" w:cs="Segoe UI"/>
                <w:szCs w:val="18"/>
              </w:rPr>
              <w:t>-</w:t>
            </w:r>
            <w:r>
              <w:rPr>
                <w:rFonts w:eastAsia="Times New Roman" w:cs="Segoe UI"/>
                <w:szCs w:val="18"/>
              </w:rPr>
              <w:t>OCT</w:t>
            </w:r>
            <w:r w:rsidR="009149AF">
              <w:rPr>
                <w:rFonts w:eastAsia="Times New Roman" w:cs="Segoe UI"/>
                <w:szCs w:val="18"/>
              </w:rPr>
              <w:t>-2021</w:t>
            </w:r>
          </w:p>
        </w:tc>
        <w:tc>
          <w:tcPr>
            <w:tcW w:w="398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B7BF69" w14:textId="6FD7EA48" w:rsidR="00300F05" w:rsidRPr="00E1700A" w:rsidRDefault="00407D07" w:rsidP="00300F05">
            <w:pPr>
              <w:spacing w:after="0" w:line="240" w:lineRule="auto"/>
              <w:textAlignment w:val="baseline"/>
              <w:rPr>
                <w:rFonts w:eastAsia="Times New Roman" w:cs="Segoe UI"/>
                <w:szCs w:val="18"/>
              </w:rPr>
            </w:pPr>
            <w:r>
              <w:t>Review and clarify applicability to European Union &amp; UK</w:t>
            </w:r>
          </w:p>
        </w:tc>
        <w:tc>
          <w:tcPr>
            <w:tcW w:w="32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B37081F" w14:textId="0803B33A" w:rsidR="00300F05" w:rsidRPr="00E1700A" w:rsidRDefault="001E2D65" w:rsidP="009416BB">
            <w:pPr>
              <w:spacing w:after="0" w:line="240" w:lineRule="auto"/>
              <w:textAlignment w:val="baseline"/>
              <w:rPr>
                <w:rFonts w:eastAsia="Times New Roman" w:cs="Segoe UI"/>
                <w:szCs w:val="18"/>
              </w:rPr>
            </w:pPr>
            <w:r>
              <w:t>Michael Campos &amp; Kristi Griffith</w:t>
            </w:r>
          </w:p>
        </w:tc>
      </w:tr>
      <w:tr w:rsidR="007F79FF" w:rsidRPr="00E1700A" w14:paraId="24596BC9" w14:textId="77777777" w:rsidTr="3C3BC306">
        <w:trPr>
          <w:trHeight w:val="253"/>
        </w:trPr>
        <w:tc>
          <w:tcPr>
            <w:tcW w:w="87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63A4A5" w14:textId="6F94D58E" w:rsidR="00300F05" w:rsidRPr="00E1700A" w:rsidRDefault="000906C5" w:rsidP="009416BB">
            <w:pPr>
              <w:spacing w:after="0" w:line="240" w:lineRule="auto"/>
              <w:textAlignment w:val="baseline"/>
              <w:rPr>
                <w:rFonts w:eastAsia="Times New Roman" w:cs="Segoe UI"/>
                <w:szCs w:val="18"/>
              </w:rPr>
            </w:pPr>
            <w:r>
              <w:rPr>
                <w:rFonts w:eastAsia="Times New Roman" w:cs="Segoe UI"/>
                <w:szCs w:val="18"/>
              </w:rPr>
              <w:t>V2.1</w:t>
            </w:r>
          </w:p>
        </w:tc>
        <w:tc>
          <w:tcPr>
            <w:tcW w:w="136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2B0417A" w14:textId="6C3AF3AB" w:rsidR="00300F05" w:rsidRPr="00E1700A" w:rsidRDefault="000906C5" w:rsidP="009416BB">
            <w:pPr>
              <w:spacing w:after="0" w:line="240" w:lineRule="auto"/>
              <w:textAlignment w:val="baseline"/>
              <w:rPr>
                <w:rFonts w:eastAsia="Times New Roman" w:cs="Segoe UI"/>
                <w:szCs w:val="18"/>
              </w:rPr>
            </w:pPr>
            <w:r>
              <w:rPr>
                <w:rFonts w:eastAsia="Times New Roman" w:cs="Segoe UI"/>
                <w:szCs w:val="18"/>
              </w:rPr>
              <w:t>22</w:t>
            </w:r>
            <w:r w:rsidR="00AD581F">
              <w:rPr>
                <w:rFonts w:eastAsia="Times New Roman" w:cs="Segoe UI"/>
                <w:szCs w:val="18"/>
              </w:rPr>
              <w:t>-</w:t>
            </w:r>
            <w:r w:rsidR="005835F8">
              <w:rPr>
                <w:rFonts w:eastAsia="Times New Roman" w:cs="Segoe UI"/>
                <w:szCs w:val="18"/>
              </w:rPr>
              <w:t>FEB</w:t>
            </w:r>
            <w:r w:rsidR="0057478C">
              <w:rPr>
                <w:rFonts w:eastAsia="Times New Roman" w:cs="Segoe UI"/>
                <w:szCs w:val="18"/>
              </w:rPr>
              <w:t>-202</w:t>
            </w:r>
            <w:r w:rsidR="005835F8">
              <w:rPr>
                <w:rFonts w:eastAsia="Times New Roman" w:cs="Segoe UI"/>
                <w:szCs w:val="18"/>
              </w:rPr>
              <w:t>2</w:t>
            </w:r>
          </w:p>
        </w:tc>
        <w:tc>
          <w:tcPr>
            <w:tcW w:w="398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CCE91E" w14:textId="513BE55B" w:rsidR="00300F05" w:rsidRPr="00E1700A" w:rsidRDefault="003707A3" w:rsidP="00300F05">
            <w:pPr>
              <w:spacing w:after="0" w:line="240" w:lineRule="auto"/>
              <w:textAlignment w:val="baseline"/>
              <w:rPr>
                <w:rFonts w:eastAsia="Times New Roman" w:cs="Segoe UI"/>
                <w:szCs w:val="18"/>
              </w:rPr>
            </w:pPr>
            <w:r>
              <w:t>Updated Privacy Governance model</w:t>
            </w:r>
          </w:p>
        </w:tc>
        <w:tc>
          <w:tcPr>
            <w:tcW w:w="32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6181138" w14:textId="177DE9DF" w:rsidR="00300F05" w:rsidRPr="00E1700A" w:rsidRDefault="003707A3" w:rsidP="009416BB">
            <w:pPr>
              <w:spacing w:after="0" w:line="240" w:lineRule="auto"/>
              <w:textAlignment w:val="baseline"/>
              <w:rPr>
                <w:rFonts w:eastAsia="Times New Roman" w:cs="Segoe UI"/>
                <w:szCs w:val="18"/>
              </w:rPr>
            </w:pPr>
            <w:r>
              <w:rPr>
                <w:rFonts w:eastAsia="Times New Roman" w:cs="Segoe UI"/>
                <w:szCs w:val="18"/>
              </w:rPr>
              <w:t>Michael Campos</w:t>
            </w:r>
          </w:p>
        </w:tc>
      </w:tr>
      <w:tr w:rsidR="00A01E11" w:rsidRPr="00E1700A" w14:paraId="20E50D2C" w14:textId="77777777" w:rsidTr="3C3BC306">
        <w:trPr>
          <w:trHeight w:val="253"/>
        </w:trPr>
        <w:tc>
          <w:tcPr>
            <w:tcW w:w="87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5125DC" w14:textId="01D692BF" w:rsidR="00A01E11" w:rsidRDefault="00D51751" w:rsidP="009416BB">
            <w:pPr>
              <w:spacing w:after="0" w:line="240" w:lineRule="auto"/>
              <w:textAlignment w:val="baseline"/>
              <w:rPr>
                <w:rFonts w:eastAsia="Times New Roman" w:cs="Segoe UI"/>
                <w:szCs w:val="18"/>
              </w:rPr>
            </w:pPr>
            <w:r>
              <w:rPr>
                <w:rFonts w:eastAsia="Times New Roman" w:cs="Segoe UI"/>
                <w:szCs w:val="18"/>
              </w:rPr>
              <w:t>V2.2</w:t>
            </w:r>
          </w:p>
        </w:tc>
        <w:tc>
          <w:tcPr>
            <w:tcW w:w="136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6262F6E" w14:textId="259013AC" w:rsidR="00A01E11" w:rsidRDefault="00D51751" w:rsidP="009416BB">
            <w:pPr>
              <w:spacing w:after="0" w:line="240" w:lineRule="auto"/>
              <w:textAlignment w:val="baseline"/>
              <w:rPr>
                <w:rFonts w:eastAsia="Times New Roman" w:cs="Segoe UI"/>
                <w:szCs w:val="18"/>
              </w:rPr>
            </w:pPr>
            <w:r>
              <w:rPr>
                <w:rFonts w:eastAsia="Times New Roman" w:cs="Segoe UI"/>
                <w:szCs w:val="18"/>
              </w:rPr>
              <w:t>21</w:t>
            </w:r>
            <w:r w:rsidR="00D00E72">
              <w:rPr>
                <w:rFonts w:eastAsia="Times New Roman" w:cs="Segoe UI"/>
                <w:szCs w:val="18"/>
              </w:rPr>
              <w:t>-</w:t>
            </w:r>
            <w:r>
              <w:rPr>
                <w:rFonts w:eastAsia="Times New Roman" w:cs="Segoe UI"/>
                <w:szCs w:val="18"/>
              </w:rPr>
              <w:t>APR</w:t>
            </w:r>
            <w:r w:rsidR="00D00E72">
              <w:rPr>
                <w:rFonts w:eastAsia="Times New Roman" w:cs="Segoe UI"/>
                <w:szCs w:val="18"/>
              </w:rPr>
              <w:t>-2023</w:t>
            </w:r>
          </w:p>
        </w:tc>
        <w:tc>
          <w:tcPr>
            <w:tcW w:w="398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1F665E0" w14:textId="41DBF61C" w:rsidR="00A01E11" w:rsidRDefault="002042E5" w:rsidP="00300F05">
            <w:pPr>
              <w:spacing w:after="0" w:line="240" w:lineRule="auto"/>
              <w:textAlignment w:val="baseline"/>
              <w:rPr>
                <w:rFonts w:eastAsia="Times New Roman" w:cs="Segoe UI"/>
                <w:szCs w:val="18"/>
              </w:rPr>
            </w:pPr>
            <w:r>
              <w:rPr>
                <w:rFonts w:eastAsia="Times New Roman" w:cs="Segoe UI"/>
                <w:szCs w:val="18"/>
              </w:rPr>
              <w:t xml:space="preserve">Updated </w:t>
            </w:r>
            <w:r w:rsidR="00E1213D">
              <w:t>Implementation &amp; Accountability fields to Document Control</w:t>
            </w:r>
          </w:p>
        </w:tc>
        <w:tc>
          <w:tcPr>
            <w:tcW w:w="32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AF3731" w14:textId="506B66EA" w:rsidR="00A01E11" w:rsidRPr="00735C1A" w:rsidRDefault="00E1213D" w:rsidP="009416BB">
            <w:pPr>
              <w:spacing w:after="0" w:line="240" w:lineRule="auto"/>
              <w:textAlignment w:val="baseline"/>
              <w:rPr>
                <w:rFonts w:eastAsia="Times New Roman" w:cs="Segoe UI"/>
                <w:szCs w:val="18"/>
              </w:rPr>
            </w:pPr>
            <w:r>
              <w:rPr>
                <w:rFonts w:eastAsia="Times New Roman" w:cs="Segoe UI"/>
                <w:szCs w:val="18"/>
              </w:rPr>
              <w:t>Michael Campos</w:t>
            </w:r>
          </w:p>
        </w:tc>
      </w:tr>
      <w:tr w:rsidR="003A24D6" w:rsidRPr="00E1700A" w14:paraId="7EDADF93" w14:textId="77777777" w:rsidTr="3C3BC306">
        <w:trPr>
          <w:trHeight w:val="253"/>
        </w:trPr>
        <w:tc>
          <w:tcPr>
            <w:tcW w:w="87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41591A2" w14:textId="00FDDCCE" w:rsidR="003A24D6" w:rsidRDefault="00F24807" w:rsidP="61208C47">
            <w:pPr>
              <w:spacing w:after="0" w:line="240" w:lineRule="auto"/>
              <w:textAlignment w:val="baseline"/>
              <w:rPr>
                <w:rFonts w:eastAsia="Times New Roman" w:cs="Segoe UI"/>
              </w:rPr>
            </w:pPr>
            <w:r w:rsidRPr="61208C47">
              <w:rPr>
                <w:rFonts w:eastAsia="Times New Roman" w:cs="Segoe UI"/>
              </w:rPr>
              <w:t>V</w:t>
            </w:r>
            <w:r>
              <w:rPr>
                <w:rFonts w:eastAsia="Times New Roman" w:cs="Segoe UI"/>
              </w:rPr>
              <w:t>2.3</w:t>
            </w:r>
          </w:p>
        </w:tc>
        <w:tc>
          <w:tcPr>
            <w:tcW w:w="136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A80D663" w14:textId="29C1CEDB" w:rsidR="003A24D6" w:rsidRDefault="00536122" w:rsidP="003A24D6">
            <w:pPr>
              <w:spacing w:after="0" w:line="240" w:lineRule="auto"/>
              <w:textAlignment w:val="baseline"/>
              <w:rPr>
                <w:rFonts w:eastAsia="Times New Roman" w:cs="Segoe UI"/>
                <w:szCs w:val="18"/>
              </w:rPr>
            </w:pPr>
            <w:r>
              <w:rPr>
                <w:rFonts w:eastAsia="Times New Roman" w:cs="Segoe UI"/>
                <w:szCs w:val="18"/>
              </w:rPr>
              <w:t>15</w:t>
            </w:r>
            <w:r w:rsidR="003A24D6">
              <w:rPr>
                <w:rFonts w:eastAsia="Times New Roman" w:cs="Segoe UI"/>
                <w:szCs w:val="18"/>
              </w:rPr>
              <w:t>-</w:t>
            </w:r>
            <w:r>
              <w:rPr>
                <w:rFonts w:eastAsia="Times New Roman" w:cs="Segoe UI"/>
                <w:szCs w:val="18"/>
              </w:rPr>
              <w:t>FEB</w:t>
            </w:r>
            <w:r w:rsidR="003A24D6">
              <w:rPr>
                <w:rFonts w:eastAsia="Times New Roman" w:cs="Segoe UI"/>
                <w:szCs w:val="18"/>
              </w:rPr>
              <w:t>-2023</w:t>
            </w:r>
          </w:p>
        </w:tc>
        <w:tc>
          <w:tcPr>
            <w:tcW w:w="398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AD41F9" w14:textId="35F1D313" w:rsidR="003A24D6" w:rsidRDefault="00FD38C9" w:rsidP="003A24D6">
            <w:pPr>
              <w:spacing w:after="0" w:line="240" w:lineRule="auto"/>
              <w:textAlignment w:val="baseline"/>
              <w:rPr>
                <w:rFonts w:eastAsia="Times New Roman" w:cs="Segoe UI"/>
                <w:szCs w:val="18"/>
              </w:rPr>
            </w:pPr>
            <w:r>
              <w:t>Updated “Organization and Responsibilities” section. Added additional role for Finance.</w:t>
            </w:r>
          </w:p>
        </w:tc>
        <w:tc>
          <w:tcPr>
            <w:tcW w:w="32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0C8B52B" w14:textId="52CC33D4" w:rsidR="003A24D6" w:rsidRPr="00735C1A" w:rsidRDefault="00FD38C9" w:rsidP="61208C47">
            <w:pPr>
              <w:spacing w:after="0" w:line="240" w:lineRule="auto"/>
              <w:textAlignment w:val="baseline"/>
              <w:rPr>
                <w:rFonts w:eastAsia="Times New Roman" w:cs="Segoe UI"/>
              </w:rPr>
            </w:pPr>
            <w:r>
              <w:t>Shivesh Ranjan</w:t>
            </w:r>
          </w:p>
        </w:tc>
      </w:tr>
      <w:tr w:rsidR="00916F34" w:rsidRPr="00E1700A" w14:paraId="541657E9" w14:textId="77777777" w:rsidTr="3C3BC306">
        <w:trPr>
          <w:trHeight w:val="253"/>
        </w:trPr>
        <w:tc>
          <w:tcPr>
            <w:tcW w:w="87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56B1B64" w14:textId="467F47B8" w:rsidR="00916F34" w:rsidRPr="61208C47" w:rsidRDefault="00916F34" w:rsidP="61208C47">
            <w:pPr>
              <w:spacing w:after="0" w:line="240" w:lineRule="auto"/>
              <w:textAlignment w:val="baseline"/>
              <w:rPr>
                <w:rFonts w:eastAsia="Times New Roman" w:cs="Segoe UI"/>
              </w:rPr>
            </w:pPr>
            <w:r>
              <w:rPr>
                <w:rFonts w:eastAsia="Times New Roman" w:cs="Segoe UI"/>
              </w:rPr>
              <w:t>V</w:t>
            </w:r>
            <w:r w:rsidR="00FD38C9">
              <w:rPr>
                <w:rFonts w:eastAsia="Times New Roman" w:cs="Segoe UI"/>
              </w:rPr>
              <w:t>2.4</w:t>
            </w:r>
          </w:p>
        </w:tc>
        <w:tc>
          <w:tcPr>
            <w:tcW w:w="136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9069162" w14:textId="1774C550" w:rsidR="00916F34" w:rsidRDefault="00486ED8" w:rsidP="003A24D6">
            <w:pPr>
              <w:spacing w:after="0" w:line="240" w:lineRule="auto"/>
              <w:textAlignment w:val="baseline"/>
              <w:rPr>
                <w:rFonts w:eastAsia="Times New Roman" w:cs="Segoe UI"/>
                <w:szCs w:val="18"/>
              </w:rPr>
            </w:pPr>
            <w:r>
              <w:rPr>
                <w:rFonts w:eastAsia="Times New Roman" w:cs="Segoe UI"/>
                <w:szCs w:val="18"/>
              </w:rPr>
              <w:t>06</w:t>
            </w:r>
            <w:r w:rsidR="00C40630">
              <w:rPr>
                <w:rFonts w:eastAsia="Times New Roman" w:cs="Segoe UI"/>
                <w:szCs w:val="18"/>
              </w:rPr>
              <w:t>-</w:t>
            </w:r>
            <w:r>
              <w:rPr>
                <w:rFonts w:eastAsia="Times New Roman" w:cs="Segoe UI"/>
                <w:szCs w:val="18"/>
              </w:rPr>
              <w:t>FEB</w:t>
            </w:r>
            <w:r w:rsidR="00C40630">
              <w:rPr>
                <w:rFonts w:eastAsia="Times New Roman" w:cs="Segoe UI"/>
                <w:szCs w:val="18"/>
              </w:rPr>
              <w:t>-2024</w:t>
            </w:r>
          </w:p>
        </w:tc>
        <w:tc>
          <w:tcPr>
            <w:tcW w:w="398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574C03" w14:textId="77777777" w:rsidR="003D51BD" w:rsidRDefault="0021332C" w:rsidP="003A24D6">
            <w:pPr>
              <w:spacing w:after="0" w:line="240" w:lineRule="auto"/>
              <w:textAlignment w:val="baseline"/>
              <w:rPr>
                <w:rFonts w:eastAsia="Times New Roman" w:cs="Segoe UI"/>
                <w:szCs w:val="18"/>
              </w:rPr>
            </w:pPr>
            <w:r>
              <w:rPr>
                <w:rFonts w:eastAsia="Times New Roman" w:cs="Segoe UI"/>
                <w:szCs w:val="18"/>
              </w:rPr>
              <w:t xml:space="preserve">Aligned with standard template. </w:t>
            </w:r>
          </w:p>
          <w:p w14:paraId="3C04566F" w14:textId="39DA526C" w:rsidR="00916F34" w:rsidRDefault="0021332C" w:rsidP="003A24D6">
            <w:pPr>
              <w:spacing w:after="0" w:line="240" w:lineRule="auto"/>
              <w:textAlignment w:val="baseline"/>
              <w:rPr>
                <w:rFonts w:eastAsia="Times New Roman" w:cs="Segoe UI"/>
              </w:rPr>
            </w:pPr>
            <w:r w:rsidRPr="2E9A36E8">
              <w:rPr>
                <w:rFonts w:eastAsia="Times New Roman" w:cs="Segoe UI"/>
              </w:rPr>
              <w:t xml:space="preserve">Updated </w:t>
            </w:r>
            <w:r w:rsidR="00C52361">
              <w:t>“Organization and Responsibilities” section</w:t>
            </w:r>
            <w:r w:rsidRPr="2E9A36E8">
              <w:rPr>
                <w:rFonts w:eastAsia="Times New Roman" w:cs="Segoe UI"/>
              </w:rPr>
              <w:t>.</w:t>
            </w:r>
            <w:r w:rsidR="00753E44" w:rsidRPr="2E9A36E8">
              <w:rPr>
                <w:rFonts w:eastAsia="Times New Roman" w:cs="Segoe UI"/>
              </w:rPr>
              <w:t xml:space="preserve"> Added reference to PHI in section</w:t>
            </w:r>
            <w:r w:rsidR="00C17ADF" w:rsidRPr="2E9A36E8">
              <w:rPr>
                <w:rFonts w:eastAsia="Times New Roman" w:cs="Segoe UI"/>
              </w:rPr>
              <w:t>s 2</w:t>
            </w:r>
            <w:r w:rsidR="003D51BD" w:rsidRPr="2E9A36E8">
              <w:rPr>
                <w:rFonts w:eastAsia="Times New Roman" w:cs="Segoe UI"/>
              </w:rPr>
              <w:t>&amp;</w:t>
            </w:r>
            <w:r w:rsidR="00753E44" w:rsidRPr="2E9A36E8">
              <w:rPr>
                <w:rFonts w:eastAsia="Times New Roman" w:cs="Segoe UI"/>
              </w:rPr>
              <w:t>4</w:t>
            </w:r>
            <w:r w:rsidR="003D51BD" w:rsidRPr="2E9A36E8">
              <w:rPr>
                <w:rFonts w:eastAsia="Times New Roman" w:cs="Segoe UI"/>
              </w:rPr>
              <w:t>;</w:t>
            </w:r>
            <w:r w:rsidR="00340618" w:rsidRPr="2E9A36E8">
              <w:rPr>
                <w:rFonts w:eastAsia="Times New Roman" w:cs="Segoe UI"/>
              </w:rPr>
              <w:t xml:space="preserve"> and </w:t>
            </w:r>
            <w:r w:rsidR="00247485" w:rsidRPr="2E9A36E8">
              <w:rPr>
                <w:rFonts w:eastAsia="Times New Roman" w:cs="Segoe UI"/>
              </w:rPr>
              <w:t xml:space="preserve">reference to BAA in section 8 </w:t>
            </w:r>
            <w:r w:rsidR="00E12E30" w:rsidRPr="2E9A36E8">
              <w:rPr>
                <w:rFonts w:eastAsia="Times New Roman" w:cs="Segoe UI"/>
              </w:rPr>
              <w:t xml:space="preserve">(under </w:t>
            </w:r>
            <w:r w:rsidR="00247485" w:rsidRPr="2E9A36E8">
              <w:rPr>
                <w:rFonts w:eastAsia="Times New Roman" w:cs="Segoe UI"/>
              </w:rPr>
              <w:t>Engineering stakeholder</w:t>
            </w:r>
            <w:r w:rsidR="403B19B9" w:rsidRPr="2E9A36E8">
              <w:rPr>
                <w:rFonts w:eastAsia="Times New Roman" w:cs="Segoe UI"/>
              </w:rPr>
              <w:t>)</w:t>
            </w:r>
            <w:r w:rsidR="2BD6FC12" w:rsidRPr="2E9A36E8">
              <w:rPr>
                <w:rFonts w:eastAsia="Times New Roman" w:cs="Segoe UI"/>
              </w:rPr>
              <w:t xml:space="preserve">. Added link to ND Privacy Policy </w:t>
            </w:r>
            <w:r w:rsidR="289C6B02" w:rsidRPr="2E9A36E8">
              <w:rPr>
                <w:rFonts w:eastAsia="Times New Roman" w:cs="Segoe UI"/>
              </w:rPr>
              <w:t>in</w:t>
            </w:r>
            <w:r w:rsidR="2BD6FC12" w:rsidRPr="2E9A36E8">
              <w:rPr>
                <w:rFonts w:eastAsia="Times New Roman" w:cs="Segoe UI"/>
              </w:rPr>
              <w:t xml:space="preserve"> 6.4</w:t>
            </w:r>
            <w:r w:rsidR="0CAFD549" w:rsidRPr="2E9A36E8">
              <w:rPr>
                <w:rFonts w:eastAsia="Times New Roman" w:cs="Segoe UI"/>
              </w:rPr>
              <w:t>.</w:t>
            </w:r>
          </w:p>
        </w:tc>
        <w:tc>
          <w:tcPr>
            <w:tcW w:w="32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74C781" w14:textId="62922953" w:rsidR="00916F34" w:rsidRPr="61208C47" w:rsidRDefault="0021332C" w:rsidP="61208C47">
            <w:pPr>
              <w:spacing w:after="0" w:line="240" w:lineRule="auto"/>
              <w:textAlignment w:val="baseline"/>
              <w:rPr>
                <w:rFonts w:eastAsia="Times New Roman" w:cs="Segoe UI"/>
              </w:rPr>
            </w:pPr>
            <w:r>
              <w:t>Shivesh Ranjan</w:t>
            </w:r>
          </w:p>
        </w:tc>
      </w:tr>
      <w:tr w:rsidR="00BF0276" w:rsidRPr="00E1700A" w14:paraId="08D95EB3" w14:textId="77777777" w:rsidTr="3C3BC306">
        <w:trPr>
          <w:trHeight w:val="253"/>
        </w:trPr>
        <w:tc>
          <w:tcPr>
            <w:tcW w:w="87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D1CB60D" w14:textId="02A3F17A" w:rsidR="00BF0276" w:rsidRDefault="00BF0276" w:rsidP="61208C47">
            <w:pPr>
              <w:spacing w:after="0" w:line="240" w:lineRule="auto"/>
              <w:textAlignment w:val="baseline"/>
              <w:rPr>
                <w:rFonts w:eastAsia="Times New Roman" w:cs="Segoe UI"/>
              </w:rPr>
            </w:pPr>
            <w:r>
              <w:rPr>
                <w:rFonts w:eastAsia="Times New Roman" w:cs="Segoe UI"/>
              </w:rPr>
              <w:t>V2.5</w:t>
            </w:r>
          </w:p>
        </w:tc>
        <w:tc>
          <w:tcPr>
            <w:tcW w:w="136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80EA90" w14:textId="64833E44" w:rsidR="00BF0276" w:rsidRDefault="00BF0276" w:rsidP="003A24D6">
            <w:pPr>
              <w:spacing w:after="0" w:line="240" w:lineRule="auto"/>
              <w:textAlignment w:val="baseline"/>
              <w:rPr>
                <w:rFonts w:eastAsia="Times New Roman" w:cs="Segoe UI"/>
                <w:szCs w:val="18"/>
              </w:rPr>
            </w:pPr>
            <w:r>
              <w:rPr>
                <w:rFonts w:eastAsia="Times New Roman" w:cs="Segoe UI"/>
                <w:szCs w:val="18"/>
              </w:rPr>
              <w:t>03-FEB-2025</w:t>
            </w:r>
          </w:p>
        </w:tc>
        <w:tc>
          <w:tcPr>
            <w:tcW w:w="398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9B3737D" w14:textId="40147366" w:rsidR="00BF0276" w:rsidRDefault="005D121C" w:rsidP="003A24D6">
            <w:pPr>
              <w:spacing w:after="0" w:line="240" w:lineRule="auto"/>
              <w:textAlignment w:val="baseline"/>
              <w:rPr>
                <w:rFonts w:eastAsia="Times New Roman" w:cs="Segoe UI"/>
                <w:szCs w:val="18"/>
              </w:rPr>
            </w:pPr>
            <w:r>
              <w:rPr>
                <w:rFonts w:eastAsia="Times New Roman" w:cs="Segoe UI"/>
                <w:szCs w:val="18"/>
              </w:rPr>
              <w:t>No Changes</w:t>
            </w:r>
          </w:p>
        </w:tc>
        <w:tc>
          <w:tcPr>
            <w:tcW w:w="32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462440C" w14:textId="66F3E6CB" w:rsidR="00BF0276" w:rsidRDefault="005D121C" w:rsidP="61208C47">
            <w:pPr>
              <w:spacing w:after="0" w:line="240" w:lineRule="auto"/>
              <w:textAlignment w:val="baseline"/>
            </w:pPr>
            <w:r>
              <w:t>Shivesh Ranjan</w:t>
            </w:r>
          </w:p>
        </w:tc>
      </w:tr>
    </w:tbl>
    <w:p w14:paraId="1588BAB7" w14:textId="77777777" w:rsidR="00300F05" w:rsidRDefault="00300F05" w:rsidP="00300F05">
      <w:pPr>
        <w:spacing w:after="0"/>
        <w:rPr>
          <w:b/>
          <w:bCs/>
          <w:color w:val="000000" w:themeColor="text1"/>
          <w:szCs w:val="24"/>
        </w:rPr>
      </w:pPr>
    </w:p>
    <w:p w14:paraId="396FB6E7" w14:textId="77777777" w:rsidR="006E7FF5" w:rsidRDefault="00300F05" w:rsidP="006E7FF5">
      <w:pPr>
        <w:spacing w:after="0"/>
        <w:rPr>
          <w:b/>
          <w:bCs/>
          <w:color w:val="000000" w:themeColor="text1"/>
          <w:szCs w:val="24"/>
        </w:rPr>
      </w:pPr>
      <w:r>
        <w:rPr>
          <w:b/>
          <w:bCs/>
          <w:color w:val="000000" w:themeColor="text1"/>
          <w:szCs w:val="24"/>
        </w:rPr>
        <w:t>Document Review/A</w:t>
      </w:r>
      <w:r w:rsidR="006E7FF5">
        <w:rPr>
          <w:b/>
          <w:bCs/>
          <w:color w:val="000000" w:themeColor="text1"/>
          <w:szCs w:val="24"/>
        </w:rPr>
        <w:t>pproval</w:t>
      </w:r>
    </w:p>
    <w:tbl>
      <w:tblPr>
        <w:tblW w:w="945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586"/>
        <w:gridCol w:w="2096"/>
        <w:gridCol w:w="3060"/>
        <w:gridCol w:w="2712"/>
      </w:tblGrid>
      <w:tr w:rsidR="00300F05" w:rsidRPr="00527A00" w14:paraId="6456E0A5" w14:textId="77777777" w:rsidTr="51109B02">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DC88D25"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006E7FF5" w:rsidRPr="00373998">
              <w:rPr>
                <w:rFonts w:eastAsia="Times New Roman" w:cs="Times New Roman"/>
                <w:color w:val="0070C0"/>
                <w:szCs w:val="18"/>
              </w:rPr>
              <w:t>  </w:t>
            </w:r>
          </w:p>
        </w:tc>
        <w:tc>
          <w:tcPr>
            <w:tcW w:w="209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1DB7405"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Signatory Name</w:t>
            </w:r>
          </w:p>
        </w:tc>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AFECAC5"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Organization/Signatory Title</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BB5B112"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Comments</w:t>
            </w:r>
            <w:r w:rsidR="006E7FF5" w:rsidRPr="00373998">
              <w:rPr>
                <w:rFonts w:eastAsia="Times New Roman" w:cs="Times New Roman"/>
                <w:color w:val="0070C0"/>
                <w:szCs w:val="18"/>
              </w:rPr>
              <w:t> </w:t>
            </w:r>
          </w:p>
        </w:tc>
      </w:tr>
      <w:tr w:rsidR="00AB6F5B" w:rsidRPr="00527A00" w14:paraId="35A09D83" w14:textId="77777777" w:rsidTr="51109B02">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3F5035D" w14:textId="149F9653" w:rsidR="00AB6F5B" w:rsidRPr="00527A00" w:rsidRDefault="00AB6F5B" w:rsidP="00AB6F5B">
            <w:pPr>
              <w:spacing w:after="0" w:line="240" w:lineRule="auto"/>
              <w:textAlignment w:val="baseline"/>
              <w:rPr>
                <w:rFonts w:eastAsia="Times New Roman" w:cs="Segoe UI"/>
                <w:szCs w:val="18"/>
              </w:rPr>
            </w:pPr>
            <w:r>
              <w:rPr>
                <w:rFonts w:eastAsia="Times New Roman" w:cs="Segoe UI"/>
                <w:szCs w:val="18"/>
              </w:rPr>
              <w:t>01-MAR-2021</w:t>
            </w:r>
          </w:p>
        </w:tc>
        <w:tc>
          <w:tcPr>
            <w:tcW w:w="20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8EF66E" w14:textId="3DBD4D39" w:rsidR="00AB6F5B" w:rsidRPr="00527A00" w:rsidRDefault="00AB6F5B" w:rsidP="00AB6F5B">
            <w:pPr>
              <w:spacing w:after="0" w:line="240" w:lineRule="auto"/>
              <w:textAlignment w:val="baseline"/>
              <w:rPr>
                <w:rFonts w:eastAsia="Times New Roman" w:cs="Segoe UI"/>
                <w:szCs w:val="18"/>
              </w:rPr>
            </w:pPr>
            <w:r w:rsidRPr="002976C4">
              <w:rPr>
                <w:rFonts w:eastAsia="Times New Roman" w:cs="Segoe UI"/>
                <w:szCs w:val="18"/>
              </w:rPr>
              <w:t>Michael Campos</w:t>
            </w:r>
          </w:p>
        </w:tc>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90A651" w14:textId="004C8DE2" w:rsidR="00AB6F5B" w:rsidRPr="00527A00" w:rsidRDefault="00AB6F5B" w:rsidP="00AB6F5B">
            <w:pPr>
              <w:spacing w:after="0" w:line="240" w:lineRule="auto"/>
              <w:textAlignment w:val="baseline"/>
              <w:rPr>
                <w:rFonts w:eastAsia="Times New Roman" w:cs="Segoe UI"/>
                <w:szCs w:val="18"/>
              </w:rPr>
            </w:pPr>
            <w:r>
              <w:rPr>
                <w:rFonts w:eastAsia="Times New Roman" w:cs="Segoe UI"/>
                <w:szCs w:val="18"/>
              </w:rPr>
              <w:t>Data Protection Officer</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449286C" w14:textId="77777777" w:rsidR="00AB6F5B" w:rsidRPr="00527A00" w:rsidRDefault="00AB6F5B" w:rsidP="00AB6F5B">
            <w:pPr>
              <w:spacing w:after="0" w:line="240" w:lineRule="auto"/>
              <w:textAlignment w:val="baseline"/>
              <w:rPr>
                <w:rFonts w:eastAsia="Times New Roman" w:cs="Segoe UI"/>
                <w:szCs w:val="18"/>
              </w:rPr>
            </w:pPr>
          </w:p>
        </w:tc>
      </w:tr>
      <w:tr w:rsidR="00AB6F5B" w:rsidRPr="00527A00" w14:paraId="5466716F" w14:textId="77777777" w:rsidTr="51109B02">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C7822E" w14:textId="1F6EA207" w:rsidR="00AB6F5B" w:rsidRPr="00527A00" w:rsidRDefault="00AB6F5B" w:rsidP="00AB6F5B">
            <w:pPr>
              <w:spacing w:after="0" w:line="240" w:lineRule="auto"/>
              <w:textAlignment w:val="baseline"/>
              <w:rPr>
                <w:rFonts w:eastAsia="Times New Roman" w:cs="Segoe UI"/>
                <w:szCs w:val="18"/>
              </w:rPr>
            </w:pPr>
            <w:r>
              <w:rPr>
                <w:rFonts w:eastAsia="Times New Roman" w:cs="Segoe UI"/>
                <w:szCs w:val="18"/>
              </w:rPr>
              <w:t>11-OCT-2021</w:t>
            </w:r>
          </w:p>
        </w:tc>
        <w:tc>
          <w:tcPr>
            <w:tcW w:w="20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DA0584" w14:textId="4CCF3A51" w:rsidR="00AB6F5B" w:rsidRPr="00527A00" w:rsidRDefault="00AB6F5B" w:rsidP="00AB6F5B">
            <w:pPr>
              <w:spacing w:after="0" w:line="240" w:lineRule="auto"/>
              <w:textAlignment w:val="baseline"/>
              <w:rPr>
                <w:rFonts w:eastAsia="Times New Roman" w:cs="Segoe UI"/>
                <w:szCs w:val="18"/>
              </w:rPr>
            </w:pPr>
            <w:r w:rsidRPr="002976C4">
              <w:rPr>
                <w:rFonts w:eastAsia="Times New Roman" w:cs="Segoe UI"/>
                <w:szCs w:val="18"/>
              </w:rPr>
              <w:t>Michael Campos</w:t>
            </w:r>
          </w:p>
        </w:tc>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125485" w14:textId="52A1F0CA" w:rsidR="00AB6F5B" w:rsidRPr="00527A00" w:rsidRDefault="00AB6F5B" w:rsidP="00AB6F5B">
            <w:pPr>
              <w:spacing w:after="0" w:line="240" w:lineRule="auto"/>
              <w:textAlignment w:val="baseline"/>
              <w:rPr>
                <w:rFonts w:eastAsia="Times New Roman" w:cs="Segoe UI"/>
                <w:szCs w:val="18"/>
              </w:rPr>
            </w:pPr>
            <w:r w:rsidRPr="00963E0D">
              <w:rPr>
                <w:rFonts w:eastAsia="Times New Roman" w:cs="Segoe UI"/>
                <w:szCs w:val="18"/>
              </w:rPr>
              <w:t>Data Protection Officer</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415BAA" w14:textId="77777777" w:rsidR="00AB6F5B" w:rsidRPr="00527A00" w:rsidRDefault="00AB6F5B" w:rsidP="00AB6F5B">
            <w:pPr>
              <w:spacing w:after="0" w:line="240" w:lineRule="auto"/>
              <w:textAlignment w:val="baseline"/>
              <w:rPr>
                <w:rFonts w:eastAsia="Times New Roman" w:cs="Segoe UI"/>
                <w:szCs w:val="18"/>
              </w:rPr>
            </w:pPr>
          </w:p>
        </w:tc>
      </w:tr>
      <w:tr w:rsidR="00AB6F5B" w:rsidRPr="00527A00" w14:paraId="7AE9C229" w14:textId="77777777" w:rsidTr="51109B02">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91A7FA5" w14:textId="35E08283" w:rsidR="00AB6F5B" w:rsidRPr="00527A00" w:rsidRDefault="00AB6F5B" w:rsidP="00AB6F5B">
            <w:pPr>
              <w:spacing w:after="0" w:line="240" w:lineRule="auto"/>
              <w:textAlignment w:val="baseline"/>
              <w:rPr>
                <w:rFonts w:eastAsia="Times New Roman" w:cs="Segoe UI"/>
                <w:szCs w:val="18"/>
              </w:rPr>
            </w:pPr>
            <w:r>
              <w:rPr>
                <w:rFonts w:eastAsia="Times New Roman" w:cs="Segoe UI"/>
                <w:szCs w:val="18"/>
              </w:rPr>
              <w:t>22-FEB-2022</w:t>
            </w:r>
          </w:p>
        </w:tc>
        <w:tc>
          <w:tcPr>
            <w:tcW w:w="2096"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89FD25C" w14:textId="3B08D7D5" w:rsidR="00AB6F5B" w:rsidRPr="00527A00" w:rsidRDefault="00AB6F5B" w:rsidP="00AB6F5B">
            <w:pPr>
              <w:spacing w:after="0" w:line="240" w:lineRule="auto"/>
              <w:textAlignment w:val="baseline"/>
              <w:rPr>
                <w:rFonts w:eastAsia="Times New Roman" w:cs="Segoe UI"/>
                <w:szCs w:val="18"/>
              </w:rPr>
            </w:pPr>
            <w:r w:rsidRPr="002976C4">
              <w:rPr>
                <w:rFonts w:eastAsia="Times New Roman" w:cs="Segoe UI"/>
                <w:szCs w:val="18"/>
              </w:rPr>
              <w:t>Michael Campos</w:t>
            </w:r>
          </w:p>
        </w:tc>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55B8CF" w14:textId="6061475C" w:rsidR="00AB6F5B" w:rsidRPr="00527A00" w:rsidRDefault="00AB6F5B" w:rsidP="00AB6F5B">
            <w:pPr>
              <w:spacing w:after="0" w:line="240" w:lineRule="auto"/>
              <w:textAlignment w:val="baseline"/>
              <w:rPr>
                <w:rFonts w:eastAsia="Times New Roman" w:cs="Segoe UI"/>
                <w:szCs w:val="18"/>
              </w:rPr>
            </w:pPr>
            <w:r w:rsidRPr="00963E0D">
              <w:rPr>
                <w:rFonts w:eastAsia="Times New Roman" w:cs="Segoe UI"/>
                <w:szCs w:val="18"/>
              </w:rPr>
              <w:t>Data Protection Officer</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19FCF8A" w14:textId="77777777" w:rsidR="00AB6F5B" w:rsidRPr="00527A00" w:rsidRDefault="00AB6F5B" w:rsidP="00AB6F5B">
            <w:pPr>
              <w:spacing w:after="0" w:line="240" w:lineRule="auto"/>
              <w:textAlignment w:val="baseline"/>
              <w:rPr>
                <w:rFonts w:eastAsia="Times New Roman" w:cs="Segoe UI"/>
                <w:szCs w:val="18"/>
              </w:rPr>
            </w:pPr>
            <w:r w:rsidRPr="00527A00">
              <w:rPr>
                <w:rFonts w:eastAsia="Times New Roman" w:cs="Times New Roman"/>
                <w:szCs w:val="18"/>
              </w:rPr>
              <w:t>  </w:t>
            </w:r>
          </w:p>
        </w:tc>
      </w:tr>
      <w:tr w:rsidR="00AB6F5B" w:rsidRPr="00527A00" w14:paraId="7286658E" w14:textId="77777777" w:rsidTr="51109B02">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57DF954" w14:textId="511BE946" w:rsidR="00AB6F5B" w:rsidRPr="00527A00" w:rsidRDefault="00AB6F5B" w:rsidP="00AB6F5B">
            <w:pPr>
              <w:spacing w:after="0" w:line="240" w:lineRule="auto"/>
              <w:textAlignment w:val="baseline"/>
              <w:rPr>
                <w:rFonts w:eastAsia="Times New Roman" w:cs="Segoe UI"/>
                <w:szCs w:val="18"/>
              </w:rPr>
            </w:pPr>
            <w:r>
              <w:rPr>
                <w:rFonts w:eastAsia="Times New Roman" w:cs="Segoe UI"/>
                <w:szCs w:val="18"/>
              </w:rPr>
              <w:t>21-APR-2023</w:t>
            </w:r>
          </w:p>
        </w:tc>
        <w:tc>
          <w:tcPr>
            <w:tcW w:w="20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D2D1A7" w14:textId="696DB413" w:rsidR="00AB6F5B" w:rsidRPr="00527A00" w:rsidRDefault="00AB6F5B" w:rsidP="00AB6F5B">
            <w:pPr>
              <w:spacing w:after="0" w:line="240" w:lineRule="auto"/>
              <w:textAlignment w:val="baseline"/>
              <w:rPr>
                <w:rFonts w:eastAsia="Times New Roman" w:cs="Times New Roman"/>
                <w:szCs w:val="18"/>
              </w:rPr>
            </w:pPr>
            <w:r w:rsidRPr="002976C4">
              <w:rPr>
                <w:rFonts w:eastAsia="Times New Roman" w:cs="Segoe UI"/>
                <w:szCs w:val="18"/>
              </w:rPr>
              <w:t>Michael Campos</w:t>
            </w:r>
          </w:p>
        </w:tc>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C1BEBE" w14:textId="60A4BC49" w:rsidR="00AB6F5B" w:rsidRPr="00527A00" w:rsidRDefault="00AB6F5B" w:rsidP="00AB6F5B">
            <w:pPr>
              <w:spacing w:after="0" w:line="240" w:lineRule="auto"/>
              <w:textAlignment w:val="baseline"/>
              <w:rPr>
                <w:rFonts w:eastAsia="Times New Roman" w:cs="Times New Roman"/>
                <w:szCs w:val="18"/>
              </w:rPr>
            </w:pPr>
            <w:r w:rsidRPr="00963E0D">
              <w:rPr>
                <w:rFonts w:eastAsia="Times New Roman" w:cs="Segoe UI"/>
                <w:szCs w:val="18"/>
              </w:rPr>
              <w:t>Data Protection Officer</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9BF7F60" w14:textId="77777777" w:rsidR="00AB6F5B" w:rsidRPr="00527A00" w:rsidRDefault="00AB6F5B" w:rsidP="00AB6F5B">
            <w:pPr>
              <w:spacing w:after="0" w:line="240" w:lineRule="auto"/>
              <w:textAlignment w:val="baseline"/>
              <w:rPr>
                <w:rFonts w:eastAsia="Times New Roman" w:cs="Times New Roman"/>
                <w:szCs w:val="18"/>
              </w:rPr>
            </w:pPr>
          </w:p>
        </w:tc>
      </w:tr>
      <w:tr w:rsidR="00AB6F5B" w:rsidRPr="00527A00" w14:paraId="74A5061C" w14:textId="77777777" w:rsidTr="51109B02">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975820" w14:textId="0B173872" w:rsidR="00AB6F5B" w:rsidRPr="00527A00" w:rsidRDefault="00AB6F5B" w:rsidP="00AB6F5B">
            <w:pPr>
              <w:spacing w:after="0" w:line="240" w:lineRule="auto"/>
              <w:textAlignment w:val="baseline"/>
              <w:rPr>
                <w:rFonts w:eastAsia="Times New Roman" w:cs="Segoe UI"/>
                <w:szCs w:val="18"/>
              </w:rPr>
            </w:pPr>
            <w:r>
              <w:rPr>
                <w:rFonts w:eastAsia="Times New Roman" w:cs="Segoe UI"/>
                <w:szCs w:val="18"/>
              </w:rPr>
              <w:t>15-FEB-2023</w:t>
            </w:r>
          </w:p>
        </w:tc>
        <w:tc>
          <w:tcPr>
            <w:tcW w:w="20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1C9D2B" w14:textId="577A0FBC" w:rsidR="00AB6F5B" w:rsidRPr="00527A00" w:rsidRDefault="00AB6F5B" w:rsidP="00AB6F5B">
            <w:pPr>
              <w:spacing w:after="0" w:line="240" w:lineRule="auto"/>
              <w:textAlignment w:val="baseline"/>
              <w:rPr>
                <w:rFonts w:eastAsia="Times New Roman" w:cs="Times New Roman"/>
                <w:szCs w:val="18"/>
              </w:rPr>
            </w:pPr>
            <w:r w:rsidRPr="002976C4">
              <w:rPr>
                <w:rFonts w:eastAsia="Times New Roman" w:cs="Segoe UI"/>
                <w:szCs w:val="18"/>
              </w:rPr>
              <w:t>Michael Campos</w:t>
            </w:r>
          </w:p>
        </w:tc>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C6306C" w14:textId="3E885CF9" w:rsidR="00AB6F5B" w:rsidRPr="00527A00" w:rsidRDefault="00AB6F5B" w:rsidP="00AB6F5B">
            <w:pPr>
              <w:spacing w:after="0" w:line="240" w:lineRule="auto"/>
              <w:textAlignment w:val="baseline"/>
              <w:rPr>
                <w:rFonts w:eastAsia="Times New Roman" w:cs="Times New Roman"/>
                <w:szCs w:val="18"/>
              </w:rPr>
            </w:pPr>
            <w:r w:rsidRPr="00963E0D">
              <w:rPr>
                <w:rFonts w:eastAsia="Times New Roman" w:cs="Segoe UI"/>
                <w:szCs w:val="18"/>
              </w:rPr>
              <w:t>Data Protection Officer</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3C62BF" w14:textId="77777777" w:rsidR="00AB6F5B" w:rsidRPr="00527A00" w:rsidRDefault="00AB6F5B" w:rsidP="00AB6F5B">
            <w:pPr>
              <w:spacing w:after="0" w:line="240" w:lineRule="auto"/>
              <w:textAlignment w:val="baseline"/>
              <w:rPr>
                <w:rFonts w:eastAsia="Times New Roman" w:cs="Times New Roman"/>
                <w:szCs w:val="18"/>
              </w:rPr>
            </w:pPr>
          </w:p>
        </w:tc>
      </w:tr>
      <w:tr w:rsidR="00AB6F5B" w:rsidRPr="00527A00" w14:paraId="57B8E3FC" w14:textId="77777777" w:rsidTr="51109B02">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7FC7B9" w14:textId="042F2664" w:rsidR="00AB6F5B" w:rsidRDefault="00AB6F5B" w:rsidP="00AB6F5B">
            <w:pPr>
              <w:spacing w:after="0" w:line="240" w:lineRule="auto"/>
              <w:textAlignment w:val="baseline"/>
              <w:rPr>
                <w:rFonts w:eastAsia="Times New Roman" w:cs="Segoe UI"/>
                <w:szCs w:val="18"/>
              </w:rPr>
            </w:pPr>
            <w:r>
              <w:rPr>
                <w:rFonts w:eastAsia="Times New Roman" w:cs="Segoe UI"/>
                <w:szCs w:val="18"/>
              </w:rPr>
              <w:t>06-FEB-2024</w:t>
            </w:r>
          </w:p>
        </w:tc>
        <w:tc>
          <w:tcPr>
            <w:tcW w:w="20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1E1066" w14:textId="0E3E9473" w:rsidR="00AB6F5B" w:rsidRDefault="00AB6F5B" w:rsidP="00AB6F5B">
            <w:pPr>
              <w:spacing w:after="0" w:line="240" w:lineRule="auto"/>
              <w:textAlignment w:val="baseline"/>
              <w:rPr>
                <w:rFonts w:eastAsia="Bookman Old Style" w:cs="Bookman Old Style"/>
                <w:color w:val="000000" w:themeColor="text1"/>
              </w:rPr>
            </w:pPr>
            <w:r w:rsidRPr="002976C4">
              <w:rPr>
                <w:rFonts w:eastAsia="Times New Roman" w:cs="Segoe UI"/>
                <w:szCs w:val="18"/>
              </w:rPr>
              <w:t>Michael Campos</w:t>
            </w:r>
          </w:p>
        </w:tc>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67ED34" w14:textId="58C02550" w:rsidR="00AB6F5B" w:rsidRDefault="00AB6F5B" w:rsidP="00AB6F5B">
            <w:pPr>
              <w:spacing w:after="0" w:line="240" w:lineRule="auto"/>
              <w:textAlignment w:val="baseline"/>
              <w:rPr>
                <w:rFonts w:eastAsia="Times New Roman" w:cs="Segoe UI"/>
                <w:szCs w:val="18"/>
              </w:rPr>
            </w:pPr>
            <w:r w:rsidRPr="00963E0D">
              <w:rPr>
                <w:rFonts w:eastAsia="Times New Roman" w:cs="Segoe UI"/>
                <w:szCs w:val="18"/>
              </w:rPr>
              <w:t>Data Protection Officer</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0396B1" w14:textId="77777777" w:rsidR="00AB6F5B" w:rsidRPr="00527A00" w:rsidRDefault="00AB6F5B" w:rsidP="00AB6F5B">
            <w:pPr>
              <w:spacing w:after="0" w:line="240" w:lineRule="auto"/>
              <w:textAlignment w:val="baseline"/>
              <w:rPr>
                <w:rFonts w:eastAsia="Times New Roman" w:cs="Times New Roman"/>
                <w:szCs w:val="18"/>
              </w:rPr>
            </w:pPr>
          </w:p>
        </w:tc>
      </w:tr>
      <w:tr w:rsidR="51109B02" w14:paraId="3F6D3508" w14:textId="77777777" w:rsidTr="51109B02">
        <w:trPr>
          <w:trHeight w:val="300"/>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441825B" w14:textId="10BE87E0" w:rsidR="6AC29271" w:rsidRDefault="6AC29271" w:rsidP="51109B02">
            <w:pPr>
              <w:spacing w:line="240" w:lineRule="auto"/>
              <w:rPr>
                <w:rFonts w:eastAsia="Times New Roman" w:cs="Segoe UI"/>
              </w:rPr>
            </w:pPr>
            <w:r w:rsidRPr="51109B02">
              <w:rPr>
                <w:rFonts w:eastAsia="Times New Roman" w:cs="Segoe UI"/>
              </w:rPr>
              <w:t>10-FEB-2025</w:t>
            </w:r>
          </w:p>
        </w:tc>
        <w:tc>
          <w:tcPr>
            <w:tcW w:w="20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8673D7" w14:textId="0E3E9473" w:rsidR="51109B02" w:rsidRDefault="51109B02" w:rsidP="51109B02">
            <w:pPr>
              <w:spacing w:after="0" w:line="240" w:lineRule="auto"/>
              <w:rPr>
                <w:rFonts w:eastAsia="Bookman Old Style" w:cs="Bookman Old Style"/>
                <w:color w:val="000000" w:themeColor="text1"/>
              </w:rPr>
            </w:pPr>
            <w:r w:rsidRPr="51109B02">
              <w:rPr>
                <w:rFonts w:eastAsia="Times New Roman" w:cs="Segoe UI"/>
              </w:rPr>
              <w:t>Michael Campos</w:t>
            </w:r>
          </w:p>
        </w:tc>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0FE441" w14:textId="58C02550" w:rsidR="51109B02" w:rsidRDefault="51109B02" w:rsidP="51109B02">
            <w:pPr>
              <w:spacing w:after="0" w:line="240" w:lineRule="auto"/>
              <w:rPr>
                <w:rFonts w:eastAsia="Times New Roman" w:cs="Segoe UI"/>
              </w:rPr>
            </w:pPr>
            <w:r w:rsidRPr="51109B02">
              <w:rPr>
                <w:rFonts w:eastAsia="Times New Roman" w:cs="Segoe UI"/>
              </w:rPr>
              <w:t>Data Protection Officer</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32F7B73" w14:textId="6745EA5B" w:rsidR="51109B02" w:rsidRDefault="51109B02" w:rsidP="51109B02">
            <w:pPr>
              <w:spacing w:line="240" w:lineRule="auto"/>
              <w:rPr>
                <w:rFonts w:eastAsia="Times New Roman" w:cs="Times New Roman"/>
              </w:rPr>
            </w:pPr>
          </w:p>
        </w:tc>
      </w:tr>
    </w:tbl>
    <w:p w14:paraId="74CAA7B6" w14:textId="77777777" w:rsidR="007F79FF" w:rsidRDefault="007F79FF" w:rsidP="00300F05">
      <w:pPr>
        <w:spacing w:after="0"/>
        <w:rPr>
          <w:b/>
          <w:bCs/>
          <w:color w:val="000000" w:themeColor="text1"/>
          <w:szCs w:val="24"/>
        </w:rPr>
      </w:pPr>
    </w:p>
    <w:p w14:paraId="1D90E509" w14:textId="77777777" w:rsidR="00300F05" w:rsidRDefault="00300F05" w:rsidP="00300F05">
      <w:pPr>
        <w:spacing w:after="0"/>
        <w:rPr>
          <w:b/>
          <w:bCs/>
          <w:color w:val="000000" w:themeColor="text1"/>
          <w:szCs w:val="24"/>
        </w:rPr>
      </w:pPr>
      <w:r>
        <w:rPr>
          <w:b/>
          <w:bCs/>
          <w:color w:val="000000" w:themeColor="text1"/>
          <w:szCs w:val="24"/>
        </w:rPr>
        <w:t>Distribution of Final Document</w:t>
      </w:r>
    </w:p>
    <w:tbl>
      <w:tblPr>
        <w:tblW w:w="94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70"/>
        <w:gridCol w:w="4903"/>
      </w:tblGrid>
      <w:tr w:rsidR="00300F05" w:rsidRPr="00527A00" w14:paraId="36830AD7"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AAF3DBE" w14:textId="77777777" w:rsidR="00300F05" w:rsidRPr="00373998" w:rsidRDefault="00300F05" w:rsidP="009416BB">
            <w:pPr>
              <w:spacing w:after="0" w:line="240" w:lineRule="auto"/>
              <w:textAlignment w:val="baseline"/>
              <w:rPr>
                <w:rFonts w:eastAsia="Times New Roman" w:cs="Segoe UI"/>
                <w:b/>
                <w:bCs/>
                <w:color w:val="0070C0"/>
                <w:szCs w:val="18"/>
              </w:rPr>
            </w:pPr>
            <w:r w:rsidRPr="00373998">
              <w:rPr>
                <w:rFonts w:eastAsia="Times New Roman" w:cs="Segoe UI"/>
                <w:b/>
                <w:bCs/>
                <w:color w:val="0070C0"/>
                <w:szCs w:val="18"/>
              </w:rPr>
              <w:t>Name</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FE09A10"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Organization/Title</w:t>
            </w:r>
          </w:p>
        </w:tc>
      </w:tr>
      <w:tr w:rsidR="00300F05" w:rsidRPr="00527A00" w14:paraId="79C262D3"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43A854" w14:textId="4351C09D" w:rsidR="00300F05" w:rsidRPr="00527A00" w:rsidRDefault="00060DCD" w:rsidP="00300F05">
            <w:pPr>
              <w:spacing w:after="0" w:line="240" w:lineRule="auto"/>
              <w:textAlignment w:val="baseline"/>
              <w:rPr>
                <w:rFonts w:eastAsia="Times New Roman" w:cs="Segoe UI"/>
                <w:szCs w:val="18"/>
              </w:rPr>
            </w:pPr>
            <w:r>
              <w:rPr>
                <w:rFonts w:eastAsia="Times New Roman" w:cs="Segoe UI"/>
                <w:szCs w:val="18"/>
              </w:rPr>
              <w:t>All Employees</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A9D90A2" w14:textId="3350D9F6" w:rsidR="00300F05" w:rsidRPr="00527A00" w:rsidRDefault="00F16F92" w:rsidP="009416BB">
            <w:pPr>
              <w:spacing w:after="0" w:line="240" w:lineRule="auto"/>
              <w:textAlignment w:val="baseline"/>
              <w:rPr>
                <w:rFonts w:eastAsia="Times New Roman" w:cs="Segoe UI"/>
                <w:szCs w:val="18"/>
              </w:rPr>
            </w:pPr>
            <w:r>
              <w:rPr>
                <w:rFonts w:eastAsia="Times New Roman" w:cs="Segoe UI"/>
                <w:szCs w:val="18"/>
              </w:rPr>
              <w:t>Netradyne</w:t>
            </w:r>
          </w:p>
        </w:tc>
      </w:tr>
      <w:tr w:rsidR="00300F05" w:rsidRPr="00527A00" w14:paraId="6AC3A16A"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563FE6" w14:textId="77777777" w:rsidR="00300F05" w:rsidRPr="00527A00" w:rsidRDefault="00300F05" w:rsidP="00300F05">
            <w:pPr>
              <w:spacing w:after="0" w:line="240" w:lineRule="auto"/>
              <w:textAlignment w:val="baseline"/>
              <w:rPr>
                <w:rFonts w:eastAsia="Times New Roman" w:cs="Segoe UI"/>
                <w:szCs w:val="18"/>
              </w:rPr>
            </w:pP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4DE2F26" w14:textId="77777777" w:rsidR="00300F05" w:rsidRPr="00527A00" w:rsidRDefault="00300F05" w:rsidP="009416BB">
            <w:pPr>
              <w:spacing w:after="0" w:line="240" w:lineRule="auto"/>
              <w:textAlignment w:val="baseline"/>
              <w:rPr>
                <w:rFonts w:eastAsia="Times New Roman" w:cs="Segoe UI"/>
                <w:szCs w:val="18"/>
              </w:rPr>
            </w:pPr>
          </w:p>
        </w:tc>
      </w:tr>
      <w:tr w:rsidR="00300F05" w:rsidRPr="00527A00" w14:paraId="37F6D47A"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E144CD3" w14:textId="77777777" w:rsidR="00300F05" w:rsidRPr="00527A00" w:rsidRDefault="00300F05" w:rsidP="00300F05">
            <w:pPr>
              <w:spacing w:after="0" w:line="240" w:lineRule="auto"/>
              <w:textAlignment w:val="baseline"/>
              <w:rPr>
                <w:rFonts w:eastAsia="Times New Roman" w:cs="Segoe UI"/>
                <w:szCs w:val="18"/>
              </w:rPr>
            </w:pPr>
            <w:r w:rsidRPr="00527A00">
              <w:rPr>
                <w:rFonts w:eastAsia="Times New Roman" w:cs="Times New Roman"/>
                <w:szCs w:val="18"/>
              </w:rPr>
              <w:t>  </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BD43B62" w14:textId="77777777" w:rsidR="00300F05" w:rsidRPr="00527A00" w:rsidRDefault="00300F05" w:rsidP="009416BB">
            <w:pPr>
              <w:spacing w:after="0" w:line="240" w:lineRule="auto"/>
              <w:textAlignment w:val="baseline"/>
              <w:rPr>
                <w:rFonts w:eastAsia="Times New Roman" w:cs="Segoe UI"/>
                <w:szCs w:val="18"/>
              </w:rPr>
            </w:pPr>
            <w:r w:rsidRPr="00527A00">
              <w:rPr>
                <w:rFonts w:eastAsia="Times New Roman" w:cs="Times New Roman"/>
                <w:szCs w:val="18"/>
              </w:rPr>
              <w:t>  </w:t>
            </w:r>
          </w:p>
        </w:tc>
      </w:tr>
    </w:tbl>
    <w:p w14:paraId="134216CD" w14:textId="77777777" w:rsidR="00BD4458" w:rsidRDefault="00BD4458" w:rsidP="0039466B">
      <w:pPr>
        <w:rPr>
          <w:lang w:val="en-US"/>
        </w:rPr>
      </w:pPr>
    </w:p>
    <w:p w14:paraId="69717F13" w14:textId="77777777" w:rsidR="0039466B" w:rsidRDefault="0039466B" w:rsidP="0039466B">
      <w:pPr>
        <w:rPr>
          <w:lang w:val="en-US"/>
        </w:rPr>
      </w:pPr>
    </w:p>
    <w:p w14:paraId="4224FC7B" w14:textId="77777777" w:rsidR="0039466B" w:rsidRDefault="0039466B" w:rsidP="0039466B">
      <w:pPr>
        <w:rPr>
          <w:lang w:val="en-US"/>
        </w:rPr>
      </w:pPr>
    </w:p>
    <w:p w14:paraId="1FF6C8D6" w14:textId="77777777" w:rsidR="0039466B" w:rsidRDefault="0039466B" w:rsidP="0039466B">
      <w:pPr>
        <w:rPr>
          <w:lang w:val="en-US"/>
        </w:rPr>
      </w:pPr>
    </w:p>
    <w:p w14:paraId="59837E86" w14:textId="77777777" w:rsidR="0039466B" w:rsidRDefault="0039466B" w:rsidP="0039466B">
      <w:pPr>
        <w:rPr>
          <w:lang w:val="en-US"/>
        </w:rPr>
      </w:pPr>
    </w:p>
    <w:p w14:paraId="57D405C3" w14:textId="09EFE373" w:rsidR="7222427F" w:rsidRDefault="7222427F">
      <w:r>
        <w:br w:type="page"/>
      </w:r>
    </w:p>
    <w:p w14:paraId="6E95AD93" w14:textId="77777777" w:rsidR="00AC7FEC" w:rsidRPr="005F6750" w:rsidRDefault="00AC7FEC" w:rsidP="00AC7FEC">
      <w:pPr>
        <w:pStyle w:val="IntenseQuote"/>
        <w:rPr>
          <w:rStyle w:val="IntenseReference"/>
        </w:rPr>
      </w:pPr>
      <w:r w:rsidRPr="005F6750">
        <w:rPr>
          <w:rStyle w:val="IntenseReference"/>
        </w:rPr>
        <w:t>Table of Contents</w:t>
      </w:r>
    </w:p>
    <w:p w14:paraId="7F30C554" w14:textId="77777777" w:rsidR="00AC7FEC" w:rsidRDefault="00AC7FEC">
      <w:pPr>
        <w:pStyle w:val="TOC3"/>
      </w:pPr>
    </w:p>
    <w:p w14:paraId="25670EDB" w14:textId="126B9E98" w:rsidR="00CE33F1" w:rsidRDefault="00994E53" w:rsidP="7222427F">
      <w:pPr>
        <w:pStyle w:val="TOC3"/>
        <w:tabs>
          <w:tab w:val="clear" w:pos="9016"/>
          <w:tab w:val="right" w:leader="dot" w:pos="9015"/>
        </w:tabs>
        <w:rPr>
          <w:rFonts w:eastAsiaTheme="minorEastAsia"/>
          <w:noProof/>
          <w:kern w:val="2"/>
          <w:sz w:val="24"/>
          <w:szCs w:val="24"/>
          <w:lang w:eastAsia="en-IN"/>
          <w14:ligatures w14:val="standardContextual"/>
        </w:rPr>
      </w:pPr>
      <w:r>
        <w:fldChar w:fldCharType="begin"/>
      </w:r>
      <w:r w:rsidR="00064241">
        <w:instrText>TOC \o "1-3" \h \z \u</w:instrText>
      </w:r>
      <w:r>
        <w:fldChar w:fldCharType="separate"/>
      </w:r>
      <w:hyperlink w:anchor="_Toc1849142256">
        <w:r w:rsidR="7222427F" w:rsidRPr="7222427F">
          <w:rPr>
            <w:rStyle w:val="Hyperlink"/>
          </w:rPr>
          <w:t>Document Control</w:t>
        </w:r>
        <w:r w:rsidR="00064241">
          <w:tab/>
        </w:r>
        <w:r w:rsidR="00064241">
          <w:fldChar w:fldCharType="begin"/>
        </w:r>
        <w:r w:rsidR="00064241">
          <w:instrText>PAGEREF _Toc1849142256 \h</w:instrText>
        </w:r>
        <w:r w:rsidR="00064241">
          <w:fldChar w:fldCharType="separate"/>
        </w:r>
        <w:r w:rsidR="00E65B4C">
          <w:rPr>
            <w:noProof/>
          </w:rPr>
          <w:t>1</w:t>
        </w:r>
        <w:r w:rsidR="00064241">
          <w:fldChar w:fldCharType="end"/>
        </w:r>
      </w:hyperlink>
    </w:p>
    <w:p w14:paraId="7DB1A3CC" w14:textId="6617AF8B" w:rsidR="00CE33F1" w:rsidRDefault="7222427F" w:rsidP="7222427F">
      <w:pPr>
        <w:pStyle w:val="TOC1"/>
        <w:tabs>
          <w:tab w:val="clear" w:pos="9016"/>
          <w:tab w:val="left" w:pos="390"/>
          <w:tab w:val="right" w:leader="dot" w:pos="9015"/>
        </w:tabs>
        <w:rPr>
          <w:rFonts w:eastAsiaTheme="minorEastAsia"/>
          <w:noProof/>
          <w:kern w:val="2"/>
          <w:sz w:val="24"/>
          <w:szCs w:val="24"/>
          <w:lang w:eastAsia="en-IN"/>
          <w14:ligatures w14:val="standardContextual"/>
        </w:rPr>
      </w:pPr>
      <w:hyperlink w:anchor="_Toc1499160251">
        <w:r w:rsidRPr="7222427F">
          <w:rPr>
            <w:rStyle w:val="Hyperlink"/>
          </w:rPr>
          <w:t>1</w:t>
        </w:r>
        <w:r w:rsidR="00994E53">
          <w:tab/>
        </w:r>
        <w:r w:rsidRPr="7222427F">
          <w:rPr>
            <w:rStyle w:val="Hyperlink"/>
          </w:rPr>
          <w:t>Purpose</w:t>
        </w:r>
        <w:r w:rsidR="00994E53">
          <w:tab/>
        </w:r>
        <w:r w:rsidR="00994E53">
          <w:fldChar w:fldCharType="begin"/>
        </w:r>
        <w:r w:rsidR="00994E53">
          <w:instrText>PAGEREF _Toc1499160251 \h</w:instrText>
        </w:r>
        <w:r w:rsidR="00994E53">
          <w:fldChar w:fldCharType="separate"/>
        </w:r>
        <w:r w:rsidR="00E65B4C">
          <w:rPr>
            <w:noProof/>
          </w:rPr>
          <w:t>4</w:t>
        </w:r>
        <w:r w:rsidR="00994E53">
          <w:fldChar w:fldCharType="end"/>
        </w:r>
      </w:hyperlink>
    </w:p>
    <w:p w14:paraId="22E5CAD0" w14:textId="2DE69B8B" w:rsidR="00CE33F1" w:rsidRDefault="7222427F" w:rsidP="7222427F">
      <w:pPr>
        <w:pStyle w:val="TOC1"/>
        <w:tabs>
          <w:tab w:val="clear" w:pos="9016"/>
          <w:tab w:val="left" w:pos="390"/>
          <w:tab w:val="right" w:leader="dot" w:pos="9015"/>
        </w:tabs>
        <w:rPr>
          <w:rFonts w:eastAsiaTheme="minorEastAsia"/>
          <w:b w:val="0"/>
          <w:bCs w:val="0"/>
          <w:caps w:val="0"/>
          <w:noProof/>
          <w:kern w:val="2"/>
          <w:sz w:val="24"/>
          <w:szCs w:val="24"/>
          <w:lang w:eastAsia="en-IN"/>
          <w14:ligatures w14:val="standardContextual"/>
        </w:rPr>
      </w:pPr>
      <w:hyperlink w:anchor="_Toc1031888098">
        <w:r w:rsidRPr="7222427F">
          <w:rPr>
            <w:rStyle w:val="Hyperlink"/>
          </w:rPr>
          <w:t>2</w:t>
        </w:r>
        <w:r w:rsidR="00994E53">
          <w:tab/>
        </w:r>
        <w:r w:rsidRPr="7222427F">
          <w:rPr>
            <w:rStyle w:val="Hyperlink"/>
          </w:rPr>
          <w:t>Scope</w:t>
        </w:r>
        <w:r w:rsidR="00994E53">
          <w:tab/>
        </w:r>
        <w:r w:rsidR="00994E53">
          <w:fldChar w:fldCharType="begin"/>
        </w:r>
        <w:r w:rsidR="00994E53">
          <w:instrText>PAGEREF _Toc1031888098 \h</w:instrText>
        </w:r>
        <w:r w:rsidR="00994E53">
          <w:fldChar w:fldCharType="separate"/>
        </w:r>
        <w:r w:rsidR="00E65B4C">
          <w:rPr>
            <w:noProof/>
          </w:rPr>
          <w:t>4</w:t>
        </w:r>
        <w:r w:rsidR="00994E53">
          <w:fldChar w:fldCharType="end"/>
        </w:r>
      </w:hyperlink>
    </w:p>
    <w:p w14:paraId="64A25139" w14:textId="623BE55B" w:rsidR="00CE33F1" w:rsidRDefault="7222427F" w:rsidP="7222427F">
      <w:pPr>
        <w:pStyle w:val="TOC1"/>
        <w:tabs>
          <w:tab w:val="clear" w:pos="9016"/>
          <w:tab w:val="left" w:pos="390"/>
          <w:tab w:val="right" w:leader="dot" w:pos="9015"/>
        </w:tabs>
        <w:rPr>
          <w:rFonts w:eastAsiaTheme="minorEastAsia"/>
          <w:b w:val="0"/>
          <w:bCs w:val="0"/>
          <w:caps w:val="0"/>
          <w:noProof/>
          <w:kern w:val="2"/>
          <w:sz w:val="24"/>
          <w:szCs w:val="24"/>
          <w:lang w:eastAsia="en-IN"/>
          <w14:ligatures w14:val="standardContextual"/>
        </w:rPr>
      </w:pPr>
      <w:hyperlink w:anchor="_Toc2030143896">
        <w:r w:rsidRPr="7222427F">
          <w:rPr>
            <w:rStyle w:val="Hyperlink"/>
          </w:rPr>
          <w:t>3</w:t>
        </w:r>
        <w:r w:rsidR="00994E53">
          <w:tab/>
        </w:r>
        <w:r w:rsidRPr="7222427F">
          <w:rPr>
            <w:rStyle w:val="Hyperlink"/>
          </w:rPr>
          <w:t>Roles and Responsibilities</w:t>
        </w:r>
        <w:r w:rsidR="00994E53">
          <w:tab/>
        </w:r>
        <w:r w:rsidR="00994E53">
          <w:fldChar w:fldCharType="begin"/>
        </w:r>
        <w:r w:rsidR="00994E53">
          <w:instrText>PAGEREF _Toc2030143896 \h</w:instrText>
        </w:r>
        <w:r w:rsidR="00994E53">
          <w:fldChar w:fldCharType="separate"/>
        </w:r>
        <w:r w:rsidR="00E65B4C">
          <w:rPr>
            <w:noProof/>
          </w:rPr>
          <w:t>4</w:t>
        </w:r>
        <w:r w:rsidR="00994E53">
          <w:fldChar w:fldCharType="end"/>
        </w:r>
      </w:hyperlink>
    </w:p>
    <w:p w14:paraId="4212D25F" w14:textId="1AA0E771" w:rsidR="00CE33F1" w:rsidRDefault="7222427F" w:rsidP="7222427F">
      <w:pPr>
        <w:pStyle w:val="TOC1"/>
        <w:tabs>
          <w:tab w:val="clear" w:pos="9016"/>
          <w:tab w:val="left" w:pos="390"/>
          <w:tab w:val="right" w:leader="dot" w:pos="9015"/>
        </w:tabs>
        <w:rPr>
          <w:rFonts w:eastAsiaTheme="minorEastAsia"/>
          <w:b w:val="0"/>
          <w:bCs w:val="0"/>
          <w:caps w:val="0"/>
          <w:noProof/>
          <w:kern w:val="2"/>
          <w:sz w:val="24"/>
          <w:szCs w:val="24"/>
          <w:lang w:eastAsia="en-IN"/>
          <w14:ligatures w14:val="standardContextual"/>
        </w:rPr>
      </w:pPr>
      <w:hyperlink w:anchor="_Toc413974671">
        <w:r w:rsidRPr="7222427F">
          <w:rPr>
            <w:rStyle w:val="Hyperlink"/>
          </w:rPr>
          <w:t>4</w:t>
        </w:r>
        <w:r w:rsidR="00994E53">
          <w:tab/>
        </w:r>
        <w:r w:rsidRPr="7222427F">
          <w:rPr>
            <w:rStyle w:val="Hyperlink"/>
          </w:rPr>
          <w:t>Definitions</w:t>
        </w:r>
        <w:r w:rsidR="00994E53">
          <w:tab/>
        </w:r>
        <w:r w:rsidR="00994E53">
          <w:fldChar w:fldCharType="begin"/>
        </w:r>
        <w:r w:rsidR="00994E53">
          <w:instrText>PAGEREF _Toc413974671 \h</w:instrText>
        </w:r>
        <w:r w:rsidR="00994E53">
          <w:fldChar w:fldCharType="separate"/>
        </w:r>
        <w:r w:rsidR="00E65B4C">
          <w:rPr>
            <w:noProof/>
          </w:rPr>
          <w:t>4</w:t>
        </w:r>
        <w:r w:rsidR="00994E53">
          <w:fldChar w:fldCharType="end"/>
        </w:r>
      </w:hyperlink>
    </w:p>
    <w:p w14:paraId="671D581B" w14:textId="6915EB97" w:rsidR="00CE33F1" w:rsidRDefault="7222427F" w:rsidP="7222427F">
      <w:pPr>
        <w:pStyle w:val="TOC1"/>
        <w:tabs>
          <w:tab w:val="clear" w:pos="9016"/>
          <w:tab w:val="left" w:pos="390"/>
          <w:tab w:val="right" w:leader="dot" w:pos="9015"/>
        </w:tabs>
        <w:rPr>
          <w:rFonts w:eastAsiaTheme="minorEastAsia"/>
          <w:b w:val="0"/>
          <w:bCs w:val="0"/>
          <w:caps w:val="0"/>
          <w:noProof/>
          <w:kern w:val="2"/>
          <w:sz w:val="24"/>
          <w:szCs w:val="24"/>
          <w:lang w:eastAsia="en-IN"/>
          <w14:ligatures w14:val="standardContextual"/>
        </w:rPr>
      </w:pPr>
      <w:hyperlink w:anchor="_Toc242247524">
        <w:r w:rsidRPr="7222427F">
          <w:rPr>
            <w:rStyle w:val="Hyperlink"/>
          </w:rPr>
          <w:t>5</w:t>
        </w:r>
        <w:r w:rsidR="00994E53">
          <w:tab/>
        </w:r>
        <w:r w:rsidRPr="7222427F">
          <w:rPr>
            <w:rStyle w:val="Hyperlink"/>
          </w:rPr>
          <w:t>Basic Principles Regarding Personal Data Processing</w:t>
        </w:r>
        <w:r w:rsidR="00994E53">
          <w:tab/>
        </w:r>
        <w:r w:rsidR="00994E53">
          <w:fldChar w:fldCharType="begin"/>
        </w:r>
        <w:r w:rsidR="00994E53">
          <w:instrText>PAGEREF _Toc242247524 \h</w:instrText>
        </w:r>
        <w:r w:rsidR="00994E53">
          <w:fldChar w:fldCharType="separate"/>
        </w:r>
        <w:r w:rsidR="00E65B4C">
          <w:rPr>
            <w:noProof/>
          </w:rPr>
          <w:t>5</w:t>
        </w:r>
        <w:r w:rsidR="00994E53">
          <w:fldChar w:fldCharType="end"/>
        </w:r>
      </w:hyperlink>
    </w:p>
    <w:p w14:paraId="6BC9FC97" w14:textId="4284C032" w:rsidR="00CE33F1" w:rsidRDefault="7222427F" w:rsidP="7222427F">
      <w:pPr>
        <w:pStyle w:val="TOC2"/>
        <w:tabs>
          <w:tab w:val="left" w:pos="600"/>
          <w:tab w:val="right" w:leader="dot" w:pos="9015"/>
        </w:tabs>
        <w:rPr>
          <w:rFonts w:eastAsiaTheme="minorEastAsia"/>
          <w:smallCaps w:val="0"/>
          <w:noProof/>
          <w:kern w:val="2"/>
          <w:sz w:val="24"/>
          <w:szCs w:val="24"/>
          <w:lang w:eastAsia="en-IN"/>
          <w14:ligatures w14:val="standardContextual"/>
        </w:rPr>
      </w:pPr>
      <w:hyperlink w:anchor="_Toc1433183119">
        <w:r w:rsidRPr="7222427F">
          <w:rPr>
            <w:rStyle w:val="Hyperlink"/>
          </w:rPr>
          <w:t>5.1</w:t>
        </w:r>
        <w:r w:rsidR="00994E53">
          <w:tab/>
        </w:r>
        <w:r w:rsidRPr="7222427F">
          <w:rPr>
            <w:rStyle w:val="Hyperlink"/>
          </w:rPr>
          <w:t>Lawfulness, Fairness and Transparency</w:t>
        </w:r>
        <w:r w:rsidR="00994E53">
          <w:tab/>
        </w:r>
        <w:r w:rsidR="00994E53">
          <w:fldChar w:fldCharType="begin"/>
        </w:r>
        <w:r w:rsidR="00994E53">
          <w:instrText>PAGEREF _Toc1433183119 \h</w:instrText>
        </w:r>
        <w:r w:rsidR="00994E53">
          <w:fldChar w:fldCharType="separate"/>
        </w:r>
        <w:r w:rsidR="00E65B4C">
          <w:rPr>
            <w:noProof/>
          </w:rPr>
          <w:t>6</w:t>
        </w:r>
        <w:r w:rsidR="00994E53">
          <w:fldChar w:fldCharType="end"/>
        </w:r>
      </w:hyperlink>
    </w:p>
    <w:p w14:paraId="3EEC2591" w14:textId="72FFEA15" w:rsidR="00CE33F1" w:rsidRDefault="7222427F" w:rsidP="7222427F">
      <w:pPr>
        <w:pStyle w:val="TOC2"/>
        <w:tabs>
          <w:tab w:val="left" w:pos="600"/>
          <w:tab w:val="right" w:leader="dot" w:pos="9015"/>
        </w:tabs>
        <w:rPr>
          <w:rFonts w:eastAsiaTheme="minorEastAsia"/>
          <w:smallCaps w:val="0"/>
          <w:noProof/>
          <w:kern w:val="2"/>
          <w:sz w:val="24"/>
          <w:szCs w:val="24"/>
          <w:lang w:eastAsia="en-IN"/>
          <w14:ligatures w14:val="standardContextual"/>
        </w:rPr>
      </w:pPr>
      <w:hyperlink w:anchor="_Toc612945413">
        <w:r w:rsidRPr="7222427F">
          <w:rPr>
            <w:rStyle w:val="Hyperlink"/>
          </w:rPr>
          <w:t>5.2</w:t>
        </w:r>
        <w:r w:rsidR="00994E53">
          <w:tab/>
        </w:r>
        <w:r w:rsidRPr="7222427F">
          <w:rPr>
            <w:rStyle w:val="Hyperlink"/>
          </w:rPr>
          <w:t>Purpose Limitation</w:t>
        </w:r>
        <w:r w:rsidR="00994E53">
          <w:tab/>
        </w:r>
        <w:r w:rsidR="00994E53">
          <w:fldChar w:fldCharType="begin"/>
        </w:r>
        <w:r w:rsidR="00994E53">
          <w:instrText>PAGEREF _Toc612945413 \h</w:instrText>
        </w:r>
        <w:r w:rsidR="00994E53">
          <w:fldChar w:fldCharType="separate"/>
        </w:r>
        <w:r w:rsidR="00E65B4C">
          <w:rPr>
            <w:noProof/>
          </w:rPr>
          <w:t>6</w:t>
        </w:r>
        <w:r w:rsidR="00994E53">
          <w:fldChar w:fldCharType="end"/>
        </w:r>
      </w:hyperlink>
    </w:p>
    <w:p w14:paraId="0469F722" w14:textId="267DE506" w:rsidR="00CE33F1" w:rsidRDefault="7222427F" w:rsidP="7222427F">
      <w:pPr>
        <w:pStyle w:val="TOC2"/>
        <w:tabs>
          <w:tab w:val="left" w:pos="600"/>
          <w:tab w:val="right" w:leader="dot" w:pos="9015"/>
        </w:tabs>
        <w:rPr>
          <w:rFonts w:eastAsiaTheme="minorEastAsia"/>
          <w:smallCaps w:val="0"/>
          <w:noProof/>
          <w:kern w:val="2"/>
          <w:sz w:val="24"/>
          <w:szCs w:val="24"/>
          <w:lang w:eastAsia="en-IN"/>
          <w14:ligatures w14:val="standardContextual"/>
        </w:rPr>
      </w:pPr>
      <w:hyperlink w:anchor="_Toc1209781788">
        <w:r w:rsidRPr="7222427F">
          <w:rPr>
            <w:rStyle w:val="Hyperlink"/>
          </w:rPr>
          <w:t>5.3</w:t>
        </w:r>
        <w:r w:rsidR="00994E53">
          <w:tab/>
        </w:r>
        <w:r w:rsidRPr="7222427F">
          <w:rPr>
            <w:rStyle w:val="Hyperlink"/>
          </w:rPr>
          <w:t>Data Minimization</w:t>
        </w:r>
        <w:r w:rsidR="00994E53">
          <w:tab/>
        </w:r>
        <w:r w:rsidR="00994E53">
          <w:fldChar w:fldCharType="begin"/>
        </w:r>
        <w:r w:rsidR="00994E53">
          <w:instrText>PAGEREF _Toc1209781788 \h</w:instrText>
        </w:r>
        <w:r w:rsidR="00994E53">
          <w:fldChar w:fldCharType="separate"/>
        </w:r>
        <w:r w:rsidR="00E65B4C">
          <w:rPr>
            <w:noProof/>
          </w:rPr>
          <w:t>6</w:t>
        </w:r>
        <w:r w:rsidR="00994E53">
          <w:fldChar w:fldCharType="end"/>
        </w:r>
      </w:hyperlink>
    </w:p>
    <w:p w14:paraId="703A8374" w14:textId="7D1D5984" w:rsidR="00CE33F1" w:rsidRDefault="7222427F" w:rsidP="7222427F">
      <w:pPr>
        <w:pStyle w:val="TOC2"/>
        <w:tabs>
          <w:tab w:val="left" w:pos="600"/>
          <w:tab w:val="right" w:leader="dot" w:pos="9015"/>
        </w:tabs>
        <w:rPr>
          <w:rFonts w:eastAsiaTheme="minorEastAsia"/>
          <w:smallCaps w:val="0"/>
          <w:noProof/>
          <w:kern w:val="2"/>
          <w:sz w:val="24"/>
          <w:szCs w:val="24"/>
          <w:lang w:eastAsia="en-IN"/>
          <w14:ligatures w14:val="standardContextual"/>
        </w:rPr>
      </w:pPr>
      <w:hyperlink w:anchor="_Toc81361618">
        <w:r w:rsidRPr="7222427F">
          <w:rPr>
            <w:rStyle w:val="Hyperlink"/>
          </w:rPr>
          <w:t>5.4</w:t>
        </w:r>
        <w:r w:rsidR="00994E53">
          <w:tab/>
        </w:r>
        <w:r w:rsidRPr="7222427F">
          <w:rPr>
            <w:rStyle w:val="Hyperlink"/>
          </w:rPr>
          <w:t>Accuracy</w:t>
        </w:r>
        <w:r w:rsidR="00994E53">
          <w:tab/>
        </w:r>
        <w:r w:rsidR="00994E53">
          <w:fldChar w:fldCharType="begin"/>
        </w:r>
        <w:r w:rsidR="00994E53">
          <w:instrText>PAGEREF _Toc81361618 \h</w:instrText>
        </w:r>
        <w:r w:rsidR="00994E53">
          <w:fldChar w:fldCharType="separate"/>
        </w:r>
        <w:r w:rsidR="00E65B4C">
          <w:rPr>
            <w:noProof/>
          </w:rPr>
          <w:t>6</w:t>
        </w:r>
        <w:r w:rsidR="00994E53">
          <w:fldChar w:fldCharType="end"/>
        </w:r>
      </w:hyperlink>
    </w:p>
    <w:p w14:paraId="0FD1EA83" w14:textId="1E325E52" w:rsidR="00CE33F1" w:rsidRDefault="7222427F" w:rsidP="7222427F">
      <w:pPr>
        <w:pStyle w:val="TOC2"/>
        <w:tabs>
          <w:tab w:val="left" w:pos="600"/>
          <w:tab w:val="right" w:leader="dot" w:pos="9015"/>
        </w:tabs>
        <w:rPr>
          <w:rFonts w:eastAsiaTheme="minorEastAsia"/>
          <w:smallCaps w:val="0"/>
          <w:noProof/>
          <w:kern w:val="2"/>
          <w:sz w:val="24"/>
          <w:szCs w:val="24"/>
          <w:lang w:eastAsia="en-IN"/>
          <w14:ligatures w14:val="standardContextual"/>
        </w:rPr>
      </w:pPr>
      <w:hyperlink w:anchor="_Toc1224018269">
        <w:r w:rsidRPr="7222427F">
          <w:rPr>
            <w:rStyle w:val="Hyperlink"/>
          </w:rPr>
          <w:t>5.5</w:t>
        </w:r>
        <w:r w:rsidR="00994E53">
          <w:tab/>
        </w:r>
        <w:r w:rsidRPr="7222427F">
          <w:rPr>
            <w:rStyle w:val="Hyperlink"/>
          </w:rPr>
          <w:t>Storage Period Limitation</w:t>
        </w:r>
        <w:r w:rsidR="00994E53">
          <w:tab/>
        </w:r>
        <w:r w:rsidR="00994E53">
          <w:fldChar w:fldCharType="begin"/>
        </w:r>
        <w:r w:rsidR="00994E53">
          <w:instrText>PAGEREF _Toc1224018269 \h</w:instrText>
        </w:r>
        <w:r w:rsidR="00994E53">
          <w:fldChar w:fldCharType="separate"/>
        </w:r>
        <w:r w:rsidR="00E65B4C">
          <w:rPr>
            <w:noProof/>
          </w:rPr>
          <w:t>6</w:t>
        </w:r>
        <w:r w:rsidR="00994E53">
          <w:fldChar w:fldCharType="end"/>
        </w:r>
      </w:hyperlink>
    </w:p>
    <w:p w14:paraId="031E5053" w14:textId="345F2330" w:rsidR="00CE33F1" w:rsidRDefault="7222427F" w:rsidP="7222427F">
      <w:pPr>
        <w:pStyle w:val="TOC2"/>
        <w:tabs>
          <w:tab w:val="left" w:pos="600"/>
          <w:tab w:val="right" w:leader="dot" w:pos="9015"/>
        </w:tabs>
        <w:rPr>
          <w:rFonts w:eastAsiaTheme="minorEastAsia"/>
          <w:smallCaps w:val="0"/>
          <w:noProof/>
          <w:kern w:val="2"/>
          <w:sz w:val="24"/>
          <w:szCs w:val="24"/>
          <w:lang w:eastAsia="en-IN"/>
          <w14:ligatures w14:val="standardContextual"/>
        </w:rPr>
      </w:pPr>
      <w:hyperlink w:anchor="_Toc159683411">
        <w:r w:rsidRPr="7222427F">
          <w:rPr>
            <w:rStyle w:val="Hyperlink"/>
          </w:rPr>
          <w:t>5.6</w:t>
        </w:r>
        <w:r w:rsidR="00994E53">
          <w:tab/>
        </w:r>
        <w:r w:rsidRPr="7222427F">
          <w:rPr>
            <w:rStyle w:val="Hyperlink"/>
          </w:rPr>
          <w:t>Integrity and confidentiality</w:t>
        </w:r>
        <w:r w:rsidR="00994E53">
          <w:tab/>
        </w:r>
        <w:r w:rsidR="00994E53">
          <w:fldChar w:fldCharType="begin"/>
        </w:r>
        <w:r w:rsidR="00994E53">
          <w:instrText>PAGEREF _Toc159683411 \h</w:instrText>
        </w:r>
        <w:r w:rsidR="00994E53">
          <w:fldChar w:fldCharType="separate"/>
        </w:r>
        <w:r w:rsidR="00E65B4C">
          <w:rPr>
            <w:noProof/>
          </w:rPr>
          <w:t>6</w:t>
        </w:r>
        <w:r w:rsidR="00994E53">
          <w:fldChar w:fldCharType="end"/>
        </w:r>
      </w:hyperlink>
    </w:p>
    <w:p w14:paraId="3CFC447D" w14:textId="636B50E3" w:rsidR="00CE33F1" w:rsidRDefault="7222427F" w:rsidP="7222427F">
      <w:pPr>
        <w:pStyle w:val="TOC2"/>
        <w:tabs>
          <w:tab w:val="left" w:pos="600"/>
          <w:tab w:val="right" w:leader="dot" w:pos="9015"/>
        </w:tabs>
        <w:rPr>
          <w:rFonts w:eastAsiaTheme="minorEastAsia"/>
          <w:smallCaps w:val="0"/>
          <w:noProof/>
          <w:kern w:val="2"/>
          <w:sz w:val="24"/>
          <w:szCs w:val="24"/>
          <w:lang w:eastAsia="en-IN"/>
          <w14:ligatures w14:val="standardContextual"/>
        </w:rPr>
      </w:pPr>
      <w:hyperlink w:anchor="_Toc1222573364">
        <w:r w:rsidRPr="7222427F">
          <w:rPr>
            <w:rStyle w:val="Hyperlink"/>
          </w:rPr>
          <w:t>5.7</w:t>
        </w:r>
        <w:r w:rsidR="00994E53">
          <w:tab/>
        </w:r>
        <w:r w:rsidRPr="7222427F">
          <w:rPr>
            <w:rStyle w:val="Hyperlink"/>
          </w:rPr>
          <w:t>Accountability</w:t>
        </w:r>
        <w:r w:rsidR="00994E53">
          <w:tab/>
        </w:r>
        <w:r w:rsidR="00994E53">
          <w:fldChar w:fldCharType="begin"/>
        </w:r>
        <w:r w:rsidR="00994E53">
          <w:instrText>PAGEREF _Toc1222573364 \h</w:instrText>
        </w:r>
        <w:r w:rsidR="00994E53">
          <w:fldChar w:fldCharType="separate"/>
        </w:r>
        <w:r w:rsidR="00E65B4C">
          <w:rPr>
            <w:noProof/>
          </w:rPr>
          <w:t>6</w:t>
        </w:r>
        <w:r w:rsidR="00994E53">
          <w:fldChar w:fldCharType="end"/>
        </w:r>
      </w:hyperlink>
    </w:p>
    <w:p w14:paraId="34DC3C11" w14:textId="6A5F0CC1" w:rsidR="00CE33F1" w:rsidRDefault="7222427F" w:rsidP="7222427F">
      <w:pPr>
        <w:pStyle w:val="TOC1"/>
        <w:tabs>
          <w:tab w:val="clear" w:pos="9016"/>
          <w:tab w:val="left" w:pos="390"/>
          <w:tab w:val="right" w:leader="dot" w:pos="9015"/>
        </w:tabs>
        <w:rPr>
          <w:rFonts w:eastAsiaTheme="minorEastAsia"/>
          <w:caps w:val="0"/>
          <w:noProof/>
          <w:kern w:val="2"/>
          <w:sz w:val="24"/>
          <w:szCs w:val="24"/>
          <w:lang w:eastAsia="en-IN"/>
          <w14:ligatures w14:val="standardContextual"/>
        </w:rPr>
      </w:pPr>
      <w:hyperlink w:anchor="_Toc923152153">
        <w:r w:rsidRPr="7222427F">
          <w:rPr>
            <w:rStyle w:val="Hyperlink"/>
          </w:rPr>
          <w:t>6</w:t>
        </w:r>
        <w:r w:rsidR="00994E53">
          <w:tab/>
        </w:r>
        <w:r w:rsidRPr="7222427F">
          <w:rPr>
            <w:rStyle w:val="Hyperlink"/>
          </w:rPr>
          <w:t>Building Data Protection in Business Activities</w:t>
        </w:r>
        <w:r w:rsidR="00994E53">
          <w:tab/>
        </w:r>
        <w:r w:rsidR="00994E53">
          <w:fldChar w:fldCharType="begin"/>
        </w:r>
        <w:r w:rsidR="00994E53">
          <w:instrText>PAGEREF _Toc923152153 \h</w:instrText>
        </w:r>
        <w:r w:rsidR="00994E53">
          <w:fldChar w:fldCharType="separate"/>
        </w:r>
        <w:r w:rsidR="00E65B4C">
          <w:rPr>
            <w:noProof/>
          </w:rPr>
          <w:t>6</w:t>
        </w:r>
        <w:r w:rsidR="00994E53">
          <w:fldChar w:fldCharType="end"/>
        </w:r>
      </w:hyperlink>
    </w:p>
    <w:p w14:paraId="7FF91BAF" w14:textId="54CA14C3" w:rsidR="00CE33F1" w:rsidRDefault="7222427F" w:rsidP="7222427F">
      <w:pPr>
        <w:pStyle w:val="TOC2"/>
        <w:tabs>
          <w:tab w:val="left" w:pos="600"/>
          <w:tab w:val="right" w:leader="dot" w:pos="9015"/>
        </w:tabs>
        <w:rPr>
          <w:rFonts w:eastAsiaTheme="minorEastAsia"/>
          <w:smallCaps w:val="0"/>
          <w:noProof/>
          <w:kern w:val="2"/>
          <w:sz w:val="24"/>
          <w:szCs w:val="24"/>
          <w:lang w:eastAsia="en-IN"/>
          <w14:ligatures w14:val="standardContextual"/>
        </w:rPr>
      </w:pPr>
      <w:hyperlink w:anchor="_Toc191179431">
        <w:r w:rsidRPr="7222427F">
          <w:rPr>
            <w:rStyle w:val="Hyperlink"/>
          </w:rPr>
          <w:t>6.1</w:t>
        </w:r>
        <w:r w:rsidR="00994E53">
          <w:tab/>
        </w:r>
        <w:r w:rsidRPr="7222427F">
          <w:rPr>
            <w:rStyle w:val="Hyperlink"/>
          </w:rPr>
          <w:t>Notification to Data Subjects</w:t>
        </w:r>
        <w:r w:rsidR="00994E53">
          <w:tab/>
        </w:r>
        <w:r w:rsidR="00994E53">
          <w:fldChar w:fldCharType="begin"/>
        </w:r>
        <w:r w:rsidR="00994E53">
          <w:instrText>PAGEREF _Toc191179431 \h</w:instrText>
        </w:r>
        <w:r w:rsidR="00994E53">
          <w:fldChar w:fldCharType="separate"/>
        </w:r>
        <w:r w:rsidR="00E65B4C">
          <w:rPr>
            <w:noProof/>
          </w:rPr>
          <w:t>6</w:t>
        </w:r>
        <w:r w:rsidR="00994E53">
          <w:fldChar w:fldCharType="end"/>
        </w:r>
      </w:hyperlink>
    </w:p>
    <w:p w14:paraId="12A7FBAB" w14:textId="6B409813" w:rsidR="00CE33F1" w:rsidRDefault="7222427F" w:rsidP="7222427F">
      <w:pPr>
        <w:pStyle w:val="TOC2"/>
        <w:tabs>
          <w:tab w:val="left" w:pos="600"/>
          <w:tab w:val="right" w:leader="dot" w:pos="9015"/>
        </w:tabs>
        <w:rPr>
          <w:rFonts w:eastAsiaTheme="minorEastAsia"/>
          <w:smallCaps w:val="0"/>
          <w:noProof/>
          <w:kern w:val="2"/>
          <w:sz w:val="24"/>
          <w:szCs w:val="24"/>
          <w:lang w:eastAsia="en-IN"/>
          <w14:ligatures w14:val="standardContextual"/>
        </w:rPr>
      </w:pPr>
      <w:hyperlink w:anchor="_Toc66206306">
        <w:r w:rsidRPr="7222427F">
          <w:rPr>
            <w:rStyle w:val="Hyperlink"/>
          </w:rPr>
          <w:t>6.2</w:t>
        </w:r>
        <w:r w:rsidR="00994E53">
          <w:tab/>
        </w:r>
        <w:r w:rsidRPr="7222427F">
          <w:rPr>
            <w:rStyle w:val="Hyperlink"/>
          </w:rPr>
          <w:t>Data Subject’s Choice and Consent</w:t>
        </w:r>
        <w:r w:rsidR="00994E53">
          <w:tab/>
        </w:r>
        <w:r w:rsidR="00994E53">
          <w:fldChar w:fldCharType="begin"/>
        </w:r>
        <w:r w:rsidR="00994E53">
          <w:instrText>PAGEREF _Toc66206306 \h</w:instrText>
        </w:r>
        <w:r w:rsidR="00994E53">
          <w:fldChar w:fldCharType="separate"/>
        </w:r>
        <w:r w:rsidR="00E65B4C">
          <w:rPr>
            <w:noProof/>
          </w:rPr>
          <w:t>6</w:t>
        </w:r>
        <w:r w:rsidR="00994E53">
          <w:fldChar w:fldCharType="end"/>
        </w:r>
      </w:hyperlink>
    </w:p>
    <w:p w14:paraId="516E8299" w14:textId="14B3901E" w:rsidR="00CE33F1" w:rsidRDefault="7222427F" w:rsidP="7222427F">
      <w:pPr>
        <w:pStyle w:val="TOC2"/>
        <w:tabs>
          <w:tab w:val="left" w:pos="600"/>
          <w:tab w:val="right" w:leader="dot" w:pos="9015"/>
        </w:tabs>
        <w:rPr>
          <w:rFonts w:eastAsiaTheme="minorEastAsia"/>
          <w:smallCaps w:val="0"/>
          <w:noProof/>
          <w:kern w:val="2"/>
          <w:sz w:val="24"/>
          <w:szCs w:val="24"/>
          <w:lang w:eastAsia="en-IN"/>
          <w14:ligatures w14:val="standardContextual"/>
        </w:rPr>
      </w:pPr>
      <w:hyperlink w:anchor="_Toc607333298">
        <w:r w:rsidRPr="7222427F">
          <w:rPr>
            <w:rStyle w:val="Hyperlink"/>
          </w:rPr>
          <w:t>6.3</w:t>
        </w:r>
        <w:r w:rsidR="00994E53">
          <w:tab/>
        </w:r>
        <w:r w:rsidRPr="7222427F">
          <w:rPr>
            <w:rStyle w:val="Hyperlink"/>
          </w:rPr>
          <w:t>Collection</w:t>
        </w:r>
        <w:r w:rsidR="00994E53">
          <w:tab/>
        </w:r>
        <w:r w:rsidR="00994E53">
          <w:fldChar w:fldCharType="begin"/>
        </w:r>
        <w:r w:rsidR="00994E53">
          <w:instrText>PAGEREF _Toc607333298 \h</w:instrText>
        </w:r>
        <w:r w:rsidR="00994E53">
          <w:fldChar w:fldCharType="separate"/>
        </w:r>
        <w:r w:rsidR="00E65B4C">
          <w:rPr>
            <w:noProof/>
          </w:rPr>
          <w:t>7</w:t>
        </w:r>
        <w:r w:rsidR="00994E53">
          <w:fldChar w:fldCharType="end"/>
        </w:r>
      </w:hyperlink>
    </w:p>
    <w:p w14:paraId="1794F942" w14:textId="417F7E1F" w:rsidR="00CE33F1" w:rsidRDefault="7222427F" w:rsidP="7222427F">
      <w:pPr>
        <w:pStyle w:val="TOC2"/>
        <w:tabs>
          <w:tab w:val="left" w:pos="600"/>
          <w:tab w:val="right" w:leader="dot" w:pos="9015"/>
        </w:tabs>
        <w:rPr>
          <w:rFonts w:eastAsiaTheme="minorEastAsia"/>
          <w:smallCaps w:val="0"/>
          <w:noProof/>
          <w:kern w:val="2"/>
          <w:sz w:val="24"/>
          <w:szCs w:val="24"/>
          <w:lang w:eastAsia="en-IN"/>
          <w14:ligatures w14:val="standardContextual"/>
        </w:rPr>
      </w:pPr>
      <w:hyperlink w:anchor="_Toc2119108872">
        <w:r w:rsidRPr="7222427F">
          <w:rPr>
            <w:rStyle w:val="Hyperlink"/>
          </w:rPr>
          <w:t>6.4</w:t>
        </w:r>
        <w:r w:rsidR="00994E53">
          <w:tab/>
        </w:r>
        <w:r w:rsidRPr="7222427F">
          <w:rPr>
            <w:rStyle w:val="Hyperlink"/>
          </w:rPr>
          <w:t>Use, Retention, and Disposal</w:t>
        </w:r>
        <w:r w:rsidR="00994E53">
          <w:tab/>
        </w:r>
        <w:r w:rsidR="00994E53">
          <w:fldChar w:fldCharType="begin"/>
        </w:r>
        <w:r w:rsidR="00994E53">
          <w:instrText>PAGEREF _Toc2119108872 \h</w:instrText>
        </w:r>
        <w:r w:rsidR="00994E53">
          <w:fldChar w:fldCharType="separate"/>
        </w:r>
        <w:r w:rsidR="00E65B4C">
          <w:rPr>
            <w:noProof/>
          </w:rPr>
          <w:t>7</w:t>
        </w:r>
        <w:r w:rsidR="00994E53">
          <w:fldChar w:fldCharType="end"/>
        </w:r>
      </w:hyperlink>
    </w:p>
    <w:p w14:paraId="492B0C01" w14:textId="1A62913B" w:rsidR="00CE33F1" w:rsidRDefault="7222427F" w:rsidP="7222427F">
      <w:pPr>
        <w:pStyle w:val="TOC2"/>
        <w:tabs>
          <w:tab w:val="left" w:pos="600"/>
          <w:tab w:val="right" w:leader="dot" w:pos="9015"/>
        </w:tabs>
        <w:rPr>
          <w:rFonts w:eastAsiaTheme="minorEastAsia"/>
          <w:smallCaps w:val="0"/>
          <w:noProof/>
          <w:kern w:val="2"/>
          <w:sz w:val="24"/>
          <w:szCs w:val="24"/>
          <w:lang w:eastAsia="en-IN"/>
          <w14:ligatures w14:val="standardContextual"/>
        </w:rPr>
      </w:pPr>
      <w:hyperlink w:anchor="_Toc1358197121">
        <w:r w:rsidRPr="7222427F">
          <w:rPr>
            <w:rStyle w:val="Hyperlink"/>
          </w:rPr>
          <w:t>6.5</w:t>
        </w:r>
        <w:r w:rsidR="00994E53">
          <w:tab/>
        </w:r>
        <w:r w:rsidRPr="7222427F">
          <w:rPr>
            <w:rStyle w:val="Hyperlink"/>
          </w:rPr>
          <w:t>Disclosure to Third Parties</w:t>
        </w:r>
        <w:r w:rsidR="00994E53">
          <w:tab/>
        </w:r>
        <w:r w:rsidR="00994E53">
          <w:fldChar w:fldCharType="begin"/>
        </w:r>
        <w:r w:rsidR="00994E53">
          <w:instrText>PAGEREF _Toc1358197121 \h</w:instrText>
        </w:r>
        <w:r w:rsidR="00994E53">
          <w:fldChar w:fldCharType="separate"/>
        </w:r>
        <w:r w:rsidR="00E65B4C">
          <w:rPr>
            <w:noProof/>
          </w:rPr>
          <w:t>7</w:t>
        </w:r>
        <w:r w:rsidR="00994E53">
          <w:fldChar w:fldCharType="end"/>
        </w:r>
      </w:hyperlink>
    </w:p>
    <w:p w14:paraId="13785097" w14:textId="4FCA58FF" w:rsidR="00CE33F1" w:rsidRDefault="7222427F" w:rsidP="7222427F">
      <w:pPr>
        <w:pStyle w:val="TOC2"/>
        <w:tabs>
          <w:tab w:val="left" w:pos="600"/>
          <w:tab w:val="right" w:leader="dot" w:pos="9015"/>
        </w:tabs>
        <w:rPr>
          <w:rFonts w:eastAsiaTheme="minorEastAsia"/>
          <w:smallCaps w:val="0"/>
          <w:noProof/>
          <w:kern w:val="2"/>
          <w:sz w:val="24"/>
          <w:szCs w:val="24"/>
          <w:lang w:eastAsia="en-IN"/>
          <w14:ligatures w14:val="standardContextual"/>
        </w:rPr>
      </w:pPr>
      <w:hyperlink w:anchor="_Toc213623692">
        <w:r w:rsidRPr="7222427F">
          <w:rPr>
            <w:rStyle w:val="Hyperlink"/>
          </w:rPr>
          <w:t>6.6</w:t>
        </w:r>
        <w:r w:rsidR="00994E53">
          <w:tab/>
        </w:r>
        <w:r w:rsidRPr="7222427F">
          <w:rPr>
            <w:rStyle w:val="Hyperlink"/>
          </w:rPr>
          <w:t>Cross-border Transfer of Personal Data</w:t>
        </w:r>
        <w:r w:rsidR="00994E53">
          <w:tab/>
        </w:r>
        <w:r w:rsidR="00994E53">
          <w:fldChar w:fldCharType="begin"/>
        </w:r>
        <w:r w:rsidR="00994E53">
          <w:instrText>PAGEREF _Toc213623692 \h</w:instrText>
        </w:r>
        <w:r w:rsidR="00994E53">
          <w:fldChar w:fldCharType="separate"/>
        </w:r>
        <w:r w:rsidR="00E65B4C">
          <w:rPr>
            <w:noProof/>
          </w:rPr>
          <w:t>7</w:t>
        </w:r>
        <w:r w:rsidR="00994E53">
          <w:fldChar w:fldCharType="end"/>
        </w:r>
      </w:hyperlink>
    </w:p>
    <w:p w14:paraId="09B87C9D" w14:textId="44194884" w:rsidR="00CE33F1" w:rsidRDefault="7222427F" w:rsidP="7222427F">
      <w:pPr>
        <w:pStyle w:val="TOC2"/>
        <w:tabs>
          <w:tab w:val="left" w:pos="600"/>
          <w:tab w:val="right" w:leader="dot" w:pos="9015"/>
        </w:tabs>
        <w:rPr>
          <w:rFonts w:eastAsiaTheme="minorEastAsia"/>
          <w:smallCaps w:val="0"/>
          <w:noProof/>
          <w:kern w:val="2"/>
          <w:sz w:val="24"/>
          <w:szCs w:val="24"/>
          <w:lang w:eastAsia="en-IN"/>
          <w14:ligatures w14:val="standardContextual"/>
        </w:rPr>
      </w:pPr>
      <w:hyperlink w:anchor="_Toc863102314">
        <w:r w:rsidRPr="7222427F">
          <w:rPr>
            <w:rStyle w:val="Hyperlink"/>
          </w:rPr>
          <w:t>6.7</w:t>
        </w:r>
        <w:r w:rsidR="00994E53">
          <w:tab/>
        </w:r>
        <w:r w:rsidRPr="7222427F">
          <w:rPr>
            <w:rStyle w:val="Hyperlink"/>
          </w:rPr>
          <w:t>Rights of Access by Data Subjects</w:t>
        </w:r>
        <w:r w:rsidR="00994E53">
          <w:tab/>
        </w:r>
        <w:r w:rsidR="00994E53">
          <w:fldChar w:fldCharType="begin"/>
        </w:r>
        <w:r w:rsidR="00994E53">
          <w:instrText>PAGEREF _Toc863102314 \h</w:instrText>
        </w:r>
        <w:r w:rsidR="00994E53">
          <w:fldChar w:fldCharType="separate"/>
        </w:r>
        <w:r w:rsidR="00E65B4C">
          <w:rPr>
            <w:noProof/>
          </w:rPr>
          <w:t>7</w:t>
        </w:r>
        <w:r w:rsidR="00994E53">
          <w:fldChar w:fldCharType="end"/>
        </w:r>
      </w:hyperlink>
    </w:p>
    <w:p w14:paraId="059138A7" w14:textId="26ED6DEE" w:rsidR="00CE33F1" w:rsidRDefault="7222427F" w:rsidP="7222427F">
      <w:pPr>
        <w:pStyle w:val="TOC2"/>
        <w:tabs>
          <w:tab w:val="left" w:pos="600"/>
          <w:tab w:val="right" w:leader="dot" w:pos="9015"/>
        </w:tabs>
        <w:rPr>
          <w:rFonts w:eastAsiaTheme="minorEastAsia"/>
          <w:smallCaps w:val="0"/>
          <w:noProof/>
          <w:kern w:val="2"/>
          <w:sz w:val="24"/>
          <w:szCs w:val="24"/>
          <w:lang w:eastAsia="en-IN"/>
          <w14:ligatures w14:val="standardContextual"/>
        </w:rPr>
      </w:pPr>
      <w:hyperlink w:anchor="_Toc1109614352">
        <w:r w:rsidRPr="7222427F">
          <w:rPr>
            <w:rStyle w:val="Hyperlink"/>
          </w:rPr>
          <w:t>6.8</w:t>
        </w:r>
        <w:r w:rsidR="00994E53">
          <w:tab/>
        </w:r>
        <w:r w:rsidRPr="7222427F">
          <w:rPr>
            <w:rStyle w:val="Hyperlink"/>
          </w:rPr>
          <w:t>Data Portability</w:t>
        </w:r>
        <w:r w:rsidR="00994E53">
          <w:tab/>
        </w:r>
        <w:r w:rsidR="00994E53">
          <w:fldChar w:fldCharType="begin"/>
        </w:r>
        <w:r w:rsidR="00994E53">
          <w:instrText>PAGEREF _Toc1109614352 \h</w:instrText>
        </w:r>
        <w:r w:rsidR="00994E53">
          <w:fldChar w:fldCharType="separate"/>
        </w:r>
        <w:r w:rsidR="00E65B4C">
          <w:rPr>
            <w:noProof/>
          </w:rPr>
          <w:t>7</w:t>
        </w:r>
        <w:r w:rsidR="00994E53">
          <w:fldChar w:fldCharType="end"/>
        </w:r>
      </w:hyperlink>
    </w:p>
    <w:p w14:paraId="2F371930" w14:textId="599BE284" w:rsidR="00CE33F1" w:rsidRDefault="7222427F" w:rsidP="7222427F">
      <w:pPr>
        <w:pStyle w:val="TOC2"/>
        <w:tabs>
          <w:tab w:val="left" w:pos="600"/>
          <w:tab w:val="right" w:leader="dot" w:pos="9015"/>
        </w:tabs>
        <w:rPr>
          <w:rFonts w:eastAsiaTheme="minorEastAsia"/>
          <w:smallCaps w:val="0"/>
          <w:noProof/>
          <w:kern w:val="2"/>
          <w:sz w:val="24"/>
          <w:szCs w:val="24"/>
          <w:lang w:eastAsia="en-IN"/>
          <w14:ligatures w14:val="standardContextual"/>
        </w:rPr>
      </w:pPr>
      <w:hyperlink w:anchor="_Toc2116079012">
        <w:r w:rsidRPr="7222427F">
          <w:rPr>
            <w:rStyle w:val="Hyperlink"/>
          </w:rPr>
          <w:t>6.9</w:t>
        </w:r>
        <w:r w:rsidR="00994E53">
          <w:tab/>
        </w:r>
        <w:r w:rsidRPr="7222427F">
          <w:rPr>
            <w:rStyle w:val="Hyperlink"/>
          </w:rPr>
          <w:t>Right to be Forgotten</w:t>
        </w:r>
        <w:r w:rsidR="00994E53">
          <w:tab/>
        </w:r>
        <w:r w:rsidR="00994E53">
          <w:fldChar w:fldCharType="begin"/>
        </w:r>
        <w:r w:rsidR="00994E53">
          <w:instrText>PAGEREF _Toc2116079012 \h</w:instrText>
        </w:r>
        <w:r w:rsidR="00994E53">
          <w:fldChar w:fldCharType="separate"/>
        </w:r>
        <w:r w:rsidR="00E65B4C">
          <w:rPr>
            <w:noProof/>
          </w:rPr>
          <w:t>7</w:t>
        </w:r>
        <w:r w:rsidR="00994E53">
          <w:fldChar w:fldCharType="end"/>
        </w:r>
      </w:hyperlink>
    </w:p>
    <w:p w14:paraId="6FCE1AF4" w14:textId="61CA7722" w:rsidR="00CE33F1" w:rsidRDefault="7222427F" w:rsidP="7222427F">
      <w:pPr>
        <w:pStyle w:val="TOC1"/>
        <w:tabs>
          <w:tab w:val="clear" w:pos="9016"/>
          <w:tab w:val="left" w:pos="390"/>
          <w:tab w:val="right" w:leader="dot" w:pos="9015"/>
        </w:tabs>
        <w:rPr>
          <w:rFonts w:eastAsiaTheme="minorEastAsia"/>
          <w:caps w:val="0"/>
          <w:noProof/>
          <w:kern w:val="2"/>
          <w:sz w:val="24"/>
          <w:szCs w:val="24"/>
          <w:lang w:eastAsia="en-IN"/>
          <w14:ligatures w14:val="standardContextual"/>
        </w:rPr>
      </w:pPr>
      <w:hyperlink w:anchor="_Toc335807091">
        <w:r w:rsidRPr="7222427F">
          <w:rPr>
            <w:rStyle w:val="Hyperlink"/>
          </w:rPr>
          <w:t>7</w:t>
        </w:r>
        <w:r w:rsidR="00994E53">
          <w:tab/>
        </w:r>
        <w:r w:rsidRPr="7222427F">
          <w:rPr>
            <w:rStyle w:val="Hyperlink"/>
          </w:rPr>
          <w:t>Fair Processing Guidelines</w:t>
        </w:r>
        <w:r w:rsidR="00994E53">
          <w:tab/>
        </w:r>
        <w:r w:rsidR="00994E53">
          <w:fldChar w:fldCharType="begin"/>
        </w:r>
        <w:r w:rsidR="00994E53">
          <w:instrText>PAGEREF _Toc335807091 \h</w:instrText>
        </w:r>
        <w:r w:rsidR="00994E53">
          <w:fldChar w:fldCharType="separate"/>
        </w:r>
        <w:r w:rsidR="00E65B4C">
          <w:rPr>
            <w:noProof/>
          </w:rPr>
          <w:t>8</w:t>
        </w:r>
        <w:r w:rsidR="00994E53">
          <w:fldChar w:fldCharType="end"/>
        </w:r>
      </w:hyperlink>
    </w:p>
    <w:p w14:paraId="50ECFEA5" w14:textId="298A921B" w:rsidR="00CE33F1" w:rsidRDefault="7222427F" w:rsidP="7222427F">
      <w:pPr>
        <w:pStyle w:val="TOC2"/>
        <w:tabs>
          <w:tab w:val="left" w:pos="600"/>
          <w:tab w:val="right" w:leader="dot" w:pos="9015"/>
        </w:tabs>
        <w:rPr>
          <w:rFonts w:eastAsiaTheme="minorEastAsia"/>
          <w:smallCaps w:val="0"/>
          <w:noProof/>
          <w:kern w:val="2"/>
          <w:sz w:val="24"/>
          <w:szCs w:val="24"/>
          <w:lang w:eastAsia="en-IN"/>
          <w14:ligatures w14:val="standardContextual"/>
        </w:rPr>
      </w:pPr>
      <w:hyperlink w:anchor="_Toc2032857723">
        <w:r w:rsidRPr="7222427F">
          <w:rPr>
            <w:rStyle w:val="Hyperlink"/>
          </w:rPr>
          <w:t>7.1</w:t>
        </w:r>
        <w:r w:rsidR="00994E53">
          <w:tab/>
        </w:r>
        <w:r w:rsidRPr="7222427F">
          <w:rPr>
            <w:rStyle w:val="Hyperlink"/>
          </w:rPr>
          <w:t>Notices to Data Subjects</w:t>
        </w:r>
        <w:r w:rsidR="00994E53">
          <w:tab/>
        </w:r>
        <w:r w:rsidR="00994E53">
          <w:fldChar w:fldCharType="begin"/>
        </w:r>
        <w:r w:rsidR="00994E53">
          <w:instrText>PAGEREF _Toc2032857723 \h</w:instrText>
        </w:r>
        <w:r w:rsidR="00994E53">
          <w:fldChar w:fldCharType="separate"/>
        </w:r>
        <w:r w:rsidR="00E65B4C">
          <w:rPr>
            <w:noProof/>
          </w:rPr>
          <w:t>8</w:t>
        </w:r>
        <w:r w:rsidR="00994E53">
          <w:fldChar w:fldCharType="end"/>
        </w:r>
      </w:hyperlink>
    </w:p>
    <w:p w14:paraId="2EF1F176" w14:textId="4AC99164" w:rsidR="00CE33F1" w:rsidRDefault="7222427F" w:rsidP="7222427F">
      <w:pPr>
        <w:pStyle w:val="TOC2"/>
        <w:tabs>
          <w:tab w:val="left" w:pos="600"/>
          <w:tab w:val="right" w:leader="dot" w:pos="9015"/>
        </w:tabs>
        <w:rPr>
          <w:rFonts w:eastAsiaTheme="minorEastAsia"/>
          <w:smallCaps w:val="0"/>
          <w:noProof/>
          <w:kern w:val="2"/>
          <w:sz w:val="24"/>
          <w:szCs w:val="24"/>
          <w:lang w:eastAsia="en-IN"/>
          <w14:ligatures w14:val="standardContextual"/>
        </w:rPr>
      </w:pPr>
      <w:hyperlink w:anchor="_Toc639968718">
        <w:r w:rsidRPr="7222427F">
          <w:rPr>
            <w:rStyle w:val="Hyperlink"/>
          </w:rPr>
          <w:t>7.2</w:t>
        </w:r>
        <w:r w:rsidR="00994E53">
          <w:tab/>
        </w:r>
        <w:r w:rsidRPr="7222427F">
          <w:rPr>
            <w:rStyle w:val="Hyperlink"/>
          </w:rPr>
          <w:t>Obtaining Consents</w:t>
        </w:r>
        <w:r w:rsidR="00994E53">
          <w:tab/>
        </w:r>
        <w:r w:rsidR="00994E53">
          <w:fldChar w:fldCharType="begin"/>
        </w:r>
        <w:r w:rsidR="00994E53">
          <w:instrText>PAGEREF _Toc639968718 \h</w:instrText>
        </w:r>
        <w:r w:rsidR="00994E53">
          <w:fldChar w:fldCharType="separate"/>
        </w:r>
        <w:r w:rsidR="00E65B4C">
          <w:rPr>
            <w:noProof/>
          </w:rPr>
          <w:t>8</w:t>
        </w:r>
        <w:r w:rsidR="00994E53">
          <w:fldChar w:fldCharType="end"/>
        </w:r>
      </w:hyperlink>
    </w:p>
    <w:p w14:paraId="12C8F677" w14:textId="4EFE8660" w:rsidR="00CE33F1" w:rsidRDefault="7222427F" w:rsidP="7222427F">
      <w:pPr>
        <w:pStyle w:val="TOC1"/>
        <w:tabs>
          <w:tab w:val="clear" w:pos="9016"/>
          <w:tab w:val="left" w:pos="390"/>
          <w:tab w:val="right" w:leader="dot" w:pos="9015"/>
        </w:tabs>
        <w:rPr>
          <w:rFonts w:eastAsiaTheme="minorEastAsia"/>
          <w:caps w:val="0"/>
          <w:noProof/>
          <w:kern w:val="2"/>
          <w:sz w:val="24"/>
          <w:szCs w:val="24"/>
          <w:lang w:eastAsia="en-IN"/>
          <w14:ligatures w14:val="standardContextual"/>
        </w:rPr>
      </w:pPr>
      <w:hyperlink w:anchor="_Toc1965867476">
        <w:r w:rsidRPr="7222427F">
          <w:rPr>
            <w:rStyle w:val="Hyperlink"/>
          </w:rPr>
          <w:t>8</w:t>
        </w:r>
        <w:r w:rsidR="00994E53">
          <w:tab/>
        </w:r>
        <w:r w:rsidRPr="7222427F">
          <w:rPr>
            <w:rStyle w:val="Hyperlink"/>
          </w:rPr>
          <w:t>Organization and Responsibilities</w:t>
        </w:r>
        <w:r w:rsidR="00994E53">
          <w:tab/>
        </w:r>
        <w:r w:rsidR="00994E53">
          <w:fldChar w:fldCharType="begin"/>
        </w:r>
        <w:r w:rsidR="00994E53">
          <w:instrText>PAGEREF _Toc1965867476 \h</w:instrText>
        </w:r>
        <w:r w:rsidR="00994E53">
          <w:fldChar w:fldCharType="separate"/>
        </w:r>
        <w:r w:rsidR="00E65B4C">
          <w:rPr>
            <w:noProof/>
          </w:rPr>
          <w:t>8</w:t>
        </w:r>
        <w:r w:rsidR="00994E53">
          <w:fldChar w:fldCharType="end"/>
        </w:r>
      </w:hyperlink>
    </w:p>
    <w:p w14:paraId="42A3E85B" w14:textId="6A49A2AA" w:rsidR="00CE33F1" w:rsidRDefault="7222427F" w:rsidP="7222427F">
      <w:pPr>
        <w:pStyle w:val="TOC1"/>
        <w:tabs>
          <w:tab w:val="clear" w:pos="9016"/>
          <w:tab w:val="left" w:pos="390"/>
          <w:tab w:val="right" w:leader="dot" w:pos="9015"/>
        </w:tabs>
        <w:rPr>
          <w:rFonts w:eastAsiaTheme="minorEastAsia"/>
          <w:b w:val="0"/>
          <w:bCs w:val="0"/>
          <w:caps w:val="0"/>
          <w:noProof/>
          <w:kern w:val="2"/>
          <w:sz w:val="24"/>
          <w:szCs w:val="24"/>
          <w:lang w:eastAsia="en-IN"/>
          <w14:ligatures w14:val="standardContextual"/>
        </w:rPr>
      </w:pPr>
      <w:hyperlink w:anchor="_Toc325482275">
        <w:r w:rsidRPr="7222427F">
          <w:rPr>
            <w:rStyle w:val="Hyperlink"/>
          </w:rPr>
          <w:t>9</w:t>
        </w:r>
        <w:r w:rsidR="00994E53">
          <w:tab/>
        </w:r>
        <w:r w:rsidRPr="7222427F">
          <w:rPr>
            <w:rStyle w:val="Hyperlink"/>
          </w:rPr>
          <w:t>Guidelines for Establishing the Lead Supervisory Authority</w:t>
        </w:r>
        <w:r w:rsidR="00994E53">
          <w:tab/>
        </w:r>
        <w:r w:rsidR="00994E53">
          <w:fldChar w:fldCharType="begin"/>
        </w:r>
        <w:r w:rsidR="00994E53">
          <w:instrText>PAGEREF _Toc325482275 \h</w:instrText>
        </w:r>
        <w:r w:rsidR="00994E53">
          <w:fldChar w:fldCharType="separate"/>
        </w:r>
        <w:r w:rsidR="00E65B4C">
          <w:rPr>
            <w:noProof/>
          </w:rPr>
          <w:t>11</w:t>
        </w:r>
        <w:r w:rsidR="00994E53">
          <w:fldChar w:fldCharType="end"/>
        </w:r>
      </w:hyperlink>
    </w:p>
    <w:p w14:paraId="2515BC95" w14:textId="59A63767" w:rsidR="00CE33F1" w:rsidRDefault="7222427F" w:rsidP="7222427F">
      <w:pPr>
        <w:pStyle w:val="TOC2"/>
        <w:tabs>
          <w:tab w:val="left" w:pos="600"/>
          <w:tab w:val="right" w:leader="dot" w:pos="9015"/>
        </w:tabs>
        <w:rPr>
          <w:rFonts w:eastAsiaTheme="minorEastAsia"/>
          <w:smallCaps w:val="0"/>
          <w:noProof/>
          <w:kern w:val="2"/>
          <w:sz w:val="24"/>
          <w:szCs w:val="24"/>
          <w:lang w:eastAsia="en-IN"/>
          <w14:ligatures w14:val="standardContextual"/>
        </w:rPr>
      </w:pPr>
      <w:hyperlink w:anchor="_Toc1217413577">
        <w:r w:rsidRPr="7222427F">
          <w:rPr>
            <w:rStyle w:val="Hyperlink"/>
          </w:rPr>
          <w:t>9.1</w:t>
        </w:r>
        <w:r w:rsidR="00994E53">
          <w:tab/>
        </w:r>
        <w:r w:rsidRPr="7222427F">
          <w:rPr>
            <w:rStyle w:val="Hyperlink"/>
          </w:rPr>
          <w:t>Necessity to Establish the Lead Supervisory Authority</w:t>
        </w:r>
        <w:r w:rsidR="00994E53">
          <w:tab/>
        </w:r>
        <w:r w:rsidR="00994E53">
          <w:fldChar w:fldCharType="begin"/>
        </w:r>
        <w:r w:rsidR="00994E53">
          <w:instrText>PAGEREF _Toc1217413577 \h</w:instrText>
        </w:r>
        <w:r w:rsidR="00994E53">
          <w:fldChar w:fldCharType="separate"/>
        </w:r>
        <w:r w:rsidR="00E65B4C">
          <w:rPr>
            <w:noProof/>
          </w:rPr>
          <w:t>11</w:t>
        </w:r>
        <w:r w:rsidR="00994E53">
          <w:fldChar w:fldCharType="end"/>
        </w:r>
      </w:hyperlink>
    </w:p>
    <w:p w14:paraId="4DF06B95" w14:textId="4E5A3B17" w:rsidR="00CE33F1" w:rsidRDefault="7222427F" w:rsidP="7222427F">
      <w:pPr>
        <w:pStyle w:val="TOC2"/>
        <w:tabs>
          <w:tab w:val="left" w:pos="600"/>
          <w:tab w:val="right" w:leader="dot" w:pos="9015"/>
        </w:tabs>
        <w:rPr>
          <w:rFonts w:eastAsiaTheme="minorEastAsia"/>
          <w:smallCaps w:val="0"/>
          <w:noProof/>
          <w:kern w:val="2"/>
          <w:sz w:val="24"/>
          <w:szCs w:val="24"/>
          <w:lang w:eastAsia="en-IN"/>
          <w14:ligatures w14:val="standardContextual"/>
        </w:rPr>
      </w:pPr>
      <w:hyperlink w:anchor="_Toc1882146323">
        <w:r w:rsidRPr="7222427F">
          <w:rPr>
            <w:rStyle w:val="Hyperlink"/>
          </w:rPr>
          <w:t>9.2</w:t>
        </w:r>
        <w:r w:rsidR="00994E53">
          <w:tab/>
        </w:r>
        <w:r w:rsidRPr="7222427F">
          <w:rPr>
            <w:rStyle w:val="Hyperlink"/>
          </w:rPr>
          <w:t>Main Establishment and the Lead Supervisory Authority</w:t>
        </w:r>
        <w:r w:rsidR="00994E53">
          <w:tab/>
        </w:r>
        <w:r w:rsidR="00994E53">
          <w:fldChar w:fldCharType="begin"/>
        </w:r>
        <w:r w:rsidR="00994E53">
          <w:instrText>PAGEREF _Toc1882146323 \h</w:instrText>
        </w:r>
        <w:r w:rsidR="00994E53">
          <w:fldChar w:fldCharType="separate"/>
        </w:r>
        <w:r w:rsidR="00E65B4C">
          <w:rPr>
            <w:noProof/>
          </w:rPr>
          <w:t>12</w:t>
        </w:r>
        <w:r w:rsidR="00994E53">
          <w:fldChar w:fldCharType="end"/>
        </w:r>
      </w:hyperlink>
    </w:p>
    <w:p w14:paraId="1B5C0999" w14:textId="0480E9E4" w:rsidR="00CE33F1" w:rsidRDefault="7222427F" w:rsidP="7222427F">
      <w:pPr>
        <w:pStyle w:val="TOC3"/>
        <w:tabs>
          <w:tab w:val="clear" w:pos="9016"/>
          <w:tab w:val="left" w:pos="990"/>
          <w:tab w:val="right" w:leader="dot" w:pos="9015"/>
        </w:tabs>
        <w:rPr>
          <w:rFonts w:eastAsiaTheme="minorEastAsia"/>
          <w:noProof/>
          <w:kern w:val="2"/>
          <w:sz w:val="24"/>
          <w:szCs w:val="24"/>
          <w:lang w:eastAsia="en-IN"/>
          <w14:ligatures w14:val="standardContextual"/>
        </w:rPr>
      </w:pPr>
      <w:hyperlink w:anchor="_Toc1670792533">
        <w:r w:rsidRPr="7222427F">
          <w:rPr>
            <w:rStyle w:val="Hyperlink"/>
          </w:rPr>
          <w:t>9.2.1</w:t>
        </w:r>
        <w:r w:rsidR="00994E53">
          <w:tab/>
        </w:r>
        <w:r w:rsidRPr="7222427F">
          <w:rPr>
            <w:rStyle w:val="Hyperlink"/>
          </w:rPr>
          <w:t>Main Establishment for the DPO</w:t>
        </w:r>
        <w:r w:rsidR="00994E53">
          <w:tab/>
        </w:r>
        <w:r w:rsidR="00994E53">
          <w:fldChar w:fldCharType="begin"/>
        </w:r>
        <w:r w:rsidR="00994E53">
          <w:instrText>PAGEREF _Toc1670792533 \h</w:instrText>
        </w:r>
        <w:r w:rsidR="00994E53">
          <w:fldChar w:fldCharType="separate"/>
        </w:r>
        <w:r w:rsidR="00E65B4C">
          <w:rPr>
            <w:noProof/>
          </w:rPr>
          <w:t>12</w:t>
        </w:r>
        <w:r w:rsidR="00994E53">
          <w:fldChar w:fldCharType="end"/>
        </w:r>
      </w:hyperlink>
    </w:p>
    <w:p w14:paraId="34E8FD96" w14:textId="79EDB46C" w:rsidR="00CE33F1" w:rsidRDefault="7222427F" w:rsidP="7222427F">
      <w:pPr>
        <w:pStyle w:val="TOC3"/>
        <w:tabs>
          <w:tab w:val="clear" w:pos="9016"/>
          <w:tab w:val="left" w:pos="990"/>
          <w:tab w:val="right" w:leader="dot" w:pos="9015"/>
        </w:tabs>
        <w:rPr>
          <w:rFonts w:eastAsiaTheme="minorEastAsia"/>
          <w:i w:val="0"/>
          <w:iCs w:val="0"/>
          <w:noProof/>
          <w:kern w:val="2"/>
          <w:sz w:val="24"/>
          <w:szCs w:val="24"/>
          <w:lang w:eastAsia="en-IN"/>
          <w14:ligatures w14:val="standardContextual"/>
        </w:rPr>
      </w:pPr>
      <w:hyperlink w:anchor="_Toc309899393">
        <w:r w:rsidRPr="7222427F">
          <w:rPr>
            <w:rStyle w:val="Hyperlink"/>
          </w:rPr>
          <w:t>9.2.2</w:t>
        </w:r>
        <w:r w:rsidR="00994E53">
          <w:tab/>
        </w:r>
        <w:r w:rsidRPr="7222427F">
          <w:rPr>
            <w:rStyle w:val="Hyperlink"/>
          </w:rPr>
          <w:t>Main Establishment for the Data Processor</w:t>
        </w:r>
        <w:r w:rsidR="00994E53">
          <w:tab/>
        </w:r>
        <w:r w:rsidR="00994E53">
          <w:fldChar w:fldCharType="begin"/>
        </w:r>
        <w:r w:rsidR="00994E53">
          <w:instrText>PAGEREF _Toc309899393 \h</w:instrText>
        </w:r>
        <w:r w:rsidR="00994E53">
          <w:fldChar w:fldCharType="separate"/>
        </w:r>
        <w:r w:rsidR="00E65B4C">
          <w:rPr>
            <w:noProof/>
          </w:rPr>
          <w:t>12</w:t>
        </w:r>
        <w:r w:rsidR="00994E53">
          <w:fldChar w:fldCharType="end"/>
        </w:r>
      </w:hyperlink>
    </w:p>
    <w:p w14:paraId="69553683" w14:textId="4DD95136" w:rsidR="00CE33F1" w:rsidRDefault="7222427F" w:rsidP="7222427F">
      <w:pPr>
        <w:pStyle w:val="TOC3"/>
        <w:tabs>
          <w:tab w:val="clear" w:pos="9016"/>
          <w:tab w:val="left" w:pos="990"/>
          <w:tab w:val="right" w:leader="dot" w:pos="9015"/>
        </w:tabs>
        <w:rPr>
          <w:rFonts w:eastAsiaTheme="minorEastAsia"/>
          <w:i w:val="0"/>
          <w:iCs w:val="0"/>
          <w:noProof/>
          <w:kern w:val="2"/>
          <w:sz w:val="24"/>
          <w:szCs w:val="24"/>
          <w:lang w:eastAsia="en-IN"/>
          <w14:ligatures w14:val="standardContextual"/>
        </w:rPr>
      </w:pPr>
      <w:hyperlink w:anchor="_Toc167281080">
        <w:r w:rsidRPr="7222427F">
          <w:rPr>
            <w:rStyle w:val="Hyperlink"/>
          </w:rPr>
          <w:t>9.2.3</w:t>
        </w:r>
        <w:r w:rsidR="00994E53">
          <w:tab/>
        </w:r>
        <w:r w:rsidRPr="7222427F">
          <w:rPr>
            <w:rStyle w:val="Hyperlink"/>
          </w:rPr>
          <w:t>Main Establishment for Non-EU Companies for DPOs and Processors</w:t>
        </w:r>
        <w:r w:rsidR="00994E53">
          <w:tab/>
        </w:r>
        <w:r w:rsidR="00994E53">
          <w:fldChar w:fldCharType="begin"/>
        </w:r>
        <w:r w:rsidR="00994E53">
          <w:instrText>PAGEREF _Toc167281080 \h</w:instrText>
        </w:r>
        <w:r w:rsidR="00994E53">
          <w:fldChar w:fldCharType="separate"/>
        </w:r>
        <w:r w:rsidR="00E65B4C">
          <w:rPr>
            <w:noProof/>
          </w:rPr>
          <w:t>12</w:t>
        </w:r>
        <w:r w:rsidR="00994E53">
          <w:fldChar w:fldCharType="end"/>
        </w:r>
      </w:hyperlink>
    </w:p>
    <w:p w14:paraId="05192353" w14:textId="0E82CDF2" w:rsidR="00CE33F1" w:rsidRDefault="7222427F" w:rsidP="7222427F">
      <w:pPr>
        <w:pStyle w:val="TOC1"/>
        <w:tabs>
          <w:tab w:val="clear" w:pos="9016"/>
          <w:tab w:val="left" w:pos="390"/>
          <w:tab w:val="right" w:leader="dot" w:pos="9015"/>
        </w:tabs>
        <w:rPr>
          <w:rFonts w:eastAsiaTheme="minorEastAsia"/>
          <w:noProof/>
          <w:kern w:val="2"/>
          <w:sz w:val="24"/>
          <w:szCs w:val="24"/>
          <w:lang w:eastAsia="en-IN"/>
          <w14:ligatures w14:val="standardContextual"/>
        </w:rPr>
      </w:pPr>
      <w:hyperlink w:anchor="_Toc482108344">
        <w:r w:rsidRPr="7222427F">
          <w:rPr>
            <w:rStyle w:val="Hyperlink"/>
          </w:rPr>
          <w:t>10</w:t>
        </w:r>
        <w:r w:rsidR="00994E53">
          <w:tab/>
        </w:r>
        <w:r w:rsidRPr="7222427F">
          <w:rPr>
            <w:rStyle w:val="Hyperlink"/>
          </w:rPr>
          <w:t>Response to Personal Data Breach Incidents</w:t>
        </w:r>
        <w:r w:rsidR="00994E53">
          <w:tab/>
        </w:r>
        <w:r w:rsidR="00994E53">
          <w:fldChar w:fldCharType="begin"/>
        </w:r>
        <w:r w:rsidR="00994E53">
          <w:instrText>PAGEREF _Toc482108344 \h</w:instrText>
        </w:r>
        <w:r w:rsidR="00994E53">
          <w:fldChar w:fldCharType="separate"/>
        </w:r>
        <w:r w:rsidR="00E65B4C">
          <w:rPr>
            <w:noProof/>
          </w:rPr>
          <w:t>12</w:t>
        </w:r>
        <w:r w:rsidR="00994E53">
          <w:fldChar w:fldCharType="end"/>
        </w:r>
      </w:hyperlink>
    </w:p>
    <w:p w14:paraId="306CD190" w14:textId="28B2A87A" w:rsidR="00CE33F1" w:rsidRDefault="7222427F" w:rsidP="7222427F">
      <w:pPr>
        <w:pStyle w:val="TOC1"/>
        <w:tabs>
          <w:tab w:val="clear" w:pos="9016"/>
          <w:tab w:val="left" w:pos="390"/>
          <w:tab w:val="right" w:leader="dot" w:pos="9015"/>
        </w:tabs>
        <w:rPr>
          <w:rFonts w:eastAsiaTheme="minorEastAsia"/>
          <w:b w:val="0"/>
          <w:bCs w:val="0"/>
          <w:caps w:val="0"/>
          <w:noProof/>
          <w:kern w:val="2"/>
          <w:sz w:val="24"/>
          <w:szCs w:val="24"/>
          <w:lang w:eastAsia="en-IN"/>
          <w14:ligatures w14:val="standardContextual"/>
        </w:rPr>
      </w:pPr>
      <w:hyperlink w:anchor="_Toc580203500">
        <w:r w:rsidRPr="7222427F">
          <w:rPr>
            <w:rStyle w:val="Hyperlink"/>
          </w:rPr>
          <w:t>11</w:t>
        </w:r>
        <w:r w:rsidR="00994E53">
          <w:tab/>
        </w:r>
        <w:r w:rsidRPr="7222427F">
          <w:rPr>
            <w:rStyle w:val="Hyperlink"/>
          </w:rPr>
          <w:t>Audit and Accountability</w:t>
        </w:r>
        <w:r w:rsidR="00994E53">
          <w:tab/>
        </w:r>
        <w:r w:rsidR="00994E53">
          <w:fldChar w:fldCharType="begin"/>
        </w:r>
        <w:r w:rsidR="00994E53">
          <w:instrText>PAGEREF _Toc580203500 \h</w:instrText>
        </w:r>
        <w:r w:rsidR="00994E53">
          <w:fldChar w:fldCharType="separate"/>
        </w:r>
        <w:r w:rsidR="00E65B4C">
          <w:rPr>
            <w:noProof/>
          </w:rPr>
          <w:t>12</w:t>
        </w:r>
        <w:r w:rsidR="00994E53">
          <w:fldChar w:fldCharType="end"/>
        </w:r>
      </w:hyperlink>
    </w:p>
    <w:p w14:paraId="59B053CF" w14:textId="44F32D21" w:rsidR="00CE33F1" w:rsidRDefault="7222427F" w:rsidP="7222427F">
      <w:pPr>
        <w:pStyle w:val="TOC1"/>
        <w:tabs>
          <w:tab w:val="clear" w:pos="9016"/>
          <w:tab w:val="left" w:pos="390"/>
          <w:tab w:val="right" w:leader="dot" w:pos="9015"/>
        </w:tabs>
        <w:rPr>
          <w:rFonts w:eastAsiaTheme="minorEastAsia"/>
          <w:b w:val="0"/>
          <w:bCs w:val="0"/>
          <w:caps w:val="0"/>
          <w:noProof/>
          <w:kern w:val="2"/>
          <w:sz w:val="24"/>
          <w:szCs w:val="24"/>
          <w:lang w:eastAsia="en-IN"/>
          <w14:ligatures w14:val="standardContextual"/>
        </w:rPr>
      </w:pPr>
      <w:hyperlink w:anchor="_Toc1328225242">
        <w:r w:rsidRPr="7222427F">
          <w:rPr>
            <w:rStyle w:val="Hyperlink"/>
          </w:rPr>
          <w:t>12</w:t>
        </w:r>
        <w:r w:rsidR="00994E53">
          <w:tab/>
        </w:r>
        <w:r w:rsidRPr="7222427F">
          <w:rPr>
            <w:rStyle w:val="Hyperlink"/>
          </w:rPr>
          <w:t>Conflicts of Law</w:t>
        </w:r>
        <w:r w:rsidR="00994E53">
          <w:tab/>
        </w:r>
        <w:r w:rsidR="00994E53">
          <w:fldChar w:fldCharType="begin"/>
        </w:r>
        <w:r w:rsidR="00994E53">
          <w:instrText>PAGEREF _Toc1328225242 \h</w:instrText>
        </w:r>
        <w:r w:rsidR="00994E53">
          <w:fldChar w:fldCharType="separate"/>
        </w:r>
        <w:r w:rsidR="00E65B4C">
          <w:rPr>
            <w:noProof/>
          </w:rPr>
          <w:t>12</w:t>
        </w:r>
        <w:r w:rsidR="00994E53">
          <w:fldChar w:fldCharType="end"/>
        </w:r>
      </w:hyperlink>
    </w:p>
    <w:p w14:paraId="5C8C0583" w14:textId="53514629" w:rsidR="00CE33F1" w:rsidRDefault="7222427F" w:rsidP="7222427F">
      <w:pPr>
        <w:pStyle w:val="TOC1"/>
        <w:tabs>
          <w:tab w:val="clear" w:pos="9016"/>
          <w:tab w:val="left" w:pos="390"/>
          <w:tab w:val="right" w:leader="dot" w:pos="9015"/>
        </w:tabs>
        <w:rPr>
          <w:rFonts w:eastAsiaTheme="minorEastAsia"/>
          <w:b w:val="0"/>
          <w:bCs w:val="0"/>
          <w:caps w:val="0"/>
          <w:noProof/>
          <w:kern w:val="2"/>
          <w:sz w:val="24"/>
          <w:szCs w:val="24"/>
          <w:lang w:eastAsia="en-IN"/>
          <w14:ligatures w14:val="standardContextual"/>
        </w:rPr>
      </w:pPr>
      <w:hyperlink w:anchor="_Toc162992394">
        <w:r w:rsidRPr="7222427F">
          <w:rPr>
            <w:rStyle w:val="Hyperlink"/>
          </w:rPr>
          <w:t>13</w:t>
        </w:r>
        <w:r w:rsidR="00994E53">
          <w:tab/>
        </w:r>
        <w:r w:rsidRPr="7222427F">
          <w:rPr>
            <w:rStyle w:val="Hyperlink"/>
          </w:rPr>
          <w:t>Managing records kept on the basis of this document</w:t>
        </w:r>
        <w:r w:rsidR="00994E53">
          <w:tab/>
        </w:r>
        <w:r w:rsidR="00994E53">
          <w:fldChar w:fldCharType="begin"/>
        </w:r>
        <w:r w:rsidR="00994E53">
          <w:instrText>PAGEREF _Toc162992394 \h</w:instrText>
        </w:r>
        <w:r w:rsidR="00994E53">
          <w:fldChar w:fldCharType="separate"/>
        </w:r>
        <w:r w:rsidR="00E65B4C">
          <w:rPr>
            <w:noProof/>
          </w:rPr>
          <w:t>12</w:t>
        </w:r>
        <w:r w:rsidR="00994E53">
          <w:fldChar w:fldCharType="end"/>
        </w:r>
      </w:hyperlink>
    </w:p>
    <w:p w14:paraId="02BC6037" w14:textId="69918AD6" w:rsidR="00CE33F1" w:rsidRDefault="7222427F" w:rsidP="7222427F">
      <w:pPr>
        <w:pStyle w:val="TOC1"/>
        <w:tabs>
          <w:tab w:val="clear" w:pos="9016"/>
          <w:tab w:val="left" w:pos="390"/>
          <w:tab w:val="right" w:leader="dot" w:pos="9015"/>
        </w:tabs>
        <w:rPr>
          <w:rFonts w:eastAsiaTheme="minorEastAsia"/>
          <w:b w:val="0"/>
          <w:bCs w:val="0"/>
          <w:caps w:val="0"/>
          <w:noProof/>
          <w:kern w:val="2"/>
          <w:sz w:val="24"/>
          <w:szCs w:val="24"/>
          <w:lang w:eastAsia="en-IN"/>
          <w14:ligatures w14:val="standardContextual"/>
        </w:rPr>
      </w:pPr>
      <w:hyperlink w:anchor="_Toc1018947185">
        <w:r w:rsidRPr="7222427F">
          <w:rPr>
            <w:rStyle w:val="Hyperlink"/>
          </w:rPr>
          <w:t>14</w:t>
        </w:r>
        <w:r w:rsidR="00994E53">
          <w:tab/>
        </w:r>
        <w:r w:rsidRPr="7222427F">
          <w:rPr>
            <w:rStyle w:val="Hyperlink"/>
          </w:rPr>
          <w:t>Validity and document management</w:t>
        </w:r>
        <w:r w:rsidR="00994E53">
          <w:tab/>
        </w:r>
        <w:r w:rsidR="00994E53">
          <w:fldChar w:fldCharType="begin"/>
        </w:r>
        <w:r w:rsidR="00994E53">
          <w:instrText>PAGEREF _Toc1018947185 \h</w:instrText>
        </w:r>
        <w:r w:rsidR="00994E53">
          <w:fldChar w:fldCharType="separate"/>
        </w:r>
        <w:r w:rsidR="00E65B4C">
          <w:rPr>
            <w:noProof/>
          </w:rPr>
          <w:t>13</w:t>
        </w:r>
        <w:r w:rsidR="00994E53">
          <w:fldChar w:fldCharType="end"/>
        </w:r>
      </w:hyperlink>
      <w:r w:rsidR="00994E53">
        <w:fldChar w:fldCharType="end"/>
      </w:r>
    </w:p>
    <w:p w14:paraId="09F56A91" w14:textId="4D3CEB2C" w:rsidR="00CE33F1" w:rsidRDefault="00CE33F1" w:rsidP="00962CD1">
      <w:pPr>
        <w:rPr>
          <w:rFonts w:ascii="Arial" w:eastAsiaTheme="majorEastAsia" w:hAnsi="Arial" w:cs="Arial"/>
          <w:b/>
          <w:kern w:val="36"/>
          <w:sz w:val="28"/>
          <w:szCs w:val="28"/>
          <w:lang w:val="en-US" w:eastAsia="en-IN"/>
        </w:rPr>
      </w:pPr>
    </w:p>
    <w:p w14:paraId="5AE16AD7" w14:textId="72964581" w:rsidR="0066248A" w:rsidRPr="006746F7" w:rsidRDefault="0066248A" w:rsidP="00575D8A">
      <w:pPr>
        <w:pStyle w:val="Heading1"/>
        <w:rPr>
          <w:rFonts w:ascii="Arial" w:eastAsiaTheme="majorEastAsia" w:hAnsi="Arial" w:cs="Arial"/>
          <w:lang w:val="en-US"/>
        </w:rPr>
      </w:pPr>
      <w:bookmarkStart w:id="3" w:name="_Toc1499160251"/>
      <w:r w:rsidRPr="006746F7">
        <w:rPr>
          <w:rFonts w:ascii="Arial" w:eastAsiaTheme="majorEastAsia" w:hAnsi="Arial" w:cs="Arial"/>
          <w:lang w:val="en-US"/>
        </w:rPr>
        <w:t>Purpose</w:t>
      </w:r>
      <w:bookmarkEnd w:id="3"/>
    </w:p>
    <w:p w14:paraId="14CC8F3A" w14:textId="615FCC0B" w:rsidR="00915CA2" w:rsidRDefault="00BE00EA" w:rsidP="008C2113">
      <w:r w:rsidRPr="00BE00EA">
        <w:t xml:space="preserve">Netradyne, hereinafter referred to as the “Company”, strives to comply with applicable laws and regulations related to Personal Data protection in countries where the Company operates. This Policy sets forth the basic principles by which the Company processes the Personal Data of consumers, customers, suppliers, business partners, </w:t>
      </w:r>
      <w:r w:rsidR="002857DA" w:rsidRPr="00BE00EA">
        <w:t>employees,</w:t>
      </w:r>
      <w:r w:rsidRPr="00BE00EA">
        <w:t xml:space="preserve"> and other individuals, and indicates the responsibilities of its business departments and employees while processing Personal Data</w:t>
      </w:r>
      <w:r w:rsidR="00174272" w:rsidRPr="00174272">
        <w:t>.</w:t>
      </w:r>
    </w:p>
    <w:p w14:paraId="2BE850C5" w14:textId="3501AC7D" w:rsidR="0066248A" w:rsidRPr="006746F7" w:rsidRDefault="0066248A" w:rsidP="009416BB">
      <w:pPr>
        <w:pStyle w:val="Heading1"/>
        <w:rPr>
          <w:rFonts w:ascii="Arial" w:eastAsiaTheme="majorEastAsia" w:hAnsi="Arial" w:cs="Arial"/>
        </w:rPr>
      </w:pPr>
      <w:bookmarkStart w:id="4" w:name="_Toc1031888098"/>
      <w:r w:rsidRPr="006746F7">
        <w:rPr>
          <w:rFonts w:ascii="Arial" w:eastAsiaTheme="majorEastAsia" w:hAnsi="Arial" w:cs="Arial"/>
        </w:rPr>
        <w:t>Scope</w:t>
      </w:r>
      <w:bookmarkEnd w:id="4"/>
    </w:p>
    <w:p w14:paraId="1C42F767" w14:textId="2931BF6D" w:rsidR="00E01579" w:rsidRPr="00E01579" w:rsidRDefault="00E01579" w:rsidP="008C2113">
      <w:r w:rsidRPr="00E01579">
        <w:t xml:space="preserve">This document applies to all </w:t>
      </w:r>
      <w:r w:rsidR="00F16F92">
        <w:t>NETRADYNE</w:t>
      </w:r>
      <w:r w:rsidRPr="00E01579">
        <w:t xml:space="preserve"> activities, </w:t>
      </w:r>
      <w:r w:rsidR="009C325B" w:rsidRPr="00E01579">
        <w:t>departments,</w:t>
      </w:r>
      <w:r w:rsidRPr="00E01579">
        <w:t xml:space="preserve"> and divisions processing and/or utilizing </w:t>
      </w:r>
      <w:r w:rsidR="0087203D">
        <w:t>personal data</w:t>
      </w:r>
      <w:r w:rsidR="00996B27">
        <w:t xml:space="preserve"> (including personal health data (PHI))</w:t>
      </w:r>
      <w:r w:rsidR="0087203D">
        <w:t xml:space="preserve"> of </w:t>
      </w:r>
      <w:r w:rsidR="00F740BE">
        <w:t xml:space="preserve">Netradyne’s </w:t>
      </w:r>
      <w:r w:rsidR="001A039B" w:rsidRPr="00BE00EA">
        <w:t xml:space="preserve">consumers, customers, suppliers, business partners, </w:t>
      </w:r>
      <w:r w:rsidR="002857DA" w:rsidRPr="00BE00EA">
        <w:t>employees,</w:t>
      </w:r>
      <w:r w:rsidR="001A039B" w:rsidRPr="00BE00EA">
        <w:t xml:space="preserve"> and other individuals</w:t>
      </w:r>
      <w:r w:rsidRPr="00E01579">
        <w:t xml:space="preserve">.  </w:t>
      </w:r>
      <w:r w:rsidR="00BA74DB" w:rsidRPr="005D63FD">
        <w:t xml:space="preserve">The users of this document are all employees, permanent or temporary, and all contractors working on behalf of </w:t>
      </w:r>
      <w:r w:rsidR="00BA74DB">
        <w:t>t</w:t>
      </w:r>
      <w:r w:rsidR="00BA74DB" w:rsidRPr="005D63FD">
        <w:t>he Company</w:t>
      </w:r>
      <w:r w:rsidR="00B33F45">
        <w:t>.</w:t>
      </w:r>
    </w:p>
    <w:p w14:paraId="708A7505" w14:textId="77777777" w:rsidR="00906020" w:rsidRPr="006746F7" w:rsidRDefault="00941332" w:rsidP="00906020">
      <w:pPr>
        <w:pStyle w:val="Heading1"/>
        <w:rPr>
          <w:rFonts w:ascii="Arial" w:eastAsiaTheme="majorEastAsia" w:hAnsi="Arial" w:cs="Arial"/>
        </w:rPr>
      </w:pPr>
      <w:bookmarkStart w:id="5" w:name="_Toc2030143896"/>
      <w:r w:rsidRPr="006746F7">
        <w:rPr>
          <w:rFonts w:ascii="Arial" w:eastAsiaTheme="majorEastAsia" w:hAnsi="Arial" w:cs="Arial"/>
        </w:rPr>
        <w:t xml:space="preserve">Roles and </w:t>
      </w:r>
      <w:r w:rsidR="009C005D" w:rsidRPr="006746F7">
        <w:rPr>
          <w:rFonts w:ascii="Arial" w:eastAsiaTheme="majorEastAsia" w:hAnsi="Arial" w:cs="Arial"/>
        </w:rPr>
        <w:t>Responsibilities</w:t>
      </w:r>
      <w:bookmarkEnd w:id="5"/>
      <w:r w:rsidRPr="006746F7">
        <w:rPr>
          <w:rFonts w:ascii="Arial" w:eastAsiaTheme="majorEastAsia" w:hAnsi="Arial" w:cs="Arial"/>
        </w:rPr>
        <w:t xml:space="preserve"> </w:t>
      </w:r>
    </w:p>
    <w:p w14:paraId="0AB82CF1" w14:textId="77777777" w:rsidR="00906020" w:rsidRPr="00906020" w:rsidRDefault="00906020" w:rsidP="00906020">
      <w:r>
        <w:rPr>
          <w:rFonts w:eastAsiaTheme="majorEastAsia"/>
        </w:rPr>
        <w:t xml:space="preserve">Roles </w:t>
      </w:r>
      <w:r w:rsidRPr="00906020">
        <w:t>and responsibilities specific to this document are included below:</w:t>
      </w:r>
    </w:p>
    <w:tbl>
      <w:tblPr>
        <w:tblStyle w:val="PlainTable5"/>
        <w:tblW w:w="0" w:type="auto"/>
        <w:tblLook w:val="04A0" w:firstRow="1" w:lastRow="0" w:firstColumn="1" w:lastColumn="0" w:noHBand="0" w:noVBand="1"/>
      </w:tblPr>
      <w:tblGrid>
        <w:gridCol w:w="2533"/>
        <w:gridCol w:w="6051"/>
      </w:tblGrid>
      <w:tr w:rsidR="00906020" w14:paraId="4C13DC3F" w14:textId="77777777" w:rsidTr="009060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3" w:type="dxa"/>
            <w:vAlign w:val="center"/>
          </w:tcPr>
          <w:p w14:paraId="56A0D139" w14:textId="77777777" w:rsidR="00906020" w:rsidRPr="00906020" w:rsidRDefault="00906020" w:rsidP="00906020">
            <w:pPr>
              <w:jc w:val="left"/>
              <w:rPr>
                <w:b/>
                <w:bCs/>
              </w:rPr>
            </w:pPr>
            <w:r w:rsidRPr="00906020">
              <w:rPr>
                <w:b/>
                <w:bCs/>
              </w:rPr>
              <w:t>Role</w:t>
            </w:r>
          </w:p>
        </w:tc>
        <w:tc>
          <w:tcPr>
            <w:tcW w:w="6051" w:type="dxa"/>
            <w:vAlign w:val="center"/>
          </w:tcPr>
          <w:p w14:paraId="72874FF8" w14:textId="77777777" w:rsidR="00906020" w:rsidRPr="00906020" w:rsidRDefault="00906020" w:rsidP="00906020">
            <w:pPr>
              <w:cnfStyle w:val="100000000000" w:firstRow="1" w:lastRow="0" w:firstColumn="0" w:lastColumn="0" w:oddVBand="0" w:evenVBand="0" w:oddHBand="0" w:evenHBand="0" w:firstRowFirstColumn="0" w:firstRowLastColumn="0" w:lastRowFirstColumn="0" w:lastRowLastColumn="0"/>
              <w:rPr>
                <w:b/>
                <w:bCs/>
              </w:rPr>
            </w:pPr>
            <w:r w:rsidRPr="00906020">
              <w:rPr>
                <w:b/>
                <w:bCs/>
              </w:rPr>
              <w:t>Responsibilities</w:t>
            </w:r>
          </w:p>
        </w:tc>
      </w:tr>
      <w:tr w:rsidR="00906020" w14:paraId="28F4D30B" w14:textId="77777777" w:rsidTr="00906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14:paraId="30F5402B" w14:textId="77777777" w:rsidR="00906020" w:rsidRPr="00906020" w:rsidRDefault="00F0333D" w:rsidP="00906020">
            <w:pPr>
              <w:jc w:val="left"/>
              <w:rPr>
                <w:i w:val="0"/>
                <w:iCs w:val="0"/>
              </w:rPr>
            </w:pPr>
            <w:r>
              <w:rPr>
                <w:i w:val="0"/>
                <w:iCs w:val="0"/>
              </w:rPr>
              <w:t>Owner</w:t>
            </w:r>
          </w:p>
        </w:tc>
        <w:tc>
          <w:tcPr>
            <w:tcW w:w="6051" w:type="dxa"/>
            <w:vAlign w:val="center"/>
          </w:tcPr>
          <w:p w14:paraId="509616C8" w14:textId="07CC42EB" w:rsidR="00F0333D" w:rsidRPr="00906020" w:rsidRDefault="3D922B1D" w:rsidP="2E9A36E8">
            <w:pPr>
              <w:cnfStyle w:val="000000100000" w:firstRow="0" w:lastRow="0" w:firstColumn="0" w:lastColumn="0" w:oddVBand="0" w:evenVBand="0" w:oddHBand="1" w:evenHBand="0" w:firstRowFirstColumn="0" w:firstRowLastColumn="0" w:lastRowFirstColumn="0" w:lastRowLastColumn="0"/>
              <w:rPr>
                <w:szCs w:val="18"/>
              </w:rPr>
            </w:pPr>
            <w:r w:rsidRPr="2E9A36E8">
              <w:rPr>
                <w:szCs w:val="18"/>
              </w:rPr>
              <w:t>Privacy</w:t>
            </w:r>
          </w:p>
        </w:tc>
      </w:tr>
      <w:tr w:rsidR="00906020" w14:paraId="22A82CFA" w14:textId="77777777" w:rsidTr="00906020">
        <w:tc>
          <w:tcPr>
            <w:cnfStyle w:val="001000000000" w:firstRow="0" w:lastRow="0" w:firstColumn="1" w:lastColumn="0" w:oddVBand="0" w:evenVBand="0" w:oddHBand="0" w:evenHBand="0" w:firstRowFirstColumn="0" w:firstRowLastColumn="0" w:lastRowFirstColumn="0" w:lastRowLastColumn="0"/>
            <w:tcW w:w="2533" w:type="dxa"/>
            <w:vAlign w:val="center"/>
          </w:tcPr>
          <w:p w14:paraId="53512569" w14:textId="77777777" w:rsidR="00906020" w:rsidRPr="00906020" w:rsidRDefault="00F0333D" w:rsidP="00906020">
            <w:pPr>
              <w:jc w:val="left"/>
              <w:rPr>
                <w:i w:val="0"/>
                <w:iCs w:val="0"/>
              </w:rPr>
            </w:pPr>
            <w:r>
              <w:rPr>
                <w:i w:val="0"/>
                <w:iCs w:val="0"/>
              </w:rPr>
              <w:t>Reviewers/Stakeholders</w:t>
            </w:r>
          </w:p>
        </w:tc>
        <w:tc>
          <w:tcPr>
            <w:tcW w:w="6051" w:type="dxa"/>
            <w:vAlign w:val="center"/>
          </w:tcPr>
          <w:p w14:paraId="6B1513DE" w14:textId="0538F959" w:rsidR="00906020" w:rsidRPr="00906020" w:rsidRDefault="33F4B43B" w:rsidP="00906020">
            <w:pPr>
              <w:cnfStyle w:val="000000000000" w:firstRow="0" w:lastRow="0" w:firstColumn="0" w:lastColumn="0" w:oddVBand="0" w:evenVBand="0" w:oddHBand="0" w:evenHBand="0" w:firstRowFirstColumn="0" w:firstRowLastColumn="0" w:lastRowFirstColumn="0" w:lastRowLastColumn="0"/>
            </w:pPr>
            <w:r>
              <w:t>Legal, InfoSec, Engineering, HR, Finance, Sales, Marketing</w:t>
            </w:r>
          </w:p>
        </w:tc>
      </w:tr>
      <w:tr w:rsidR="00906020" w14:paraId="506BEDAE" w14:textId="77777777" w:rsidTr="00906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14:paraId="28D23A14" w14:textId="77777777" w:rsidR="00906020" w:rsidRPr="00906020" w:rsidRDefault="00F0333D" w:rsidP="00906020">
            <w:pPr>
              <w:jc w:val="left"/>
              <w:rPr>
                <w:i w:val="0"/>
                <w:iCs w:val="0"/>
              </w:rPr>
            </w:pPr>
            <w:r>
              <w:rPr>
                <w:i w:val="0"/>
                <w:iCs w:val="0"/>
              </w:rPr>
              <w:t>Approvers</w:t>
            </w:r>
          </w:p>
        </w:tc>
        <w:tc>
          <w:tcPr>
            <w:tcW w:w="6051" w:type="dxa"/>
            <w:vAlign w:val="center"/>
          </w:tcPr>
          <w:p w14:paraId="240AE124" w14:textId="6140ED1F" w:rsidR="00906020" w:rsidRPr="00906020" w:rsidRDefault="26CAA100" w:rsidP="00906020">
            <w:pPr>
              <w:cnfStyle w:val="000000100000" w:firstRow="0" w:lastRow="0" w:firstColumn="0" w:lastColumn="0" w:oddVBand="0" w:evenVBand="0" w:oddHBand="1" w:evenHBand="0" w:firstRowFirstColumn="0" w:firstRowLastColumn="0" w:lastRowFirstColumn="0" w:lastRowLastColumn="0"/>
            </w:pPr>
            <w:r>
              <w:t>DPO</w:t>
            </w:r>
          </w:p>
        </w:tc>
      </w:tr>
      <w:tr w:rsidR="00906020" w14:paraId="792638A9" w14:textId="77777777" w:rsidTr="00906020">
        <w:tc>
          <w:tcPr>
            <w:cnfStyle w:val="001000000000" w:firstRow="0" w:lastRow="0" w:firstColumn="1" w:lastColumn="0" w:oddVBand="0" w:evenVBand="0" w:oddHBand="0" w:evenHBand="0" w:firstRowFirstColumn="0" w:firstRowLastColumn="0" w:lastRowFirstColumn="0" w:lastRowLastColumn="0"/>
            <w:tcW w:w="2533" w:type="dxa"/>
            <w:vAlign w:val="center"/>
          </w:tcPr>
          <w:p w14:paraId="578A109D" w14:textId="77777777" w:rsidR="00906020" w:rsidRPr="00906020" w:rsidRDefault="00F0333D" w:rsidP="00906020">
            <w:pPr>
              <w:jc w:val="left"/>
              <w:rPr>
                <w:i w:val="0"/>
                <w:iCs w:val="0"/>
              </w:rPr>
            </w:pPr>
            <w:r>
              <w:rPr>
                <w:i w:val="0"/>
                <w:iCs w:val="0"/>
              </w:rPr>
              <w:t>Document Release</w:t>
            </w:r>
          </w:p>
        </w:tc>
        <w:tc>
          <w:tcPr>
            <w:tcW w:w="6051" w:type="dxa"/>
            <w:vAlign w:val="center"/>
          </w:tcPr>
          <w:p w14:paraId="66AC4028" w14:textId="77777777" w:rsidR="00906020" w:rsidRPr="00906020" w:rsidRDefault="00764234" w:rsidP="00906020">
            <w:pPr>
              <w:cnfStyle w:val="000000000000" w:firstRow="0" w:lastRow="0" w:firstColumn="0" w:lastColumn="0" w:oddVBand="0" w:evenVBand="0" w:oddHBand="0" w:evenHBand="0" w:firstRowFirstColumn="0" w:firstRowLastColumn="0" w:lastRowFirstColumn="0" w:lastRowLastColumn="0"/>
            </w:pPr>
            <w:r>
              <w:t>Document Owner/team to work with repository administrator to make release version available.</w:t>
            </w:r>
          </w:p>
        </w:tc>
      </w:tr>
    </w:tbl>
    <w:p w14:paraId="4A58AE72" w14:textId="77777777" w:rsidR="00906020" w:rsidRPr="00906020" w:rsidRDefault="00906020" w:rsidP="00527A00"/>
    <w:p w14:paraId="4729196A" w14:textId="7F6F1D44" w:rsidR="0066248A" w:rsidRPr="009A557D" w:rsidRDefault="00191BD3" w:rsidP="00CE424F">
      <w:pPr>
        <w:pStyle w:val="Heading1"/>
        <w:rPr>
          <w:rFonts w:ascii="Arial" w:eastAsiaTheme="majorEastAsia" w:hAnsi="Arial" w:cs="Arial"/>
        </w:rPr>
      </w:pPr>
      <w:bookmarkStart w:id="6" w:name="_Toc413974671"/>
      <w:r w:rsidRPr="009A557D">
        <w:rPr>
          <w:rFonts w:ascii="Arial" w:eastAsiaTheme="majorEastAsia" w:hAnsi="Arial" w:cs="Arial"/>
        </w:rPr>
        <w:t>Definitions</w:t>
      </w:r>
      <w:bookmarkEnd w:id="6"/>
    </w:p>
    <w:p w14:paraId="7287D4A0" w14:textId="16BDEE9E" w:rsidR="00C94DD0" w:rsidRDefault="00084717" w:rsidP="00084717">
      <w:r w:rsidRPr="00084717">
        <w:t xml:space="preserve">The following definitions of terms used in this document are drawn from Article 4 of EU GDPR 2016/679 (Regulation (EU) 2016/679 of the European Parliament and of the Council of 27 April 2016 on the protection of natural persons with regard to the processing of Personal Data and on the free movement of such </w:t>
      </w:r>
      <w:r w:rsidR="00234C8C" w:rsidRPr="00084717">
        <w:t>data and</w:t>
      </w:r>
      <w:r w:rsidRPr="00084717">
        <w:t xml:space="preserve"> repealing Directive 95/46/EC)</w:t>
      </w:r>
      <w:r>
        <w:t>.</w:t>
      </w:r>
    </w:p>
    <w:p w14:paraId="55F3DC45" w14:textId="7868D543" w:rsidR="004350A1" w:rsidRPr="005D63FD" w:rsidRDefault="00C94DD0" w:rsidP="00C94DD0">
      <w:r w:rsidRPr="1C5F1FB6">
        <w:rPr>
          <w:b/>
          <w:bCs/>
        </w:rPr>
        <w:t>Personal Data:</w:t>
      </w:r>
      <w:r>
        <w:t xml:space="preserve"> Any information relating to an identified or identifiable natural person ("</w:t>
      </w:r>
      <w:r w:rsidRPr="1C5F1FB6">
        <w:rPr>
          <w:b/>
          <w:bCs/>
        </w:rPr>
        <w:t>Data Subject</w:t>
      </w:r>
      <w:r>
        <w:t xml:space="preserve">") who can be identified, directly or indirectly, in particular by reference to an identifier such as a name, an identification number, location data, an online identifier or to one or more factors specific to the physical, physiological, genetic, mental, economic, </w:t>
      </w:r>
      <w:r w:rsidR="002857DA">
        <w:t>cultural,</w:t>
      </w:r>
      <w:r>
        <w:t xml:space="preserve"> or social identity of that natural person.</w:t>
      </w:r>
    </w:p>
    <w:p w14:paraId="528BE855" w14:textId="77777777" w:rsidR="00C94DD0" w:rsidRPr="005D63FD" w:rsidRDefault="00C94DD0" w:rsidP="00C94DD0">
      <w:r w:rsidRPr="005D63FD">
        <w:rPr>
          <w:b/>
          <w:bCs/>
        </w:rPr>
        <w:t xml:space="preserve">Sensitive Personal Data: </w:t>
      </w:r>
      <w:r>
        <w:t>Personal Data</w:t>
      </w:r>
      <w:r w:rsidRPr="005D63FD">
        <w:t xml:space="preserve"> which are, by their nature, particularly sensitive in relation to fundamental rights and freedoms merit specific protection as the context of their processing could create significant risks to the fundamental rights and freedoms. Those </w:t>
      </w:r>
      <w:r>
        <w:t>Personal Data</w:t>
      </w:r>
      <w:r w:rsidRPr="005D63FD">
        <w:t xml:space="preserve"> include </w:t>
      </w:r>
      <w:r>
        <w:t>Personal Data</w:t>
      </w:r>
      <w:r w:rsidRPr="005D63FD">
        <w:t xml:space="preserve"> revealing racial or ethnic origin, political opinions, religious or philosophical beliefs, or trade union membership, genetic data, biometric data for the purpose of uniquely identifying a natural person, data concerning health or data concerning a natural person's sex life or sexual orientation.</w:t>
      </w:r>
    </w:p>
    <w:p w14:paraId="5C5CDC8B" w14:textId="7F54D930" w:rsidR="00C94DD0" w:rsidRPr="005D63FD" w:rsidRDefault="00C94DD0" w:rsidP="00C94DD0">
      <w:r w:rsidRPr="1C5F1FB6">
        <w:rPr>
          <w:b/>
          <w:bCs/>
        </w:rPr>
        <w:t>Data Controller</w:t>
      </w:r>
      <w:r>
        <w:t xml:space="preserve"> The natural or legal person, public authority, </w:t>
      </w:r>
      <w:r w:rsidR="00AC2ADC">
        <w:t>agency,</w:t>
      </w:r>
      <w:r>
        <w:t xml:space="preserve"> or any other body, which alone or jointly with others, determines the purposes and means of the processing of Personal Data.</w:t>
      </w:r>
    </w:p>
    <w:p w14:paraId="7185AE43" w14:textId="4E7BEA37" w:rsidR="00C94DD0" w:rsidRPr="005D63FD" w:rsidRDefault="00C94DD0" w:rsidP="00C94DD0">
      <w:r w:rsidRPr="1C5F1FB6">
        <w:rPr>
          <w:b/>
          <w:bCs/>
        </w:rPr>
        <w:t>Data Processor</w:t>
      </w:r>
      <w:r>
        <w:t xml:space="preserve">: A natural or legal person, public authority, </w:t>
      </w:r>
      <w:r w:rsidR="00AC2ADC">
        <w:t>agency,</w:t>
      </w:r>
      <w:r>
        <w:t xml:space="preserve"> or any other body which processes Personal Data on behalf of a Data Controller.</w:t>
      </w:r>
    </w:p>
    <w:p w14:paraId="307B4484" w14:textId="1583D5EE" w:rsidR="00C94DD0" w:rsidRPr="005D63FD" w:rsidRDefault="00C94DD0" w:rsidP="00C94DD0">
      <w:r w:rsidRPr="1C5F1FB6">
        <w:rPr>
          <w:b/>
          <w:bCs/>
        </w:rPr>
        <w:t>Processing</w:t>
      </w:r>
      <w:r>
        <w:t xml:space="preserve">: An operation or set of operations which is performed on Personal Data or on sets of Personal Data, whether or not by automated means, such as collection, recording, organization, structuring, storage, adaptation or alteration, retrieval, consultation, use, disclosure by transmission, dissemination or otherwise making available, alignment or combination, restriction, </w:t>
      </w:r>
      <w:r w:rsidR="002857DA">
        <w:t>erasure,</w:t>
      </w:r>
      <w:r>
        <w:t xml:space="preserve"> or destruction of the data.</w:t>
      </w:r>
    </w:p>
    <w:p w14:paraId="04003F51" w14:textId="77777777" w:rsidR="00C94DD0" w:rsidRPr="005D63FD" w:rsidRDefault="00C94DD0" w:rsidP="00C94DD0">
      <w:r w:rsidRPr="1C5F1FB6">
        <w:rPr>
          <w:b/>
          <w:bCs/>
        </w:rPr>
        <w:t>Anonymization:</w:t>
      </w:r>
      <w:r>
        <w:t xml:space="preserve"> Irreversibly de-identifying Personal Data such that the person cannot be identified by using reasonable time, cost, and technology either by the controller or by any other person to identify that individual. The Personal Data processing principles do not apply to anonymized data as it is no longer Personal Data.</w:t>
      </w:r>
    </w:p>
    <w:p w14:paraId="1889C538" w14:textId="77777777" w:rsidR="00C94DD0" w:rsidRPr="005D63FD" w:rsidRDefault="00C94DD0" w:rsidP="00C94DD0">
      <w:r w:rsidRPr="1C5F1FB6">
        <w:rPr>
          <w:b/>
          <w:bCs/>
        </w:rPr>
        <w:t>Pseudonymization:</w:t>
      </w:r>
      <w:r>
        <w:t xml:space="preserve"> The processing of Personal Data in such a manner that the Personal Data can no longer be attributed to a specific data subject without the use of additional information, provided that such additional information is kept separately and is subject to technical and organizational measures to ensure that the Personal Data are not attributed to an identified or identifiable natural person. Pseudonymization reduces, but does not completely eliminate, the ability to link Personal Data to a data subject. Because pseudonymized data is still Personal Data, the processing of pseudonymized data should comply with the Personal Data Processing principles.</w:t>
      </w:r>
    </w:p>
    <w:p w14:paraId="785FB10F" w14:textId="77777777" w:rsidR="00C94DD0" w:rsidRPr="005D63FD" w:rsidRDefault="00C94DD0" w:rsidP="00C94DD0">
      <w:r w:rsidRPr="1C5F1FB6">
        <w:rPr>
          <w:b/>
          <w:bCs/>
        </w:rPr>
        <w:t>Cross-border processing of Personal Data:</w:t>
      </w:r>
      <w:r>
        <w:t xml:space="preserve"> Processing of Personal Data which takes place in the context of the activities of establishments in more than one Member State of a controller or processor in the Union where the controller or processor is established in more than one Member State and/or the UK; or processing of Personal Data which takes place in the context of the activities of a single establishment of a controller or processor in the Union but which substantially affects or is likely to substantially affect data subjects in more than one Member State and/or the UK;</w:t>
      </w:r>
    </w:p>
    <w:p w14:paraId="0A1883BD" w14:textId="77777777" w:rsidR="00C94DD0" w:rsidRPr="005D63FD" w:rsidRDefault="00C94DD0" w:rsidP="00C94DD0">
      <w:r w:rsidRPr="1C5F1FB6">
        <w:rPr>
          <w:b/>
          <w:bCs/>
        </w:rPr>
        <w:t xml:space="preserve">Supervisory Authority: </w:t>
      </w:r>
      <w:r>
        <w:t>An independent public authority which is established by a Member State or the UK pursuant to Article 51 of the EU GDPR;</w:t>
      </w:r>
    </w:p>
    <w:p w14:paraId="6982A3BA" w14:textId="77777777" w:rsidR="00C94DD0" w:rsidRPr="005D63FD" w:rsidRDefault="00C94DD0" w:rsidP="00C94DD0">
      <w:r w:rsidRPr="005D63FD">
        <w:rPr>
          <w:b/>
        </w:rPr>
        <w:t>Lead supervisory authority:</w:t>
      </w:r>
      <w:r w:rsidRPr="005D63FD">
        <w:t xml:space="preserve"> The supervisory authority with the primary responsibility for dealing with a cross-border data processing activity, for example when a data subject makes a complaint about the processing of his or her </w:t>
      </w:r>
      <w:r>
        <w:t>Personal Data</w:t>
      </w:r>
      <w:r w:rsidRPr="005D63FD">
        <w:t>; it is responsible, among others, for receiving the data breach notifications, to be notified on risky processing activity and will have full authority as regards to its duties to ensure compliance with the provisions of the EU GDPR;</w:t>
      </w:r>
    </w:p>
    <w:p w14:paraId="53D00E01" w14:textId="77777777" w:rsidR="00C94DD0" w:rsidRPr="005D63FD" w:rsidRDefault="00C94DD0" w:rsidP="00C94DD0">
      <w:r w:rsidRPr="005D63FD">
        <w:t>Each “</w:t>
      </w:r>
      <w:r w:rsidRPr="005D63FD">
        <w:rPr>
          <w:b/>
        </w:rPr>
        <w:t>local supervisory authority</w:t>
      </w:r>
      <w:r w:rsidRPr="005D63FD">
        <w:t xml:space="preserve">” will still maintain in its own territory and will monitor any local data processing that affects data subjects or that is carried out by a </w:t>
      </w:r>
      <w:r>
        <w:t>Union</w:t>
      </w:r>
      <w:r w:rsidRPr="005D63FD">
        <w:t xml:space="preserve"> or non-</w:t>
      </w:r>
      <w:r>
        <w:t>Union</w:t>
      </w:r>
      <w:r w:rsidRPr="005D63FD">
        <w:t xml:space="preserve"> controller or processor when their processing targets data subjects residing on its territory. Their tasks and powers include conducting investigations and applying administrative measures and fines, promoting public awareness of the risks, rules, security, and rights in relation to the processing of </w:t>
      </w:r>
      <w:r>
        <w:t>Personal Data</w:t>
      </w:r>
      <w:r w:rsidRPr="005D63FD">
        <w:t>, as well as obtaining access to any premises of the controller and the processor, including any data processing equipment and means.</w:t>
      </w:r>
    </w:p>
    <w:p w14:paraId="6FB62ABB" w14:textId="77777777" w:rsidR="00C94DD0" w:rsidRPr="005D63FD" w:rsidRDefault="00C94DD0" w:rsidP="00C94DD0">
      <w:r w:rsidRPr="1C5F1FB6">
        <w:rPr>
          <w:b/>
          <w:bCs/>
        </w:rPr>
        <w:t xml:space="preserve">“Main establishment as regards a controller” </w:t>
      </w:r>
      <w:r>
        <w:t>with establishments in more than one Member State and/or the UK, the place of its central administration in the Union, unless the decisions on the purposes and means of the processing of Personal Data are taken in another establishment of the controller in the Union and the latter establishment has the power to have such decisions implemented, in which case the establishment having taken such decisions is to be considered to be the main establishment;</w:t>
      </w:r>
    </w:p>
    <w:p w14:paraId="3A923721" w14:textId="77777777" w:rsidR="00C94DD0" w:rsidRPr="005D63FD" w:rsidRDefault="00C94DD0" w:rsidP="00C94DD0">
      <w:r w:rsidRPr="1C5F1FB6">
        <w:rPr>
          <w:b/>
          <w:bCs/>
        </w:rPr>
        <w:t xml:space="preserve">“Main establishment as regards a processor” </w:t>
      </w:r>
      <w:r>
        <w:t>with establishments in more than one Member State and/or the UK, the place of its central administration in the Union, or, if the processor has no central administration in the Union, the establishment of the processor in the Union where the main processing activities in the context of the activities of an establishment of the processor take place to the extent that the processor is subject to specific obligations under this Regulation;</w:t>
      </w:r>
    </w:p>
    <w:p w14:paraId="13B95959" w14:textId="28F25763" w:rsidR="00782C84" w:rsidRDefault="00C94DD0" w:rsidP="00084717">
      <w:r w:rsidRPr="005D63FD">
        <w:rPr>
          <w:b/>
        </w:rPr>
        <w:t xml:space="preserve">Group Undertaking: </w:t>
      </w:r>
      <w:r w:rsidRPr="005D63FD">
        <w:t>Any holding company together with its subsidiary.</w:t>
      </w:r>
      <w:r w:rsidR="00782C84" w:rsidRPr="00782C84">
        <w:t xml:space="preserve"> </w:t>
      </w:r>
    </w:p>
    <w:p w14:paraId="56478E91" w14:textId="24559053" w:rsidR="00B0395A" w:rsidRPr="00782C84" w:rsidRDefault="00B0395A" w:rsidP="00084717">
      <w:r>
        <w:t xml:space="preserve">For avoidance of doubt, </w:t>
      </w:r>
      <w:r w:rsidR="00387797">
        <w:t>personal health information (PHI)</w:t>
      </w:r>
      <w:r w:rsidR="008B2F10">
        <w:t xml:space="preserve"> would be treated as </w:t>
      </w:r>
      <w:r w:rsidR="00D33F0E">
        <w:t>‘</w:t>
      </w:r>
      <w:r w:rsidR="008B2F10">
        <w:t>Sensitive Personal Data</w:t>
      </w:r>
      <w:r w:rsidR="00D33F0E">
        <w:t>’</w:t>
      </w:r>
      <w:r w:rsidR="001C3740">
        <w:t xml:space="preserve">. </w:t>
      </w:r>
    </w:p>
    <w:p w14:paraId="603E7BBB" w14:textId="77777777" w:rsidR="00040223" w:rsidRPr="009A557D" w:rsidRDefault="00040223" w:rsidP="00040223">
      <w:pPr>
        <w:pStyle w:val="Heading1"/>
        <w:rPr>
          <w:rFonts w:ascii="Arial" w:eastAsiaTheme="majorEastAsia" w:hAnsi="Arial" w:cs="Arial"/>
        </w:rPr>
      </w:pPr>
      <w:bookmarkStart w:id="7" w:name="_Toc495619981"/>
      <w:bookmarkStart w:id="8" w:name="_Toc499284366"/>
      <w:bookmarkStart w:id="9" w:name="_Toc514537224"/>
      <w:bookmarkStart w:id="10" w:name="_Toc242247524"/>
      <w:r w:rsidRPr="009A557D">
        <w:rPr>
          <w:rFonts w:ascii="Arial" w:eastAsiaTheme="majorEastAsia" w:hAnsi="Arial" w:cs="Arial"/>
        </w:rPr>
        <w:t>Basic Principles Regarding Personal Data P</w:t>
      </w:r>
      <w:bookmarkEnd w:id="7"/>
      <w:r w:rsidRPr="009A557D">
        <w:rPr>
          <w:rFonts w:ascii="Arial" w:eastAsiaTheme="majorEastAsia" w:hAnsi="Arial" w:cs="Arial"/>
        </w:rPr>
        <w:t>rocessing</w:t>
      </w:r>
      <w:bookmarkEnd w:id="8"/>
      <w:bookmarkEnd w:id="9"/>
      <w:bookmarkEnd w:id="10"/>
    </w:p>
    <w:p w14:paraId="168F3DD6" w14:textId="5E726D26" w:rsidR="00674274" w:rsidRPr="00782C84" w:rsidRDefault="002C00C7" w:rsidP="007D125D">
      <w:r>
        <w:t>The data protection principles outline the basic responsibilities for handling Personal Data</w:t>
      </w:r>
      <w:r w:rsidR="00782C84" w:rsidRPr="00782C84">
        <w:t xml:space="preserve">. </w:t>
      </w:r>
      <w:r w:rsidR="00BE426F">
        <w:t>Article 5(2) of the GDPR stipulates that “</w:t>
      </w:r>
      <w:r w:rsidR="00BE426F" w:rsidRPr="1C5F1FB6">
        <w:rPr>
          <w:i/>
          <w:iCs/>
        </w:rPr>
        <w:t>the controller shall be responsible for, and be able to demonstrate, compliance with the principles</w:t>
      </w:r>
      <w:r w:rsidR="00BE426F">
        <w:t>.</w:t>
      </w:r>
      <w:r w:rsidR="00285B3D">
        <w:t xml:space="preserve">”. Netradyne will employ adequate </w:t>
      </w:r>
      <w:r w:rsidR="006D224A">
        <w:t xml:space="preserve">organizational, </w:t>
      </w:r>
      <w:r w:rsidR="002857DA">
        <w:t>physical,</w:t>
      </w:r>
      <w:r w:rsidR="006D224A">
        <w:t xml:space="preserve"> and technical safeguards</w:t>
      </w:r>
      <w:r w:rsidR="00AD7A0A">
        <w:t xml:space="preserve"> that are commensurate with the risks</w:t>
      </w:r>
      <w:r w:rsidR="003E23AF">
        <w:t xml:space="preserve"> </w:t>
      </w:r>
      <w:r w:rsidR="00EF79FF">
        <w:t xml:space="preserve">and </w:t>
      </w:r>
      <w:r w:rsidR="003E23AF">
        <w:t xml:space="preserve">in accordance with </w:t>
      </w:r>
      <w:r w:rsidR="00007C32">
        <w:t>applicable laws</w:t>
      </w:r>
      <w:r w:rsidR="006D224A">
        <w:t xml:space="preserve"> </w:t>
      </w:r>
      <w:r w:rsidR="00285B3D">
        <w:t>to protect</w:t>
      </w:r>
      <w:r w:rsidR="006D224A">
        <w:t xml:space="preserve"> personal data </w:t>
      </w:r>
      <w:r w:rsidR="003E23AF">
        <w:t>(including PHI)</w:t>
      </w:r>
      <w:r w:rsidR="00500DFF">
        <w:t>.</w:t>
      </w:r>
    </w:p>
    <w:p w14:paraId="6B396D41" w14:textId="77777777" w:rsidR="00EF7368" w:rsidRPr="009A557D" w:rsidRDefault="00EF7368" w:rsidP="003F28FD">
      <w:pPr>
        <w:pStyle w:val="MainHeading"/>
      </w:pPr>
      <w:bookmarkStart w:id="11" w:name="_Vulnerability_Classification_Phase"/>
      <w:bookmarkStart w:id="12" w:name="_Toc495619982"/>
      <w:bookmarkStart w:id="13" w:name="_Toc499284367"/>
      <w:bookmarkStart w:id="14" w:name="_Toc514537225"/>
      <w:bookmarkStart w:id="15" w:name="_Toc1433183119"/>
      <w:bookmarkEnd w:id="11"/>
      <w:r w:rsidRPr="009A557D">
        <w:t>Lawfulness, Fairness and T</w:t>
      </w:r>
      <w:bookmarkEnd w:id="12"/>
      <w:r w:rsidRPr="009A557D">
        <w:t>ransparency</w:t>
      </w:r>
      <w:bookmarkEnd w:id="13"/>
      <w:bookmarkEnd w:id="14"/>
      <w:bookmarkEnd w:id="15"/>
    </w:p>
    <w:p w14:paraId="18A290E4" w14:textId="6B649898" w:rsidR="002E270E" w:rsidRDefault="00836762" w:rsidP="00836762">
      <w:r>
        <w:t>Personal Data</w:t>
      </w:r>
      <w:r w:rsidRPr="005D63FD">
        <w:t xml:space="preserve"> must be processed lawfully, fairly and in a transparent manner in relation to the data subject.</w:t>
      </w:r>
      <w:r w:rsidR="00782C84" w:rsidRPr="00782C84">
        <w:t xml:space="preserve"> </w:t>
      </w:r>
    </w:p>
    <w:p w14:paraId="02866934" w14:textId="77777777" w:rsidR="0081108C" w:rsidRPr="006746F7" w:rsidRDefault="0081108C" w:rsidP="003F28FD">
      <w:pPr>
        <w:pStyle w:val="MainHeading"/>
      </w:pPr>
      <w:bookmarkStart w:id="16" w:name="_Toc495619983"/>
      <w:bookmarkStart w:id="17" w:name="_Toc499284368"/>
      <w:bookmarkStart w:id="18" w:name="_Toc514537226"/>
      <w:bookmarkStart w:id="19" w:name="_Toc612945413"/>
      <w:r w:rsidRPr="006746F7">
        <w:t>Purpose L</w:t>
      </w:r>
      <w:bookmarkEnd w:id="16"/>
      <w:r w:rsidRPr="006746F7">
        <w:t>imitation</w:t>
      </w:r>
      <w:bookmarkEnd w:id="17"/>
      <w:bookmarkEnd w:id="18"/>
      <w:bookmarkEnd w:id="19"/>
    </w:p>
    <w:p w14:paraId="0000FC94" w14:textId="77777777" w:rsidR="004F239C" w:rsidRDefault="004F239C" w:rsidP="004F239C">
      <w:r>
        <w:t>Personal Data</w:t>
      </w:r>
      <w:r w:rsidRPr="005D63FD">
        <w:t xml:space="preserve"> must be collected for specified, explicit and legitimate purposes and not further processed in a manner that is incompatible with those purposes.</w:t>
      </w:r>
    </w:p>
    <w:p w14:paraId="09BA029E" w14:textId="316D0C32" w:rsidR="00782C84" w:rsidRDefault="003C1DF7" w:rsidP="009A557D">
      <w:pPr>
        <w:pStyle w:val="MainHeading"/>
      </w:pPr>
      <w:bookmarkStart w:id="20" w:name="_Toc1209781788"/>
      <w:r>
        <w:t xml:space="preserve">Data </w:t>
      </w:r>
      <w:r w:rsidR="00AC2ADC">
        <w:t>Minimization</w:t>
      </w:r>
      <w:bookmarkEnd w:id="20"/>
    </w:p>
    <w:p w14:paraId="2A44A530" w14:textId="56009D7D" w:rsidR="00714A53" w:rsidRDefault="00714A53" w:rsidP="00714A53">
      <w:r>
        <w:t xml:space="preserve">Personal Data must be adequate, relevant, and limited to what is necessary in relation to the purposes for which they are processed. The Company must apply anonymization or pseudonymization to Personal </w:t>
      </w:r>
      <w:r w:rsidR="00AC2ADC">
        <w:t>Data,</w:t>
      </w:r>
      <w:r>
        <w:t xml:space="preserve"> if possible, to reduce the risks to the data subjects concerned.</w:t>
      </w:r>
    </w:p>
    <w:p w14:paraId="04515C28" w14:textId="5391C0A7" w:rsidR="00E557BC" w:rsidRDefault="001862AE" w:rsidP="009A557D">
      <w:pPr>
        <w:pStyle w:val="MainHeading"/>
      </w:pPr>
      <w:bookmarkStart w:id="21" w:name="_Toc81361618"/>
      <w:r>
        <w:t>Accuracy</w:t>
      </w:r>
      <w:bookmarkEnd w:id="21"/>
    </w:p>
    <w:p w14:paraId="003C80E3" w14:textId="433B739D" w:rsidR="00B821C6" w:rsidRPr="005D63FD" w:rsidRDefault="00B821C6" w:rsidP="00B821C6">
      <w:r>
        <w:t>Personal Data</w:t>
      </w:r>
      <w:r w:rsidRPr="005D63FD">
        <w:t xml:space="preserve"> must be accurate and, where necessary, kept up to date; reasonable steps must be taken to ensure that </w:t>
      </w:r>
      <w:r>
        <w:t>Personal Data</w:t>
      </w:r>
      <w:r w:rsidRPr="005D63FD">
        <w:t xml:space="preserve"> that are inaccurate, having regard to the purposes for which they are processed, are </w:t>
      </w:r>
      <w:r w:rsidR="002857DA" w:rsidRPr="005D63FD">
        <w:t>erased,</w:t>
      </w:r>
      <w:r w:rsidRPr="005D63FD">
        <w:t xml:space="preserve"> or rectified in a timely manner.</w:t>
      </w:r>
    </w:p>
    <w:p w14:paraId="798A94CF" w14:textId="537EBC49" w:rsidR="00B821C6" w:rsidRDefault="006C04FD" w:rsidP="006C04FD">
      <w:pPr>
        <w:pStyle w:val="MainHeading"/>
      </w:pPr>
      <w:bookmarkStart w:id="22" w:name="_Toc1224018269"/>
      <w:r w:rsidRPr="006C04FD">
        <w:t>Storage</w:t>
      </w:r>
      <w:r>
        <w:t xml:space="preserve"> Period Limitation</w:t>
      </w:r>
      <w:bookmarkEnd w:id="22"/>
      <w:r w:rsidRPr="006C04FD">
        <w:t xml:space="preserve"> </w:t>
      </w:r>
    </w:p>
    <w:p w14:paraId="0641356F" w14:textId="77777777" w:rsidR="00E85645" w:rsidRPr="005D63FD" w:rsidRDefault="00E85645" w:rsidP="00E85645">
      <w:r>
        <w:t>Personal Data</w:t>
      </w:r>
      <w:r w:rsidRPr="005D63FD">
        <w:t xml:space="preserve"> must be kept for no longer than is necessary for the purposes for which the </w:t>
      </w:r>
      <w:r>
        <w:t>Personal Data</w:t>
      </w:r>
      <w:r w:rsidRPr="005D63FD">
        <w:t xml:space="preserve"> are processed. </w:t>
      </w:r>
    </w:p>
    <w:p w14:paraId="09E0BED0" w14:textId="2B83B5F9" w:rsidR="00943AF4" w:rsidRDefault="00943AF4" w:rsidP="00943AF4">
      <w:pPr>
        <w:pStyle w:val="MainHeading"/>
      </w:pPr>
      <w:bookmarkStart w:id="23" w:name="_Toc499284372"/>
      <w:bookmarkStart w:id="24" w:name="_Toc514537230"/>
      <w:bookmarkStart w:id="25" w:name="_Toc159683411"/>
      <w:r w:rsidRPr="00943AF4">
        <w:t>Integrity and confidentiality</w:t>
      </w:r>
      <w:bookmarkEnd w:id="23"/>
      <w:bookmarkEnd w:id="24"/>
      <w:bookmarkEnd w:id="25"/>
      <w:r>
        <w:t xml:space="preserve"> </w:t>
      </w:r>
    </w:p>
    <w:p w14:paraId="5CE01F16" w14:textId="06DF306A" w:rsidR="00943AF4" w:rsidRPr="00FE1F85" w:rsidRDefault="002857DA" w:rsidP="00FE1F85">
      <w:r w:rsidRPr="00FE1F85">
        <w:t>Considering</w:t>
      </w:r>
      <w:r w:rsidR="00FE1F85" w:rsidRPr="00FE1F85">
        <w:t xml:space="preserve"> the state of technology and other available security measures, the implementation cost, and likelihood and severity of Personal Data risks, the Company must use appropriate technical or organizational measures to process Personal Data in a manner that ensures appropriate security of Personal Data, including protection against accidental or unlawful destruction, loss, alternation, unauthorized access to, or disclosure.</w:t>
      </w:r>
    </w:p>
    <w:p w14:paraId="28EF7AA8" w14:textId="485CFCFF" w:rsidR="00E85645" w:rsidRPr="00576E4A" w:rsidRDefault="00576E4A" w:rsidP="00576E4A">
      <w:pPr>
        <w:pStyle w:val="MainHeading"/>
      </w:pPr>
      <w:bookmarkStart w:id="26" w:name="_Toc1222573364"/>
      <w:r w:rsidRPr="00576E4A">
        <w:t>Accountability</w:t>
      </w:r>
      <w:bookmarkEnd w:id="26"/>
    </w:p>
    <w:p w14:paraId="10BC0ACD" w14:textId="77777777" w:rsidR="002C5F5A" w:rsidRPr="005D63FD" w:rsidRDefault="002C5F5A" w:rsidP="002C5F5A">
      <w:r w:rsidRPr="005D63FD">
        <w:t>Data controllers must be responsible for and be able to demonstrate compliance with the principles outlined above.</w:t>
      </w:r>
    </w:p>
    <w:p w14:paraId="3D36EA4D" w14:textId="46455459" w:rsidR="00CE424F" w:rsidRPr="00C3718C" w:rsidRDefault="006D6CEC" w:rsidP="00CE424F">
      <w:pPr>
        <w:pStyle w:val="Heading1"/>
        <w:rPr>
          <w:rFonts w:ascii="Arial" w:eastAsiaTheme="majorEastAsia" w:hAnsi="Arial" w:cs="Arial"/>
        </w:rPr>
      </w:pPr>
      <w:bookmarkStart w:id="27" w:name="Validation"/>
      <w:bookmarkStart w:id="28" w:name="_Definitions"/>
      <w:bookmarkStart w:id="29" w:name="_Toc923152153"/>
      <w:bookmarkEnd w:id="27"/>
      <w:bookmarkEnd w:id="28"/>
      <w:r w:rsidRPr="00C3718C">
        <w:rPr>
          <w:rFonts w:ascii="Arial" w:eastAsiaTheme="majorEastAsia" w:hAnsi="Arial" w:cs="Arial"/>
        </w:rPr>
        <w:t>Building Data Protection in Business Activities</w:t>
      </w:r>
      <w:bookmarkEnd w:id="29"/>
    </w:p>
    <w:p w14:paraId="460F6CD4" w14:textId="58FB7E0A" w:rsidR="00B46FCD" w:rsidRDefault="00B46FCD" w:rsidP="00B46FCD">
      <w:r w:rsidRPr="005D63FD">
        <w:t xml:space="preserve">In order to demonstrate compliance with the principles of data protection, </w:t>
      </w:r>
      <w:r w:rsidR="00A814D1">
        <w:t>the Company</w:t>
      </w:r>
      <w:r w:rsidRPr="005D63FD">
        <w:t xml:space="preserve"> should build data protection into its business activities. </w:t>
      </w:r>
    </w:p>
    <w:p w14:paraId="79953C4A" w14:textId="77777777" w:rsidR="00BE1CDC" w:rsidRPr="005D63FD" w:rsidRDefault="00BE1CDC" w:rsidP="00BE1CDC">
      <w:pPr>
        <w:pStyle w:val="MainHeading"/>
      </w:pPr>
      <w:bookmarkStart w:id="30" w:name="_Toc499284375"/>
      <w:bookmarkStart w:id="31" w:name="_Toc514537233"/>
      <w:bookmarkStart w:id="32" w:name="_Toc191179431"/>
      <w:r>
        <w:t>Notification to Data Subjects</w:t>
      </w:r>
      <w:bookmarkEnd w:id="30"/>
      <w:bookmarkEnd w:id="31"/>
      <w:bookmarkEnd w:id="32"/>
    </w:p>
    <w:p w14:paraId="4FFDC29A" w14:textId="77777777" w:rsidR="000A6E62" w:rsidRPr="005D63FD" w:rsidRDefault="000A6E62" w:rsidP="000A6E62">
      <w:r>
        <w:t>(See the Fair Processing Guidelines in section 6 of this document.)</w:t>
      </w:r>
    </w:p>
    <w:p w14:paraId="551F7B90" w14:textId="77777777" w:rsidR="000A6E62" w:rsidRPr="005D63FD" w:rsidRDefault="000A6E62" w:rsidP="00F01CEB">
      <w:pPr>
        <w:pStyle w:val="MainHeading"/>
      </w:pPr>
      <w:bookmarkStart w:id="33" w:name="_Toc495619991"/>
      <w:bookmarkStart w:id="34" w:name="_Toc499284376"/>
      <w:bookmarkStart w:id="35" w:name="_Toc514537234"/>
      <w:bookmarkStart w:id="36" w:name="_Toc66206306"/>
      <w:r>
        <w:t>Data Subject’s Choice and Consent</w:t>
      </w:r>
      <w:bookmarkEnd w:id="33"/>
      <w:bookmarkEnd w:id="34"/>
      <w:bookmarkEnd w:id="35"/>
      <w:bookmarkEnd w:id="36"/>
    </w:p>
    <w:p w14:paraId="33D4398D" w14:textId="77777777" w:rsidR="000A6E62" w:rsidRDefault="000A6E62" w:rsidP="000A6E62">
      <w:r>
        <w:t>(See the Fair Processing Guidelines in section 6 of this document.)</w:t>
      </w:r>
    </w:p>
    <w:p w14:paraId="6FB0A1D3" w14:textId="77777777" w:rsidR="000A6E62" w:rsidRPr="005D63FD" w:rsidRDefault="000A6E62" w:rsidP="00F01CEB">
      <w:pPr>
        <w:pStyle w:val="MainHeading"/>
      </w:pPr>
      <w:bookmarkStart w:id="37" w:name="_Toc495619992"/>
      <w:bookmarkStart w:id="38" w:name="_Toc499284377"/>
      <w:bookmarkStart w:id="39" w:name="_Toc514537235"/>
      <w:bookmarkStart w:id="40" w:name="_Toc607333298"/>
      <w:bookmarkEnd w:id="37"/>
      <w:r>
        <w:t>Collection</w:t>
      </w:r>
      <w:bookmarkEnd w:id="38"/>
      <w:bookmarkEnd w:id="39"/>
      <w:bookmarkEnd w:id="40"/>
    </w:p>
    <w:p w14:paraId="663D000E" w14:textId="1C2313F6" w:rsidR="000A6E62" w:rsidRPr="005D63FD" w:rsidRDefault="000A6E62" w:rsidP="000A6E62">
      <w:r>
        <w:t>The Company must strive to collect the least amount of Personal Data possible. If Personal Data is collected from a third party, DPO must ensure that the Personal Data is collected lawfully.</w:t>
      </w:r>
    </w:p>
    <w:p w14:paraId="4D380236" w14:textId="77777777" w:rsidR="000A6E62" w:rsidRPr="005D63FD" w:rsidRDefault="000A6E62" w:rsidP="00F01CEB">
      <w:pPr>
        <w:pStyle w:val="MainHeading"/>
      </w:pPr>
      <w:bookmarkStart w:id="41" w:name="_Toc495619993"/>
      <w:bookmarkStart w:id="42" w:name="_Toc499284378"/>
      <w:bookmarkStart w:id="43" w:name="_Toc514537236"/>
      <w:bookmarkStart w:id="44" w:name="_Toc2119108872"/>
      <w:r>
        <w:t>Use, Retention, and D</w:t>
      </w:r>
      <w:bookmarkEnd w:id="41"/>
      <w:r>
        <w:t>isposal</w:t>
      </w:r>
      <w:bookmarkEnd w:id="42"/>
      <w:bookmarkEnd w:id="43"/>
      <w:bookmarkEnd w:id="44"/>
    </w:p>
    <w:p w14:paraId="78B9A562" w14:textId="3C0A2D4F" w:rsidR="000A6E62" w:rsidRPr="005D63FD" w:rsidRDefault="000A6E62" w:rsidP="000A6E62">
      <w:r w:rsidRPr="005D63FD">
        <w:t xml:space="preserve">The purposes, methods, storage limitation and retention period of </w:t>
      </w:r>
      <w:r>
        <w:t>Personal Data</w:t>
      </w:r>
      <w:r w:rsidRPr="005D63FD">
        <w:t xml:space="preserve"> must be consistent with the information contained in the </w:t>
      </w:r>
      <w:hyperlink r:id="rId12">
        <w:r w:rsidR="52AD95AF" w:rsidRPr="2E9A36E8">
          <w:rPr>
            <w:rStyle w:val="Hyperlink"/>
          </w:rPr>
          <w:t>Privacy Notice</w:t>
        </w:r>
      </w:hyperlink>
      <w:r w:rsidR="52AD95AF">
        <w:t xml:space="preserve">. </w:t>
      </w:r>
      <w:r w:rsidR="648B1A96">
        <w:t xml:space="preserve">Customer specific data retention periods may be specified </w:t>
      </w:r>
      <w:r w:rsidR="594353D6">
        <w:t>in the customer contract to suit customers’ requirements and prevailing re</w:t>
      </w:r>
      <w:r w:rsidR="6DA7E697">
        <w:t>gulatory obligations.</w:t>
      </w:r>
      <w:r w:rsidRPr="005D63FD">
        <w:t xml:space="preserve"> The Company must maintain the accuracy, integrity, </w:t>
      </w:r>
      <w:r w:rsidR="004669AA" w:rsidRPr="005D63FD">
        <w:t>confidentiality,</w:t>
      </w:r>
      <w:r w:rsidRPr="005D63FD">
        <w:t xml:space="preserve"> and relevance of </w:t>
      </w:r>
      <w:r>
        <w:t>Personal Data</w:t>
      </w:r>
      <w:r w:rsidRPr="005D63FD">
        <w:t xml:space="preserve"> based on the processing purpose. Adequate security mechanisms designed to protect </w:t>
      </w:r>
      <w:r>
        <w:t>Personal Data</w:t>
      </w:r>
      <w:r w:rsidRPr="005D63FD">
        <w:t xml:space="preserve"> must be used to prevent </w:t>
      </w:r>
      <w:r>
        <w:t>Personal Data</w:t>
      </w:r>
      <w:r w:rsidRPr="005D63FD">
        <w:t xml:space="preserve"> from being stolen, misused, or abused, and prevent </w:t>
      </w:r>
      <w:r>
        <w:t>Personal Data</w:t>
      </w:r>
      <w:r w:rsidRPr="005D63FD">
        <w:t xml:space="preserve"> breaches. </w:t>
      </w:r>
      <w:r>
        <w:t xml:space="preserve">IT Stakeholder </w:t>
      </w:r>
      <w:r w:rsidRPr="005D63FD">
        <w:t xml:space="preserve">is responsible for compliance with the requirements listed in this section. </w:t>
      </w:r>
    </w:p>
    <w:p w14:paraId="050AA3A8" w14:textId="77777777" w:rsidR="000A6E62" w:rsidRPr="005D63FD" w:rsidRDefault="000A6E62" w:rsidP="00F01CEB">
      <w:pPr>
        <w:pStyle w:val="MainHeading"/>
      </w:pPr>
      <w:bookmarkStart w:id="45" w:name="_Toc495619994"/>
      <w:bookmarkStart w:id="46" w:name="_Toc499284379"/>
      <w:bookmarkStart w:id="47" w:name="_Toc514537237"/>
      <w:bookmarkStart w:id="48" w:name="_Toc1358197121"/>
      <w:r>
        <w:t>Disclosure to Third P</w:t>
      </w:r>
      <w:bookmarkEnd w:id="45"/>
      <w:r>
        <w:t>arties</w:t>
      </w:r>
      <w:bookmarkEnd w:id="46"/>
      <w:bookmarkEnd w:id="47"/>
      <w:bookmarkEnd w:id="48"/>
    </w:p>
    <w:p w14:paraId="04350BAC" w14:textId="77777777" w:rsidR="000A6E62" w:rsidRPr="005D63FD" w:rsidRDefault="000A6E62" w:rsidP="000A6E62">
      <w:r w:rsidRPr="005D63FD">
        <w:t xml:space="preserve">Whenever the Company uses a third-party supplier or business partner to process </w:t>
      </w:r>
      <w:r>
        <w:t>Personal Data</w:t>
      </w:r>
      <w:r w:rsidRPr="005D63FD">
        <w:t xml:space="preserve"> on its behalf,</w:t>
      </w:r>
      <w:r>
        <w:t xml:space="preserve"> the legal/contracts team will consult with appropriate Privacy Stakeholders and the DPO will review to</w:t>
      </w:r>
      <w:r w:rsidRPr="005D63FD">
        <w:t xml:space="preserve"> ensure that this processor will provide security measures to safeguard </w:t>
      </w:r>
      <w:r>
        <w:t>Personal Data</w:t>
      </w:r>
      <w:r w:rsidRPr="005D63FD">
        <w:t xml:space="preserve"> that are appropriate to the associated risks. </w:t>
      </w:r>
    </w:p>
    <w:p w14:paraId="020D7C56" w14:textId="77777777" w:rsidR="000A6E62" w:rsidRPr="005D63FD" w:rsidRDefault="000A6E62" w:rsidP="000A6E62">
      <w:r w:rsidRPr="005D63FD">
        <w:t xml:space="preserve">The Company must contractually require the supplier or business partner to provide the same level of data protection. The supplier or business partner must only process </w:t>
      </w:r>
      <w:r>
        <w:t>Personal Data</w:t>
      </w:r>
      <w:r w:rsidRPr="005D63FD">
        <w:t xml:space="preserve"> to carry out its contractual obligations towards the Company or upon the instructions of the Company and not for any other purposes. When the Company processes </w:t>
      </w:r>
      <w:r>
        <w:t>Personal Data</w:t>
      </w:r>
      <w:r w:rsidRPr="005D63FD">
        <w:t xml:space="preserve"> jointly with an independent third party, the Company must explicitly specify its respective responsibilities of and the third party in the relevant contract or any other legal binding document, such as the Supplier Data Processing Agreement. </w:t>
      </w:r>
    </w:p>
    <w:p w14:paraId="5A67A138" w14:textId="77777777" w:rsidR="000A6E62" w:rsidRPr="005D63FD" w:rsidRDefault="000A6E62" w:rsidP="00F01CEB">
      <w:pPr>
        <w:pStyle w:val="MainHeading"/>
      </w:pPr>
      <w:bookmarkStart w:id="49" w:name="_Toc495619995"/>
      <w:bookmarkStart w:id="50" w:name="_Toc499284380"/>
      <w:bookmarkStart w:id="51" w:name="_Toc514537238"/>
      <w:bookmarkStart w:id="52" w:name="_Toc213623692"/>
      <w:r>
        <w:t>Cross-border T</w:t>
      </w:r>
      <w:bookmarkEnd w:id="49"/>
      <w:r>
        <w:t>ransfer of Personal Data</w:t>
      </w:r>
      <w:bookmarkEnd w:id="50"/>
      <w:bookmarkEnd w:id="51"/>
      <w:bookmarkEnd w:id="52"/>
    </w:p>
    <w:p w14:paraId="54A0C11A" w14:textId="3C30A611" w:rsidR="000A6E62" w:rsidRPr="005D63FD" w:rsidRDefault="000A6E62" w:rsidP="000A6E62">
      <w:r>
        <w:t xml:space="preserve">Before transferring Personal Data out of the European Economic Area (EEA) or the UK adequate safeguards must be used including the signing of a Data Transfer Agreement, as required by the Union and, if required, authorization from the relevant Data Protection Authority must be obtained. The entity receiving the Personal Data must comply with the principles of Personal Data processing set forth in </w:t>
      </w:r>
      <w:r w:rsidR="009F15DE">
        <w:t>this policy.</w:t>
      </w:r>
    </w:p>
    <w:p w14:paraId="361CF889" w14:textId="77777777" w:rsidR="000A6E62" w:rsidRPr="005D63FD" w:rsidRDefault="000A6E62" w:rsidP="009F15DE">
      <w:pPr>
        <w:pStyle w:val="MainHeading"/>
      </w:pPr>
      <w:bookmarkStart w:id="53" w:name="_Toc495619996"/>
      <w:bookmarkStart w:id="54" w:name="_Toc499284381"/>
      <w:bookmarkStart w:id="55" w:name="_Toc514537239"/>
      <w:bookmarkStart w:id="56" w:name="_Toc863102314"/>
      <w:r>
        <w:t>Rights of A</w:t>
      </w:r>
      <w:bookmarkEnd w:id="53"/>
      <w:r>
        <w:t>ccess by Data Subjects</w:t>
      </w:r>
      <w:bookmarkEnd w:id="54"/>
      <w:bookmarkEnd w:id="55"/>
      <w:bookmarkEnd w:id="56"/>
    </w:p>
    <w:p w14:paraId="10775D70" w14:textId="77777777" w:rsidR="000A6E62" w:rsidRDefault="000A6E62" w:rsidP="000A6E62">
      <w:r>
        <w:t>When acting as a data controller, DPO is responsible to provide data subjects with a reasonable access mechanism to enable them to access their Personal Data, and must allow them to update, rectify, erase, or transmit their Personal Data, if appropriate or required by law. The access mechanism will be further detailed in the Data Subject Access Request Procedure. DPO is responsible to ensure that such requests are processed within one month, are not excessive and do not affect the rights of Personal Data from other individuals.</w:t>
      </w:r>
    </w:p>
    <w:p w14:paraId="4E4857F8" w14:textId="77777777" w:rsidR="000A6E62" w:rsidRPr="005D63FD" w:rsidRDefault="000A6E62" w:rsidP="009F15DE">
      <w:pPr>
        <w:pStyle w:val="MainHeading"/>
      </w:pPr>
      <w:bookmarkStart w:id="57" w:name="_Toc495619997"/>
      <w:bookmarkStart w:id="58" w:name="_Toc499284382"/>
      <w:bookmarkStart w:id="59" w:name="_Toc514537240"/>
      <w:bookmarkStart w:id="60" w:name="_Toc1109614352"/>
      <w:bookmarkEnd w:id="57"/>
      <w:r>
        <w:t>Data Portability</w:t>
      </w:r>
      <w:bookmarkEnd w:id="58"/>
      <w:bookmarkEnd w:id="59"/>
      <w:bookmarkEnd w:id="60"/>
    </w:p>
    <w:p w14:paraId="4863AD78" w14:textId="77777777" w:rsidR="000A6E62" w:rsidRPr="005D63FD" w:rsidRDefault="000A6E62" w:rsidP="000A6E62">
      <w:r w:rsidRPr="005D63FD">
        <w:t xml:space="preserve">Data Subjects have the right to receive, upon request, a copy of the data they provided to us in a structured format and to transmit those data to another controller, for free. </w:t>
      </w:r>
      <w:r>
        <w:t>DPO</w:t>
      </w:r>
      <w:r w:rsidRPr="005D63FD">
        <w:t xml:space="preserve"> is responsible to ensure that such requests are processed within one month, are not excessive and do not affect the rights to </w:t>
      </w:r>
      <w:r>
        <w:t>Personal Data</w:t>
      </w:r>
      <w:r w:rsidRPr="005D63FD">
        <w:t xml:space="preserve"> of other individuals.</w:t>
      </w:r>
    </w:p>
    <w:p w14:paraId="3302AF68" w14:textId="77777777" w:rsidR="000A6E62" w:rsidRPr="005D63FD" w:rsidRDefault="000A6E62" w:rsidP="009F15DE">
      <w:pPr>
        <w:pStyle w:val="MainHeading"/>
      </w:pPr>
      <w:bookmarkStart w:id="61" w:name="_Toc495619998"/>
      <w:bookmarkStart w:id="62" w:name="_Toc499284383"/>
      <w:bookmarkStart w:id="63" w:name="_Toc514537241"/>
      <w:bookmarkStart w:id="64" w:name="_Toc2116079012"/>
      <w:r>
        <w:t>Right to be F</w:t>
      </w:r>
      <w:bookmarkEnd w:id="61"/>
      <w:r>
        <w:t>orgotten</w:t>
      </w:r>
      <w:bookmarkEnd w:id="62"/>
      <w:bookmarkEnd w:id="63"/>
      <w:bookmarkEnd w:id="64"/>
    </w:p>
    <w:p w14:paraId="25C45FA0" w14:textId="09100852" w:rsidR="00BE1CDC" w:rsidRPr="005D63FD" w:rsidRDefault="000A6E62" w:rsidP="000A6E62">
      <w:r w:rsidRPr="005D63FD">
        <w:t xml:space="preserve">Upon request, Data Subjects have the right to obtain from the Company the erasure of its </w:t>
      </w:r>
      <w:r>
        <w:t>Personal Data</w:t>
      </w:r>
      <w:r w:rsidRPr="005D63FD">
        <w:t xml:space="preserve">. When the Company is acting as a Controller, </w:t>
      </w:r>
      <w:r>
        <w:t>DPO</w:t>
      </w:r>
      <w:r w:rsidRPr="005D63FD">
        <w:t xml:space="preserve"> must take necessary actions (including technical measures) to inform the third parties who use or process that data to comply with the request.</w:t>
      </w:r>
    </w:p>
    <w:p w14:paraId="3CA1ABA4" w14:textId="299E53A4" w:rsidR="007F79FF" w:rsidRPr="00C3718C" w:rsidRDefault="00FC73C9" w:rsidP="009416BB">
      <w:pPr>
        <w:pStyle w:val="Heading1"/>
        <w:rPr>
          <w:rFonts w:ascii="Arial" w:eastAsiaTheme="majorEastAsia" w:hAnsi="Arial" w:cs="Arial"/>
        </w:rPr>
      </w:pPr>
      <w:bookmarkStart w:id="65" w:name="_Toc335807091"/>
      <w:r>
        <w:rPr>
          <w:rFonts w:ascii="Arial" w:eastAsiaTheme="majorEastAsia" w:hAnsi="Arial" w:cs="Arial"/>
        </w:rPr>
        <w:t>Fair Processing Guidelines</w:t>
      </w:r>
      <w:bookmarkEnd w:id="65"/>
    </w:p>
    <w:p w14:paraId="46B45D3B" w14:textId="646E639E" w:rsidR="00476E08" w:rsidRPr="005D63FD" w:rsidRDefault="00476E08" w:rsidP="00476E08">
      <w:r>
        <w:t>Personal Data</w:t>
      </w:r>
      <w:r w:rsidRPr="005D63FD">
        <w:t xml:space="preserve"> must only be processed when explicitly authorised by </w:t>
      </w:r>
      <w:r>
        <w:t>DPO</w:t>
      </w:r>
      <w:r w:rsidR="00CD0960">
        <w:t>.</w:t>
      </w:r>
    </w:p>
    <w:p w14:paraId="1069819E" w14:textId="77777777" w:rsidR="00476E08" w:rsidRPr="005D63FD" w:rsidRDefault="00476E08" w:rsidP="00476E08">
      <w:r>
        <w:t xml:space="preserve">The Company must decide whether to perform the Data Protection Impact Assessment for each data processing activity according to the </w:t>
      </w:r>
      <w:bookmarkStart w:id="66" w:name="OLE_LINK4"/>
      <w:r>
        <w:t>Data Protection Impact Assessment Guidelines</w:t>
      </w:r>
      <w:bookmarkEnd w:id="66"/>
      <w:r>
        <w:t xml:space="preserve">. </w:t>
      </w:r>
    </w:p>
    <w:p w14:paraId="3A9E546E" w14:textId="77777777" w:rsidR="00476E08" w:rsidRPr="005D63FD" w:rsidRDefault="00476E08" w:rsidP="00B97481">
      <w:pPr>
        <w:pStyle w:val="MainHeading"/>
      </w:pPr>
      <w:bookmarkStart w:id="67" w:name="_Toc499284385"/>
      <w:bookmarkStart w:id="68" w:name="_Toc514537243"/>
      <w:bookmarkStart w:id="69" w:name="_Toc2032857723"/>
      <w:r>
        <w:t>Notices to Data Subjects</w:t>
      </w:r>
      <w:bookmarkEnd w:id="67"/>
      <w:bookmarkEnd w:id="68"/>
      <w:bookmarkEnd w:id="69"/>
    </w:p>
    <w:p w14:paraId="6719C51E" w14:textId="77777777" w:rsidR="00476E08" w:rsidRPr="005D63FD" w:rsidRDefault="00476E08" w:rsidP="00476E08">
      <w:r>
        <w:t xml:space="preserve">At the time of collection or before collecting Personal Data  for any kind of processing activities including but not limited to selling products, services, or marketing activities, DPO is responsible to properly inform data subjects of the following: the types of Personal Data collected, the purposes of the processing, processing methods, the data subjects’ rights with respect to their Personal Data, the retention period, potential international data transfers, information on the data controller, DPO, lawful grounds, if data will be shared with third parties and the Company’s security measures to protect Personal Data. This information is provided through the Privacy Notice. </w:t>
      </w:r>
    </w:p>
    <w:p w14:paraId="62AC02D6" w14:textId="77777777" w:rsidR="00476E08" w:rsidRPr="005D63FD" w:rsidRDefault="00476E08" w:rsidP="00476E08">
      <w:r w:rsidRPr="005D63FD">
        <w:t xml:space="preserve">Where </w:t>
      </w:r>
      <w:r>
        <w:t>Personal Data</w:t>
      </w:r>
      <w:r w:rsidRPr="005D63FD">
        <w:t xml:space="preserve"> is being shared with a third party, </w:t>
      </w:r>
      <w:r>
        <w:t xml:space="preserve">DPO </w:t>
      </w:r>
      <w:r w:rsidRPr="005D63FD">
        <w:t xml:space="preserve">must ensure that data subjects have been notified of this through a </w:t>
      </w:r>
      <w:r>
        <w:t>Privacy</w:t>
      </w:r>
      <w:r w:rsidRPr="005D63FD">
        <w:t xml:space="preserve"> Notice. </w:t>
      </w:r>
    </w:p>
    <w:p w14:paraId="7BF5BE01" w14:textId="77777777" w:rsidR="00476E08" w:rsidRPr="005D63FD" w:rsidRDefault="00476E08" w:rsidP="00476E08">
      <w:r w:rsidRPr="005D63FD">
        <w:t xml:space="preserve">Where </w:t>
      </w:r>
      <w:r>
        <w:t>Personal Data</w:t>
      </w:r>
      <w:r w:rsidRPr="005D63FD">
        <w:t xml:space="preserve"> is being transferred to a third country according to </w:t>
      </w:r>
      <w:r w:rsidRPr="005D63FD">
        <w:rPr>
          <w:rFonts w:cs="Calibri"/>
        </w:rPr>
        <w:t>Cross Border Data Transfer Policy</w:t>
      </w:r>
      <w:r w:rsidRPr="005D63FD">
        <w:t xml:space="preserve">, the </w:t>
      </w:r>
      <w:r>
        <w:t>Privacy</w:t>
      </w:r>
      <w:r w:rsidRPr="005D63FD">
        <w:t xml:space="preserve"> Notice should reflect this and clearly state to where, and to which entity </w:t>
      </w:r>
      <w:r>
        <w:t>Personal Data</w:t>
      </w:r>
      <w:r w:rsidRPr="005D63FD">
        <w:t xml:space="preserve"> is being transferred.  </w:t>
      </w:r>
    </w:p>
    <w:p w14:paraId="1D872CA5" w14:textId="77777777" w:rsidR="00476E08" w:rsidRDefault="00476E08" w:rsidP="00476E08">
      <w:r w:rsidRPr="005D63FD">
        <w:t xml:space="preserve">Where sensitive </w:t>
      </w:r>
      <w:r>
        <w:t>Personal Data</w:t>
      </w:r>
      <w:r w:rsidRPr="005D63FD">
        <w:t xml:space="preserve"> is being collected, the </w:t>
      </w:r>
      <w:r>
        <w:t>DPO</w:t>
      </w:r>
      <w:r w:rsidRPr="005D63FD">
        <w:t xml:space="preserve"> must make sure that the </w:t>
      </w:r>
      <w:r>
        <w:t>Privacy</w:t>
      </w:r>
      <w:r w:rsidRPr="005D63FD">
        <w:t xml:space="preserve"> Notice explicitly states the purpose for which this sensitive </w:t>
      </w:r>
      <w:r>
        <w:t>Personal Data</w:t>
      </w:r>
      <w:r w:rsidRPr="005D63FD">
        <w:t xml:space="preserve"> is being collected.</w:t>
      </w:r>
    </w:p>
    <w:p w14:paraId="65C86837" w14:textId="77777777" w:rsidR="00476E08" w:rsidRPr="005D63FD" w:rsidRDefault="00476E08" w:rsidP="00B97481">
      <w:pPr>
        <w:pStyle w:val="MainHeading"/>
      </w:pPr>
      <w:bookmarkStart w:id="70" w:name="_Toc499284386"/>
      <w:bookmarkStart w:id="71" w:name="_Toc514537244"/>
      <w:bookmarkStart w:id="72" w:name="_Toc639968718"/>
      <w:r>
        <w:t>Obtaining Consents</w:t>
      </w:r>
      <w:bookmarkEnd w:id="70"/>
      <w:bookmarkEnd w:id="71"/>
      <w:bookmarkEnd w:id="72"/>
    </w:p>
    <w:p w14:paraId="5453019C" w14:textId="77777777" w:rsidR="00476E08" w:rsidRPr="005D63FD" w:rsidRDefault="00476E08" w:rsidP="00476E08">
      <w:r>
        <w:t>Whenever Personal Data processing is based on the data subject's consent, or other lawful grounds, DPO is responsible for retaining a record of such consent.  DPO is responsible for providing data subjects with options to provide the consent and must inform and ensure that their consent (whenever consent is used as the lawful ground for processing) can be withdrawn at any time.</w:t>
      </w:r>
    </w:p>
    <w:p w14:paraId="0F71B2A3" w14:textId="77777777" w:rsidR="00476E08" w:rsidRPr="005D63FD" w:rsidRDefault="00476E08" w:rsidP="00476E08">
      <w:r w:rsidRPr="005D63FD">
        <w:t xml:space="preserve">Where collection of </w:t>
      </w:r>
      <w:r>
        <w:t>Personal Data</w:t>
      </w:r>
      <w:r w:rsidRPr="005D63FD">
        <w:t xml:space="preserve"> relates to a child under the age of 16, </w:t>
      </w:r>
      <w:r>
        <w:t>DPO m</w:t>
      </w:r>
      <w:r w:rsidRPr="005D63FD">
        <w:t xml:space="preserve">ust ensure that parental consent is given prior to the collection using the Parental Consent Form. </w:t>
      </w:r>
    </w:p>
    <w:p w14:paraId="17DEDF73" w14:textId="77777777" w:rsidR="00476E08" w:rsidRPr="005D63FD" w:rsidRDefault="00476E08" w:rsidP="00476E08">
      <w:r w:rsidRPr="005D63FD">
        <w:t xml:space="preserve">When requests to correct, amend or destroy </w:t>
      </w:r>
      <w:r>
        <w:t>Personal Data</w:t>
      </w:r>
      <w:r w:rsidRPr="005D63FD">
        <w:t xml:space="preserve"> records, </w:t>
      </w:r>
      <w:r>
        <w:t xml:space="preserve">DPO </w:t>
      </w:r>
      <w:r w:rsidRPr="005D63FD">
        <w:t xml:space="preserve">must ensure that these requests are handled within a reasonable time frame. </w:t>
      </w:r>
      <w:r>
        <w:t>DPO</w:t>
      </w:r>
      <w:r w:rsidRPr="005D63FD">
        <w:t xml:space="preserve"> must also record the requests and keep a log of these. </w:t>
      </w:r>
    </w:p>
    <w:p w14:paraId="5C2EF626" w14:textId="0C386197" w:rsidR="00476E08" w:rsidRPr="005D63FD" w:rsidRDefault="00476E08" w:rsidP="00476E08">
      <w:r>
        <w:t xml:space="preserve">Personal Data must only be processed for the purpose for which they were originally collected. In the event that the Company wants to process collected Personal Data for another purpose that is incompatible with the original purposes (see Art. 6 (4) GDPR), the Company must seek the consent of its data subjects in clear and concise writing. Any such request should include the original purpose for which data was collected, and also the new, or additional, purpose(s). The request must also include the reason for the change in purpose(s). The DPO is responsible for complying with the rules in this paragraph. </w:t>
      </w:r>
    </w:p>
    <w:p w14:paraId="10A5F290" w14:textId="0AE97B6A" w:rsidR="00476E08" w:rsidRPr="005D63FD" w:rsidRDefault="00476E08" w:rsidP="00476E08">
      <w:r w:rsidRPr="005D63FD">
        <w:t xml:space="preserve">Now and in the future, </w:t>
      </w:r>
      <w:r>
        <w:t xml:space="preserve">DPO </w:t>
      </w:r>
      <w:r w:rsidRPr="005D63FD">
        <w:t xml:space="preserve">must ensure that collection methods are compliant with relevant law, good </w:t>
      </w:r>
      <w:r w:rsidR="002857DA" w:rsidRPr="005D63FD">
        <w:t>practices,</w:t>
      </w:r>
      <w:r w:rsidRPr="005D63FD">
        <w:t xml:space="preserve"> and industry standards. </w:t>
      </w:r>
    </w:p>
    <w:p w14:paraId="49574139" w14:textId="1403B4A3" w:rsidR="00476E08" w:rsidRPr="005D63FD" w:rsidRDefault="00476E08" w:rsidP="00476E08">
      <w:r>
        <w:t>DPO is responsible for creating and maintaining a Register of the Privacy Notice</w:t>
      </w:r>
      <w:bookmarkStart w:id="73" w:name="OLE_LINK3"/>
      <w:bookmarkEnd w:id="73"/>
      <w:r>
        <w:t>s.</w:t>
      </w:r>
    </w:p>
    <w:p w14:paraId="03354610" w14:textId="7B34BF25" w:rsidR="007F79FF" w:rsidRPr="00542559" w:rsidRDefault="00542559" w:rsidP="00F64BF5">
      <w:pPr>
        <w:pStyle w:val="Heading1"/>
        <w:rPr>
          <w:rFonts w:ascii="Arial" w:eastAsiaTheme="majorEastAsia" w:hAnsi="Arial" w:cs="Arial"/>
        </w:rPr>
      </w:pPr>
      <w:bookmarkStart w:id="74" w:name="_Toc1965867476"/>
      <w:r>
        <w:rPr>
          <w:rFonts w:ascii="Arial" w:eastAsiaTheme="majorEastAsia" w:hAnsi="Arial" w:cs="Arial"/>
        </w:rPr>
        <w:t>Organization and Responsibilities</w:t>
      </w:r>
      <w:bookmarkEnd w:id="74"/>
    </w:p>
    <w:p w14:paraId="48B0660F" w14:textId="77777777" w:rsidR="006A6C66" w:rsidRDefault="006A6C66" w:rsidP="006A6C66">
      <w:pPr>
        <w:rPr>
          <w:shd w:val="clear" w:color="auto" w:fill="FFFFFF"/>
        </w:rPr>
      </w:pPr>
      <w:r w:rsidRPr="005D63FD">
        <w:rPr>
          <w:shd w:val="clear" w:color="auto" w:fill="FFFFFF"/>
        </w:rPr>
        <w:t xml:space="preserve">The responsibility for ensuring appropriate </w:t>
      </w:r>
      <w:r>
        <w:rPr>
          <w:shd w:val="clear" w:color="auto" w:fill="FFFFFF"/>
        </w:rPr>
        <w:t>Personal Data</w:t>
      </w:r>
      <w:r w:rsidRPr="005D63FD">
        <w:rPr>
          <w:shd w:val="clear" w:color="auto" w:fill="FFFFFF"/>
        </w:rPr>
        <w:t xml:space="preserve"> processing lies with everyone who works for or with the Company and has access to </w:t>
      </w:r>
      <w:r>
        <w:rPr>
          <w:shd w:val="clear" w:color="auto" w:fill="FFFFFF"/>
        </w:rPr>
        <w:t>Personal Data</w:t>
      </w:r>
      <w:r w:rsidRPr="005D63FD">
        <w:rPr>
          <w:shd w:val="clear" w:color="auto" w:fill="FFFFFF"/>
        </w:rPr>
        <w:t xml:space="preserve"> processed by the Company.</w:t>
      </w:r>
    </w:p>
    <w:p w14:paraId="32482172" w14:textId="3C1C145C" w:rsidR="006A6C66" w:rsidRDefault="006A6C66" w:rsidP="006A6C66">
      <w:pPr>
        <w:rPr>
          <w:shd w:val="clear" w:color="auto" w:fill="FFFFFF"/>
        </w:rPr>
      </w:pPr>
      <w:r>
        <w:rPr>
          <w:shd w:val="clear" w:color="auto" w:fill="FFFFFF"/>
        </w:rPr>
        <w:t xml:space="preserve">Netradyne uses a Hub and Spokes model to operationalize its Privacy Governance Framework. The model consists of one Hub (Privacy </w:t>
      </w:r>
      <w:r w:rsidR="00A84F6E">
        <w:rPr>
          <w:shd w:val="clear" w:color="auto" w:fill="FFFFFF"/>
        </w:rPr>
        <w:t>Team</w:t>
      </w:r>
      <w:r>
        <w:rPr>
          <w:shd w:val="clear" w:color="auto" w:fill="FFFFFF"/>
        </w:rPr>
        <w:t>) providing centralized leadership to the privacy program, and multiple spokes with a Privacy Stakeholder in each corporate function who shares accountability under leadership of the Hub. All identified participants together make up the Privacy Council.</w:t>
      </w:r>
    </w:p>
    <w:p w14:paraId="279A21A8" w14:textId="691D54FC" w:rsidR="00DF4055" w:rsidRDefault="006F0B6B" w:rsidP="00DF4055">
      <w:r>
        <w:rPr>
          <w:noProof/>
        </w:rPr>
        <w:drawing>
          <wp:inline distT="0" distB="0" distL="0" distR="0" wp14:anchorId="25524880" wp14:editId="10429040">
            <wp:extent cx="5731510" cy="4250961"/>
            <wp:effectExtent l="0" t="0" r="0" b="0"/>
            <wp:docPr id="1098496639" name="Picture 1" descr="A diagram of a company's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96639" name="Picture 1" descr="A diagram of a company's company&#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250961"/>
                    </a:xfrm>
                    <a:prstGeom prst="rect">
                      <a:avLst/>
                    </a:prstGeom>
                    <a:noFill/>
                  </pic:spPr>
                </pic:pic>
              </a:graphicData>
            </a:graphic>
          </wp:inline>
        </w:drawing>
      </w:r>
    </w:p>
    <w:p w14:paraId="559209FE" w14:textId="77777777" w:rsidR="00986A85" w:rsidRPr="005D63FD" w:rsidRDefault="00986A85" w:rsidP="00986A85">
      <w:pPr>
        <w:rPr>
          <w:highlight w:val="white"/>
        </w:rPr>
      </w:pPr>
      <w:r w:rsidRPr="005D63FD">
        <w:rPr>
          <w:shd w:val="clear" w:color="auto" w:fill="FFFFFF"/>
        </w:rPr>
        <w:t xml:space="preserve">The key areas of responsibilities for processing </w:t>
      </w:r>
      <w:r>
        <w:rPr>
          <w:shd w:val="clear" w:color="auto" w:fill="FFFFFF"/>
        </w:rPr>
        <w:t>Personal Data</w:t>
      </w:r>
      <w:r w:rsidRPr="005D63FD">
        <w:rPr>
          <w:shd w:val="clear" w:color="auto" w:fill="FFFFFF"/>
        </w:rPr>
        <w:t xml:space="preserve"> lie with the following organisational roles: </w:t>
      </w:r>
    </w:p>
    <w:p w14:paraId="5E964B49" w14:textId="77777777" w:rsidR="00986A85" w:rsidRPr="005D63FD" w:rsidRDefault="00986A85" w:rsidP="00986A85">
      <w:r w:rsidRPr="1C5F1FB6">
        <w:rPr>
          <w:b/>
          <w:bCs/>
          <w:shd w:val="clear" w:color="auto" w:fill="FFFFFF"/>
        </w:rPr>
        <w:t xml:space="preserve">The CEO or CTO </w:t>
      </w:r>
      <w:r w:rsidRPr="005D63FD">
        <w:rPr>
          <w:shd w:val="clear" w:color="auto" w:fill="FFFFFF"/>
        </w:rPr>
        <w:t>makes decisions about</w:t>
      </w:r>
      <w:r>
        <w:rPr>
          <w:shd w:val="clear" w:color="auto" w:fill="FFFFFF"/>
        </w:rPr>
        <w:t xml:space="preserve"> </w:t>
      </w:r>
      <w:r w:rsidRPr="005D63FD">
        <w:rPr>
          <w:shd w:val="clear" w:color="auto" w:fill="FFFFFF"/>
        </w:rPr>
        <w:t xml:space="preserve">and approves the Company’s general strategies on </w:t>
      </w:r>
      <w:r>
        <w:rPr>
          <w:shd w:val="clear" w:color="auto" w:fill="FFFFFF"/>
        </w:rPr>
        <w:t>Personal Data</w:t>
      </w:r>
      <w:r w:rsidRPr="005D63FD">
        <w:rPr>
          <w:shd w:val="clear" w:color="auto" w:fill="FFFFFF"/>
        </w:rPr>
        <w:t xml:space="preserve"> protection.</w:t>
      </w:r>
    </w:p>
    <w:p w14:paraId="46D30C95" w14:textId="071B88A5" w:rsidR="00986A85" w:rsidRDefault="00986A85" w:rsidP="00986A85">
      <w:r w:rsidRPr="005D63FD">
        <w:rPr>
          <w:shd w:val="clear" w:color="auto" w:fill="FFFFFF"/>
        </w:rPr>
        <w:t>The</w:t>
      </w:r>
      <w:r>
        <w:rPr>
          <w:shd w:val="clear" w:color="auto" w:fill="FFFFFF"/>
        </w:rPr>
        <w:t xml:space="preserve"> </w:t>
      </w:r>
      <w:r>
        <w:rPr>
          <w:b/>
          <w:bCs/>
          <w:shd w:val="clear" w:color="auto" w:fill="FFFFFF"/>
        </w:rPr>
        <w:t>Privacy Team, including the Data Protection Officer</w:t>
      </w:r>
      <w:r w:rsidRPr="005D63FD">
        <w:rPr>
          <w:b/>
          <w:bCs/>
          <w:shd w:val="clear" w:color="auto" w:fill="FFFFFF"/>
        </w:rPr>
        <w:t xml:space="preserve"> (</w:t>
      </w:r>
      <w:r>
        <w:rPr>
          <w:b/>
          <w:bCs/>
          <w:shd w:val="clear" w:color="auto" w:fill="FFFFFF"/>
        </w:rPr>
        <w:t>DPO</w:t>
      </w:r>
      <w:r w:rsidRPr="005D63FD">
        <w:rPr>
          <w:b/>
          <w:bCs/>
          <w:shd w:val="clear" w:color="auto" w:fill="FFFFFF"/>
        </w:rPr>
        <w:t>)</w:t>
      </w:r>
      <w:r w:rsidRPr="005D63FD">
        <w:rPr>
          <w:shd w:val="clear" w:color="auto" w:fill="FFFFFF"/>
        </w:rPr>
        <w:t xml:space="preserve"> is responsible for the development and promotion of end-to-end </w:t>
      </w:r>
      <w:r>
        <w:rPr>
          <w:shd w:val="clear" w:color="auto" w:fill="FFFFFF"/>
        </w:rPr>
        <w:t>Personal Data</w:t>
      </w:r>
      <w:r w:rsidRPr="005D63FD">
        <w:rPr>
          <w:shd w:val="clear" w:color="auto" w:fill="FFFFFF"/>
        </w:rPr>
        <w:t xml:space="preserve"> protection policies, as defined in </w:t>
      </w:r>
      <w:r>
        <w:rPr>
          <w:shd w:val="clear" w:color="auto" w:fill="FFFFFF"/>
        </w:rPr>
        <w:t>DPO</w:t>
      </w:r>
      <w:r w:rsidRPr="005D63FD">
        <w:rPr>
          <w:shd w:val="clear" w:color="auto" w:fill="FFFFFF"/>
        </w:rPr>
        <w:t xml:space="preserve"> Job Description;</w:t>
      </w:r>
      <w:r>
        <w:rPr>
          <w:shd w:val="clear" w:color="auto" w:fill="FFFFFF"/>
        </w:rPr>
        <w:t xml:space="preserve"> </w:t>
      </w:r>
      <w:r w:rsidRPr="005D63FD">
        <w:rPr>
          <w:shd w:val="clear" w:color="auto" w:fill="FFFFFF"/>
        </w:rPr>
        <w:t xml:space="preserve">and assists business departments in achieving their </w:t>
      </w:r>
      <w:r>
        <w:rPr>
          <w:shd w:val="clear" w:color="auto" w:fill="FFFFFF"/>
        </w:rPr>
        <w:t>Personal Data</w:t>
      </w:r>
      <w:r w:rsidRPr="005D63FD">
        <w:rPr>
          <w:shd w:val="clear" w:color="auto" w:fill="FFFFFF"/>
        </w:rPr>
        <w:t xml:space="preserve"> </w:t>
      </w:r>
      <w:r>
        <w:t xml:space="preserve">Protection </w:t>
      </w:r>
      <w:r w:rsidRPr="005D63FD">
        <w:rPr>
          <w:shd w:val="clear" w:color="auto" w:fill="FFFFFF"/>
        </w:rPr>
        <w:t>goals</w:t>
      </w:r>
      <w:r>
        <w:t xml:space="preserve">, monitors and </w:t>
      </w:r>
      <w:r w:rsidR="00587462">
        <w:t>analyses</w:t>
      </w:r>
      <w:r>
        <w:t xml:space="preserve"> Personal Data laws and changes to regulations, and assists existing and prospective customers with privacy related issues</w:t>
      </w:r>
      <w:r>
        <w:rPr>
          <w:shd w:val="clear" w:color="auto" w:fill="FFFFFF"/>
        </w:rPr>
        <w:t>.</w:t>
      </w:r>
    </w:p>
    <w:p w14:paraId="0CE79B69" w14:textId="66739320" w:rsidR="00986A85" w:rsidRPr="005D63FD" w:rsidRDefault="00986A85" w:rsidP="00986A85">
      <w:r>
        <w:rPr>
          <w:shd w:val="clear" w:color="auto" w:fill="FFFFFF"/>
        </w:rPr>
        <w:t>The Privacy Team is</w:t>
      </w:r>
      <w:r w:rsidRPr="005D63FD">
        <w:rPr>
          <w:shd w:val="clear" w:color="auto" w:fill="FFFFFF"/>
        </w:rPr>
        <w:t xml:space="preserve"> responsible for managing the </w:t>
      </w:r>
      <w:r>
        <w:rPr>
          <w:shd w:val="clear" w:color="auto" w:fill="FFFFFF"/>
        </w:rPr>
        <w:t>Personal Data</w:t>
      </w:r>
      <w:r w:rsidRPr="005D63FD">
        <w:rPr>
          <w:shd w:val="clear" w:color="auto" w:fill="FFFFFF"/>
        </w:rPr>
        <w:t xml:space="preserve"> protection program</w:t>
      </w:r>
      <w:r>
        <w:rPr>
          <w:shd w:val="clear" w:color="auto" w:fill="FFFFFF"/>
        </w:rPr>
        <w:t xml:space="preserve">; </w:t>
      </w:r>
      <w:r w:rsidRPr="005D63FD">
        <w:rPr>
          <w:shd w:val="clear" w:color="auto" w:fill="FFFFFF"/>
        </w:rPr>
        <w:t>develop</w:t>
      </w:r>
      <w:r>
        <w:rPr>
          <w:shd w:val="clear" w:color="auto" w:fill="FFFFFF"/>
        </w:rPr>
        <w:t>ing</w:t>
      </w:r>
      <w:r w:rsidRPr="005D63FD">
        <w:rPr>
          <w:shd w:val="clear" w:color="auto" w:fill="FFFFFF"/>
        </w:rPr>
        <w:t xml:space="preserve"> compliance requirements</w:t>
      </w:r>
      <w:r>
        <w:rPr>
          <w:shd w:val="clear" w:color="auto" w:fill="FFFFFF"/>
        </w:rPr>
        <w:t xml:space="preserve"> in consultation with the Privacy Stakeholders; </w:t>
      </w:r>
    </w:p>
    <w:p w14:paraId="2C41C31E" w14:textId="77777777" w:rsidR="00986A85" w:rsidRDefault="00986A85" w:rsidP="00986A85">
      <w:pPr>
        <w:rPr>
          <w:highlight w:val="white"/>
        </w:rPr>
      </w:pPr>
      <w:r w:rsidRPr="005D63FD">
        <w:rPr>
          <w:shd w:val="clear" w:color="auto" w:fill="FFFFFF"/>
        </w:rPr>
        <w:t>The</w:t>
      </w:r>
      <w:r>
        <w:rPr>
          <w:shd w:val="clear" w:color="auto" w:fill="FFFFFF"/>
        </w:rPr>
        <w:t xml:space="preserve"> </w:t>
      </w:r>
      <w:r>
        <w:rPr>
          <w:b/>
          <w:bCs/>
        </w:rPr>
        <w:t>Legal stakeholder</w:t>
      </w:r>
      <w:r>
        <w:rPr>
          <w:b/>
          <w:bCs/>
          <w:shd w:val="clear" w:color="auto" w:fill="FFFFFF"/>
        </w:rPr>
        <w:t xml:space="preserve"> </w:t>
      </w:r>
      <w:r>
        <w:t>is responsible for:</w:t>
      </w:r>
    </w:p>
    <w:p w14:paraId="71E723AC" w14:textId="77777777" w:rsidR="00986A85" w:rsidRDefault="00986A85" w:rsidP="00C52361">
      <w:pPr>
        <w:pStyle w:val="ListParagraph"/>
        <w:numPr>
          <w:ilvl w:val="0"/>
          <w:numId w:val="3"/>
        </w:numPr>
        <w:spacing w:after="200" w:line="276" w:lineRule="auto"/>
        <w:mirrorIndents/>
      </w:pPr>
      <w:r>
        <w:t>During contracting, Legal stakeholder identifies legal risks associated with certain terms and seeks advice of DPO and/or outside counsel as required and determines whether negotiated terms are acceptable to the company and relevant stakeholders, in consultation with stakeholders and/or CEO, as required.</w:t>
      </w:r>
    </w:p>
    <w:p w14:paraId="4B506C27" w14:textId="77777777" w:rsidR="00986A85" w:rsidRDefault="00986A85" w:rsidP="00C52361">
      <w:pPr>
        <w:pStyle w:val="ListParagraph"/>
        <w:numPr>
          <w:ilvl w:val="0"/>
          <w:numId w:val="3"/>
        </w:numPr>
        <w:spacing w:after="200" w:line="276" w:lineRule="auto"/>
        <w:mirrorIndents/>
      </w:pPr>
      <w:r>
        <w:t>Weighs inputs from Privacy, InfoSec, and Legal and negotiates acceptable contractual terms in consultation with stakeholders.</w:t>
      </w:r>
    </w:p>
    <w:p w14:paraId="6751F8F2" w14:textId="77777777" w:rsidR="00986A85" w:rsidRDefault="00986A85" w:rsidP="00C52361">
      <w:pPr>
        <w:pStyle w:val="ListParagraph"/>
        <w:numPr>
          <w:ilvl w:val="0"/>
          <w:numId w:val="3"/>
        </w:numPr>
        <w:spacing w:after="200" w:line="276" w:lineRule="auto"/>
        <w:mirrorIndents/>
      </w:pPr>
      <w:r>
        <w:t>Passing on Personal Data protection responsibilities to suppliers and improving suppliers' awareness levels of Personal Data protection as well as flow down Personal Data requirements to any third party or supplier they are using. Where required by law, Contracts must ensure that the Company reserves a right to audit suppliers.</w:t>
      </w:r>
    </w:p>
    <w:p w14:paraId="4EC84184" w14:textId="77777777" w:rsidR="00986A85" w:rsidRDefault="00986A85" w:rsidP="00C52361">
      <w:pPr>
        <w:pStyle w:val="ListParagraph"/>
        <w:numPr>
          <w:ilvl w:val="0"/>
          <w:numId w:val="3"/>
        </w:numPr>
        <w:spacing w:after="200" w:line="276" w:lineRule="auto"/>
        <w:mirrorIndents/>
      </w:pPr>
      <w:r>
        <w:t>Attestations (must be from Legal)</w:t>
      </w:r>
    </w:p>
    <w:p w14:paraId="73864A7A" w14:textId="7B403F71" w:rsidR="00986A85" w:rsidRDefault="00986A85" w:rsidP="00986A85">
      <w:pPr>
        <w:rPr>
          <w:shd w:val="clear" w:color="auto" w:fill="FFFFFF"/>
        </w:rPr>
      </w:pPr>
      <w:r>
        <w:t>Legal stakeholder advises as to whether the identified legal risks associated with certain decisions are acceptable to the company, in consultation with the CEO.</w:t>
      </w:r>
    </w:p>
    <w:p w14:paraId="29F5405B" w14:textId="77777777" w:rsidR="00986A85" w:rsidRPr="005D63FD" w:rsidRDefault="00986A85" w:rsidP="00986A85">
      <w:pPr>
        <w:rPr>
          <w:highlight w:val="white"/>
        </w:rPr>
      </w:pPr>
      <w:r w:rsidRPr="005D63FD">
        <w:rPr>
          <w:shd w:val="clear" w:color="auto" w:fill="FFFFFF"/>
        </w:rPr>
        <w:t xml:space="preserve">The </w:t>
      </w:r>
      <w:r w:rsidRPr="412BC417">
        <w:rPr>
          <w:b/>
          <w:bCs/>
          <w:shd w:val="clear" w:color="auto" w:fill="FFFFFF"/>
        </w:rPr>
        <w:t>I</w:t>
      </w:r>
      <w:r>
        <w:rPr>
          <w:b/>
          <w:bCs/>
          <w:shd w:val="clear" w:color="auto" w:fill="FFFFFF"/>
        </w:rPr>
        <w:t>nfoSec</w:t>
      </w:r>
      <w:r w:rsidRPr="412BC417">
        <w:rPr>
          <w:b/>
          <w:bCs/>
          <w:shd w:val="clear" w:color="auto" w:fill="FFFFFF"/>
        </w:rPr>
        <w:t xml:space="preserve"> </w:t>
      </w:r>
      <w:r>
        <w:rPr>
          <w:b/>
          <w:bCs/>
          <w:shd w:val="clear" w:color="auto" w:fill="FFFFFF"/>
        </w:rPr>
        <w:t>stakeholder</w:t>
      </w:r>
      <w:r w:rsidRPr="412BC417">
        <w:rPr>
          <w:b/>
          <w:bCs/>
          <w:shd w:val="clear" w:color="auto" w:fill="FFFFFF"/>
        </w:rPr>
        <w:t xml:space="preserve">, </w:t>
      </w:r>
      <w:r w:rsidRPr="005D63FD">
        <w:rPr>
          <w:shd w:val="clear" w:color="auto" w:fill="FFFFFF"/>
        </w:rPr>
        <w:t>is responsible for:</w:t>
      </w:r>
    </w:p>
    <w:p w14:paraId="40B2ACF1" w14:textId="77777777" w:rsidR="00986A85" w:rsidRPr="005D63FD" w:rsidRDefault="00986A85" w:rsidP="00C52361">
      <w:pPr>
        <w:pStyle w:val="ListParagraph"/>
        <w:numPr>
          <w:ilvl w:val="0"/>
          <w:numId w:val="3"/>
        </w:numPr>
        <w:spacing w:after="200" w:line="276" w:lineRule="auto"/>
        <w:mirrorIndents/>
      </w:pPr>
      <w:r w:rsidRPr="005D63FD">
        <w:rPr>
          <w:shd w:val="clear" w:color="auto" w:fill="FFFFFF"/>
        </w:rPr>
        <w:t>Ensuring all systems, services and equipment used for storing data meet acceptable security standards.</w:t>
      </w:r>
    </w:p>
    <w:p w14:paraId="21A167C7" w14:textId="77777777" w:rsidR="00986A85" w:rsidRPr="005D63FD" w:rsidRDefault="00986A85" w:rsidP="00C52361">
      <w:pPr>
        <w:pStyle w:val="ListParagraph"/>
        <w:numPr>
          <w:ilvl w:val="0"/>
          <w:numId w:val="3"/>
        </w:numPr>
        <w:spacing w:after="200" w:line="276" w:lineRule="auto"/>
        <w:mirrorIndents/>
      </w:pPr>
      <w:r w:rsidRPr="005D63FD">
        <w:rPr>
          <w:shd w:val="clear" w:color="auto" w:fill="FFFFFF"/>
        </w:rPr>
        <w:t>Performing regular checks and scans to ensure security hardware and software is functioning properly.</w:t>
      </w:r>
    </w:p>
    <w:p w14:paraId="4817090C" w14:textId="77777777" w:rsidR="00986A85" w:rsidRDefault="00986A85" w:rsidP="00C52361">
      <w:pPr>
        <w:pStyle w:val="ListParagraph"/>
        <w:numPr>
          <w:ilvl w:val="0"/>
          <w:numId w:val="3"/>
        </w:numPr>
        <w:spacing w:after="200" w:line="276" w:lineRule="auto"/>
        <w:mirrorIndents/>
      </w:pPr>
      <w:r>
        <w:t>Improving employees' awareness of information security and data protection guidelines through periodic awareness campaigns.</w:t>
      </w:r>
    </w:p>
    <w:p w14:paraId="36C2DD56" w14:textId="4A9DCB25" w:rsidR="00986A85" w:rsidRDefault="00986A85" w:rsidP="00986A85">
      <w:pPr>
        <w:rPr>
          <w:shd w:val="clear" w:color="auto" w:fill="FFFFFF"/>
        </w:rPr>
      </w:pPr>
      <w:r>
        <w:rPr>
          <w:shd w:val="clear" w:color="auto" w:fill="FFFFFF"/>
        </w:rPr>
        <w:t xml:space="preserve">The </w:t>
      </w:r>
      <w:r>
        <w:rPr>
          <w:b/>
          <w:bCs/>
          <w:shd w:val="clear" w:color="auto" w:fill="FFFFFF"/>
        </w:rPr>
        <w:t xml:space="preserve">Engineering </w:t>
      </w:r>
      <w:r w:rsidRPr="000109C1">
        <w:rPr>
          <w:b/>
          <w:bCs/>
          <w:shd w:val="clear" w:color="auto" w:fill="FFFFFF"/>
        </w:rPr>
        <w:t>stakeholder</w:t>
      </w:r>
      <w:r>
        <w:rPr>
          <w:shd w:val="clear" w:color="auto" w:fill="FFFFFF"/>
        </w:rPr>
        <w:t xml:space="preserve"> is responsible for:</w:t>
      </w:r>
    </w:p>
    <w:p w14:paraId="6CB20D1F" w14:textId="7F15C547" w:rsidR="00986A85" w:rsidRPr="00F74620" w:rsidRDefault="00986A85" w:rsidP="00C52361">
      <w:pPr>
        <w:pStyle w:val="ListParagraph"/>
        <w:numPr>
          <w:ilvl w:val="0"/>
          <w:numId w:val="3"/>
        </w:numPr>
        <w:spacing w:after="200" w:line="276" w:lineRule="auto"/>
        <w:mirrorIndents/>
      </w:pPr>
      <w:r w:rsidRPr="005D63FD">
        <w:rPr>
          <w:shd w:val="clear" w:color="auto" w:fill="FFFFFF"/>
        </w:rPr>
        <w:t xml:space="preserve">Ensuring all </w:t>
      </w:r>
      <w:r>
        <w:rPr>
          <w:shd w:val="clear" w:color="auto" w:fill="FFFFFF"/>
        </w:rPr>
        <w:t>Personal Data handling in cloud production systems complies with company privacy policies</w:t>
      </w:r>
      <w:r w:rsidR="009C6914">
        <w:rPr>
          <w:shd w:val="clear" w:color="auto" w:fill="FFFFFF"/>
        </w:rPr>
        <w:t xml:space="preserve"> and contractual</w:t>
      </w:r>
      <w:r w:rsidR="00A32464">
        <w:rPr>
          <w:shd w:val="clear" w:color="auto" w:fill="FFFFFF"/>
        </w:rPr>
        <w:t xml:space="preserve"> obligations</w:t>
      </w:r>
      <w:r w:rsidR="005B4543">
        <w:rPr>
          <w:shd w:val="clear" w:color="auto" w:fill="FFFFFF"/>
        </w:rPr>
        <w:t xml:space="preserve"> (</w:t>
      </w:r>
      <w:r w:rsidR="004A289C">
        <w:rPr>
          <w:shd w:val="clear" w:color="auto" w:fill="FFFFFF"/>
        </w:rPr>
        <w:t xml:space="preserve">including </w:t>
      </w:r>
      <w:r w:rsidR="005B4543">
        <w:rPr>
          <w:shd w:val="clear" w:color="auto" w:fill="FFFFFF"/>
        </w:rPr>
        <w:t>customer specific</w:t>
      </w:r>
      <w:r w:rsidR="004A289C">
        <w:rPr>
          <w:shd w:val="clear" w:color="auto" w:fill="FFFFFF"/>
        </w:rPr>
        <w:t>-</w:t>
      </w:r>
      <w:r w:rsidR="005B4543">
        <w:rPr>
          <w:shd w:val="clear" w:color="auto" w:fill="FFFFFF"/>
        </w:rPr>
        <w:t xml:space="preserve"> </w:t>
      </w:r>
      <w:r w:rsidR="009C1A77">
        <w:rPr>
          <w:shd w:val="clear" w:color="auto" w:fill="FFFFFF"/>
        </w:rPr>
        <w:t>Data Retention Polic</w:t>
      </w:r>
      <w:r w:rsidR="000109C1">
        <w:rPr>
          <w:shd w:val="clear" w:color="auto" w:fill="FFFFFF"/>
        </w:rPr>
        <w:t>y</w:t>
      </w:r>
      <w:r w:rsidR="009C1A77">
        <w:rPr>
          <w:shd w:val="clear" w:color="auto" w:fill="FFFFFF"/>
        </w:rPr>
        <w:t xml:space="preserve"> (DRP), </w:t>
      </w:r>
      <w:r w:rsidR="00604F00">
        <w:rPr>
          <w:shd w:val="clear" w:color="auto" w:fill="FFFFFF"/>
        </w:rPr>
        <w:t>Data Usage Policy (DUP), Business Associate Agreement (BAA))</w:t>
      </w:r>
      <w:r>
        <w:rPr>
          <w:shd w:val="clear" w:color="auto" w:fill="FFFFFF"/>
        </w:rPr>
        <w:t>.</w:t>
      </w:r>
    </w:p>
    <w:p w14:paraId="05AE5926" w14:textId="77777777" w:rsidR="00986A85" w:rsidRPr="00CE0F2D" w:rsidRDefault="00986A85" w:rsidP="00C52361">
      <w:pPr>
        <w:pStyle w:val="ListParagraph"/>
        <w:numPr>
          <w:ilvl w:val="0"/>
          <w:numId w:val="3"/>
        </w:numPr>
        <w:spacing w:after="200" w:line="276" w:lineRule="auto"/>
        <w:mirrorIndents/>
      </w:pPr>
      <w:r>
        <w:rPr>
          <w:shd w:val="clear" w:color="auto" w:fill="FFFFFF"/>
        </w:rPr>
        <w:t xml:space="preserve">Implementing data retention and data usage policies; monitoring and reporting changes that could materially change stated data minimization targets  </w:t>
      </w:r>
      <w:r w:rsidRPr="00A70661">
        <w:rPr>
          <w:shd w:val="clear" w:color="auto" w:fill="FFFFFF"/>
        </w:rPr>
        <w:t xml:space="preserve">  </w:t>
      </w:r>
    </w:p>
    <w:p w14:paraId="3FBC3512" w14:textId="77777777" w:rsidR="00986A85" w:rsidRPr="00CE0F2D" w:rsidRDefault="00986A85" w:rsidP="00C52361">
      <w:pPr>
        <w:pStyle w:val="ListParagraph"/>
        <w:numPr>
          <w:ilvl w:val="0"/>
          <w:numId w:val="3"/>
        </w:numPr>
        <w:spacing w:after="200" w:line="276" w:lineRule="auto"/>
        <w:mirrorIndents/>
      </w:pPr>
      <w:r w:rsidRPr="005D63FD">
        <w:rPr>
          <w:shd w:val="clear" w:color="auto" w:fill="FFFFFF"/>
        </w:rPr>
        <w:t xml:space="preserve">Ensuring all </w:t>
      </w:r>
      <w:r>
        <w:rPr>
          <w:shd w:val="clear" w:color="auto" w:fill="FFFFFF"/>
        </w:rPr>
        <w:t>Personal Data handling for perceptual engine development, including machine learning datasets, complies with company privacy policies</w:t>
      </w:r>
      <w:r w:rsidRPr="005D63FD">
        <w:rPr>
          <w:shd w:val="clear" w:color="auto" w:fill="FFFFFF"/>
        </w:rPr>
        <w:t>.</w:t>
      </w:r>
    </w:p>
    <w:p w14:paraId="324CCD87" w14:textId="77777777" w:rsidR="00986A85" w:rsidRPr="00CE0F2D" w:rsidRDefault="00986A85" w:rsidP="00C52361">
      <w:pPr>
        <w:pStyle w:val="ListParagraph"/>
        <w:numPr>
          <w:ilvl w:val="0"/>
          <w:numId w:val="3"/>
        </w:numPr>
        <w:spacing w:after="200" w:line="276" w:lineRule="auto"/>
        <w:mirrorIndents/>
      </w:pPr>
      <w:r>
        <w:rPr>
          <w:shd w:val="clear" w:color="auto" w:fill="FFFFFF"/>
        </w:rPr>
        <w:t>Initiating new Data Privacy Impact Assessments when required.</w:t>
      </w:r>
    </w:p>
    <w:p w14:paraId="477593A7" w14:textId="00B4F86B" w:rsidR="00986A85" w:rsidRPr="005D63FD" w:rsidRDefault="00986A85" w:rsidP="00C52361">
      <w:pPr>
        <w:pStyle w:val="ListParagraph"/>
        <w:numPr>
          <w:ilvl w:val="0"/>
          <w:numId w:val="3"/>
        </w:numPr>
        <w:spacing w:after="200" w:line="276" w:lineRule="auto"/>
        <w:mirrorIndents/>
      </w:pPr>
      <w:r>
        <w:rPr>
          <w:shd w:val="clear" w:color="auto" w:fill="FFFFFF"/>
        </w:rPr>
        <w:t>Periodically conducting data reviews to identify Personal Data that can be deleted from machine learning datasets</w:t>
      </w:r>
      <w:r w:rsidR="004733AC">
        <w:rPr>
          <w:shd w:val="clear" w:color="auto" w:fill="FFFFFF"/>
        </w:rPr>
        <w:t>.</w:t>
      </w:r>
    </w:p>
    <w:p w14:paraId="04AE3ED2" w14:textId="77777777" w:rsidR="00986A85" w:rsidRPr="005D63FD" w:rsidRDefault="00986A85" w:rsidP="00986A85">
      <w:pPr>
        <w:rPr>
          <w:highlight w:val="white"/>
        </w:rPr>
      </w:pPr>
      <w:r w:rsidRPr="005D63FD">
        <w:rPr>
          <w:shd w:val="clear" w:color="auto" w:fill="FFFFFF"/>
        </w:rPr>
        <w:t xml:space="preserve">The </w:t>
      </w:r>
      <w:r w:rsidRPr="005D63FD">
        <w:rPr>
          <w:b/>
          <w:bCs/>
          <w:shd w:val="clear" w:color="auto" w:fill="FFFFFF"/>
        </w:rPr>
        <w:t>M</w:t>
      </w:r>
      <w:r w:rsidRPr="1C5F1FB6">
        <w:rPr>
          <w:b/>
          <w:bCs/>
          <w:shd w:val="clear" w:color="auto" w:fill="FFFFFF"/>
        </w:rPr>
        <w:t>arketing stakeholder</w:t>
      </w:r>
      <w:r w:rsidRPr="005D63FD">
        <w:rPr>
          <w:shd w:val="clear" w:color="auto" w:fill="FFFFFF"/>
        </w:rPr>
        <w:t>, is responsible for:</w:t>
      </w:r>
    </w:p>
    <w:p w14:paraId="2BACA6E7" w14:textId="77777777" w:rsidR="00986A85" w:rsidRPr="005D63FD" w:rsidRDefault="00986A85" w:rsidP="00C52361">
      <w:pPr>
        <w:pStyle w:val="ListParagraph"/>
        <w:numPr>
          <w:ilvl w:val="0"/>
          <w:numId w:val="4"/>
        </w:numPr>
        <w:spacing w:after="200" w:line="276" w:lineRule="auto"/>
        <w:mirrorIndents/>
      </w:pPr>
      <w:r w:rsidRPr="005D63FD">
        <w:rPr>
          <w:shd w:val="clear" w:color="auto" w:fill="FFFFFF"/>
        </w:rPr>
        <w:t>Approving any data protection statements attached to communications such as emails and letters.</w:t>
      </w:r>
    </w:p>
    <w:p w14:paraId="198BB0A1" w14:textId="77777777" w:rsidR="00986A85" w:rsidRPr="005D63FD" w:rsidRDefault="00986A85" w:rsidP="00C52361">
      <w:pPr>
        <w:pStyle w:val="ListParagraph"/>
        <w:numPr>
          <w:ilvl w:val="0"/>
          <w:numId w:val="4"/>
        </w:numPr>
        <w:spacing w:after="200" w:line="276" w:lineRule="auto"/>
        <w:mirrorIndents/>
      </w:pPr>
      <w:r w:rsidRPr="005D63FD">
        <w:rPr>
          <w:shd w:val="clear" w:color="auto" w:fill="FFFFFF"/>
        </w:rPr>
        <w:t>Addressing any data protection queries from journalists or media outlets like newspapers.</w:t>
      </w:r>
    </w:p>
    <w:p w14:paraId="1F03D99F" w14:textId="77777777" w:rsidR="00986A85" w:rsidRPr="00F4277B" w:rsidRDefault="00986A85" w:rsidP="00C52361">
      <w:pPr>
        <w:pStyle w:val="ListParagraph"/>
        <w:numPr>
          <w:ilvl w:val="0"/>
          <w:numId w:val="4"/>
        </w:numPr>
        <w:spacing w:after="200" w:line="276" w:lineRule="auto"/>
        <w:mirrorIndents/>
        <w:rPr>
          <w:shd w:val="clear" w:color="auto" w:fill="FFFFFF"/>
        </w:rPr>
      </w:pPr>
      <w:r w:rsidRPr="005D63FD">
        <w:rPr>
          <w:shd w:val="clear" w:color="auto" w:fill="FFFFFF"/>
        </w:rPr>
        <w:t xml:space="preserve">Where necessary, working with the </w:t>
      </w:r>
      <w:r>
        <w:rPr>
          <w:shd w:val="clear" w:color="auto" w:fill="FFFFFF"/>
        </w:rPr>
        <w:t>DPO</w:t>
      </w:r>
      <w:r w:rsidRPr="005D63FD">
        <w:rPr>
          <w:shd w:val="clear" w:color="auto" w:fill="FFFFFF"/>
        </w:rPr>
        <w:t xml:space="preserve"> to ensure marketing initiatives abide by data protection principles.</w:t>
      </w:r>
      <w:r>
        <w:rPr>
          <w:shd w:val="clear" w:color="auto" w:fill="FFFFFF"/>
        </w:rPr>
        <w:t xml:space="preserve"> </w:t>
      </w:r>
      <w:r>
        <w:t>Managing deletion requests related to marketing campaigns.</w:t>
      </w:r>
    </w:p>
    <w:p w14:paraId="71C06706" w14:textId="77777777" w:rsidR="00986A85" w:rsidRDefault="00986A85" w:rsidP="00986A85">
      <w:pPr>
        <w:rPr>
          <w:shd w:val="clear" w:color="auto" w:fill="FFFFFF"/>
        </w:rPr>
      </w:pPr>
      <w:r>
        <w:rPr>
          <w:shd w:val="clear" w:color="auto" w:fill="FFFFFF"/>
        </w:rPr>
        <w:t xml:space="preserve">The </w:t>
      </w:r>
      <w:r>
        <w:rPr>
          <w:b/>
          <w:bCs/>
          <w:shd w:val="clear" w:color="auto" w:fill="FFFFFF"/>
        </w:rPr>
        <w:t>Sales and Customer Success</w:t>
      </w:r>
      <w:r w:rsidRPr="006076FF">
        <w:rPr>
          <w:b/>
          <w:bCs/>
          <w:shd w:val="clear" w:color="auto" w:fill="FFFFFF"/>
        </w:rPr>
        <w:t xml:space="preserve"> stakeholder</w:t>
      </w:r>
      <w:r>
        <w:rPr>
          <w:shd w:val="clear" w:color="auto" w:fill="FFFFFF"/>
        </w:rPr>
        <w:t xml:space="preserve"> is responsible for ensuring that Personal Data associated with prospective, current, and former customers is handled in compliance with company privacy policies.</w:t>
      </w:r>
    </w:p>
    <w:p w14:paraId="7D3D4F35" w14:textId="77777777" w:rsidR="00986A85" w:rsidRDefault="00986A85" w:rsidP="00986A85">
      <w:pPr>
        <w:rPr>
          <w:shd w:val="clear" w:color="auto" w:fill="FFFFFF"/>
        </w:rPr>
      </w:pPr>
      <w:r>
        <w:rPr>
          <w:shd w:val="clear" w:color="auto" w:fill="FFFFFF"/>
        </w:rPr>
        <w:t xml:space="preserve">The </w:t>
      </w:r>
      <w:r>
        <w:rPr>
          <w:b/>
          <w:bCs/>
          <w:shd w:val="clear" w:color="auto" w:fill="FFFFFF"/>
        </w:rPr>
        <w:t>Product</w:t>
      </w:r>
      <w:r w:rsidRPr="006076FF">
        <w:rPr>
          <w:b/>
          <w:bCs/>
          <w:shd w:val="clear" w:color="auto" w:fill="FFFFFF"/>
        </w:rPr>
        <w:t xml:space="preserve"> stakeholder</w:t>
      </w:r>
      <w:r>
        <w:rPr>
          <w:shd w:val="clear" w:color="auto" w:fill="FFFFFF"/>
        </w:rPr>
        <w:t xml:space="preserve"> is responsible for:</w:t>
      </w:r>
    </w:p>
    <w:p w14:paraId="3414922D" w14:textId="77777777" w:rsidR="00986A85" w:rsidRPr="007F047C" w:rsidRDefault="00986A85" w:rsidP="00C52361">
      <w:pPr>
        <w:pStyle w:val="ListParagraph"/>
        <w:numPr>
          <w:ilvl w:val="0"/>
          <w:numId w:val="4"/>
        </w:numPr>
        <w:spacing w:after="200" w:line="276" w:lineRule="auto"/>
        <w:mirrorIndents/>
      </w:pPr>
      <w:r>
        <w:rPr>
          <w:shd w:val="clear" w:color="auto" w:fill="FFFFFF"/>
        </w:rPr>
        <w:t>Ensuring that Privacy considerations are incorporated into the earliest stages of Product development</w:t>
      </w:r>
      <w:r w:rsidRPr="005D63FD">
        <w:rPr>
          <w:shd w:val="clear" w:color="auto" w:fill="FFFFFF"/>
        </w:rPr>
        <w:t>.</w:t>
      </w:r>
    </w:p>
    <w:p w14:paraId="14388DCF" w14:textId="77777777" w:rsidR="00986A85" w:rsidRDefault="00986A85" w:rsidP="00C52361">
      <w:pPr>
        <w:pStyle w:val="ListParagraph"/>
        <w:numPr>
          <w:ilvl w:val="0"/>
          <w:numId w:val="4"/>
        </w:numPr>
        <w:spacing w:after="200" w:line="276" w:lineRule="auto"/>
        <w:mirrorIndents/>
      </w:pPr>
      <w:r>
        <w:t>Weighing company interests in privacy decisions.</w:t>
      </w:r>
    </w:p>
    <w:p w14:paraId="58A50049" w14:textId="77777777" w:rsidR="00986A85" w:rsidRDefault="00986A85" w:rsidP="00C52361">
      <w:pPr>
        <w:pStyle w:val="ListParagraph"/>
        <w:numPr>
          <w:ilvl w:val="0"/>
          <w:numId w:val="4"/>
        </w:numPr>
        <w:spacing w:after="200" w:line="276" w:lineRule="auto"/>
        <w:mirrorIndents/>
      </w:pPr>
      <w:r>
        <w:t>Prioritizing technical privacy roadmap items.</w:t>
      </w:r>
    </w:p>
    <w:p w14:paraId="4D08D24D" w14:textId="77777777" w:rsidR="00986A85" w:rsidRPr="007F047C" w:rsidRDefault="00986A85" w:rsidP="00C52361">
      <w:pPr>
        <w:pStyle w:val="ListParagraph"/>
        <w:numPr>
          <w:ilvl w:val="0"/>
          <w:numId w:val="4"/>
        </w:numPr>
        <w:spacing w:after="200" w:line="276" w:lineRule="auto"/>
        <w:mirrorIndents/>
      </w:pPr>
      <w:r>
        <w:rPr>
          <w:shd w:val="clear" w:color="auto" w:fill="FFFFFF"/>
        </w:rPr>
        <w:t>Initiating new Data Privacy Impact Assessments when required.</w:t>
      </w:r>
    </w:p>
    <w:p w14:paraId="6678AF62" w14:textId="77777777" w:rsidR="00986A85" w:rsidRPr="005D63FD" w:rsidRDefault="00986A85" w:rsidP="00986A85">
      <w:pPr>
        <w:rPr>
          <w:highlight w:val="white"/>
        </w:rPr>
      </w:pPr>
      <w:r w:rsidRPr="005D63FD">
        <w:rPr>
          <w:shd w:val="clear" w:color="auto" w:fill="FFFFFF"/>
        </w:rPr>
        <w:t xml:space="preserve">The </w:t>
      </w:r>
      <w:r w:rsidRPr="412BC417">
        <w:rPr>
          <w:b/>
          <w:bCs/>
          <w:shd w:val="clear" w:color="auto" w:fill="FFFFFF"/>
        </w:rPr>
        <w:t xml:space="preserve">Human Resources </w:t>
      </w:r>
      <w:r>
        <w:rPr>
          <w:b/>
          <w:bCs/>
          <w:shd w:val="clear" w:color="auto" w:fill="FFFFFF"/>
        </w:rPr>
        <w:t>stakeholder</w:t>
      </w:r>
      <w:r w:rsidRPr="412BC417">
        <w:rPr>
          <w:b/>
          <w:bCs/>
          <w:shd w:val="clear" w:color="auto" w:fill="FFFFFF"/>
        </w:rPr>
        <w:t xml:space="preserve">, </w:t>
      </w:r>
      <w:r w:rsidRPr="005D63FD">
        <w:rPr>
          <w:shd w:val="clear" w:color="auto" w:fill="FFFFFF"/>
        </w:rPr>
        <w:t>is responsible for:</w:t>
      </w:r>
    </w:p>
    <w:p w14:paraId="3EED3385" w14:textId="2ECF4F16" w:rsidR="00986A85" w:rsidRPr="005D63FD" w:rsidRDefault="00986A85" w:rsidP="00C52361">
      <w:pPr>
        <w:pStyle w:val="ListParagraph"/>
        <w:numPr>
          <w:ilvl w:val="0"/>
          <w:numId w:val="5"/>
        </w:numPr>
        <w:spacing w:after="200" w:line="276" w:lineRule="auto"/>
        <w:mirrorIndents/>
      </w:pPr>
      <w:r w:rsidRPr="005D63FD">
        <w:rPr>
          <w:shd w:val="clear" w:color="auto" w:fill="FFFFFF"/>
        </w:rPr>
        <w:t xml:space="preserve">End-to-end employee </w:t>
      </w:r>
      <w:r>
        <w:rPr>
          <w:shd w:val="clear" w:color="auto" w:fill="FFFFFF"/>
        </w:rPr>
        <w:t>Personal Data</w:t>
      </w:r>
      <w:r w:rsidRPr="005D63FD">
        <w:rPr>
          <w:shd w:val="clear" w:color="auto" w:fill="FFFFFF"/>
        </w:rPr>
        <w:t xml:space="preserve"> protection. It must ensure that employees' </w:t>
      </w:r>
      <w:r>
        <w:rPr>
          <w:shd w:val="clear" w:color="auto" w:fill="FFFFFF"/>
        </w:rPr>
        <w:t>Personal Data</w:t>
      </w:r>
      <w:r w:rsidRPr="005D63FD">
        <w:rPr>
          <w:shd w:val="clear" w:color="auto" w:fill="FFFFFF"/>
        </w:rPr>
        <w:t xml:space="preserve"> is processed based on the employer's legitimate business purposes and necessity.</w:t>
      </w:r>
    </w:p>
    <w:p w14:paraId="6605B4EB" w14:textId="77777777" w:rsidR="00986A85" w:rsidRDefault="00986A85" w:rsidP="00986A85">
      <w:pPr>
        <w:rPr>
          <w:shd w:val="clear" w:color="auto" w:fill="FFFFFF"/>
        </w:rPr>
      </w:pPr>
      <w:r>
        <w:rPr>
          <w:shd w:val="clear" w:color="auto" w:fill="FFFFFF"/>
        </w:rPr>
        <w:t xml:space="preserve">The </w:t>
      </w:r>
      <w:r>
        <w:rPr>
          <w:b/>
          <w:bCs/>
          <w:shd w:val="clear" w:color="auto" w:fill="FFFFFF"/>
        </w:rPr>
        <w:t xml:space="preserve">Finance stakeholder </w:t>
      </w:r>
      <w:r>
        <w:rPr>
          <w:shd w:val="clear" w:color="auto" w:fill="FFFFFF"/>
        </w:rPr>
        <w:t>is responsibl</w:t>
      </w:r>
      <w:r>
        <w:t>e for approving investments and making budgetary allocations for privacy and data security initiatives, as and when required.</w:t>
      </w:r>
    </w:p>
    <w:p w14:paraId="06DF4F8E" w14:textId="77777777" w:rsidR="00D3004D" w:rsidRDefault="00D3004D" w:rsidP="00D3004D">
      <w:r>
        <w:t>The Privacy Council members are listed below:</w:t>
      </w:r>
    </w:p>
    <w:tbl>
      <w:tblPr>
        <w:tblStyle w:val="TableGrid"/>
        <w:tblW w:w="9176" w:type="dxa"/>
        <w:tblLayout w:type="fixed"/>
        <w:tblLook w:val="0600" w:firstRow="0" w:lastRow="0" w:firstColumn="0" w:lastColumn="0" w:noHBand="1" w:noVBand="1"/>
      </w:tblPr>
      <w:tblGrid>
        <w:gridCol w:w="735"/>
        <w:gridCol w:w="4946"/>
        <w:gridCol w:w="3495"/>
      </w:tblGrid>
      <w:tr w:rsidR="00D3004D" w14:paraId="7DECEB96" w14:textId="77777777">
        <w:trPr>
          <w:trHeight w:val="555"/>
        </w:trPr>
        <w:tc>
          <w:tcPr>
            <w:tcW w:w="735" w:type="dxa"/>
            <w:tcBorders>
              <w:left w:val="single" w:sz="4" w:space="0" w:color="000000" w:themeColor="text1"/>
              <w:bottom w:val="single" w:sz="4" w:space="0" w:color="FFFFFF" w:themeColor="background1"/>
              <w:right w:val="single" w:sz="4" w:space="0" w:color="FFFFFF" w:themeColor="background1"/>
            </w:tcBorders>
            <w:shd w:val="clear" w:color="auto" w:fill="000000" w:themeFill="text1"/>
            <w:vAlign w:val="center"/>
          </w:tcPr>
          <w:p w14:paraId="3FFB9FE7" w14:textId="77777777" w:rsidR="00D3004D" w:rsidRDefault="00D3004D">
            <w:pPr>
              <w:spacing w:after="60"/>
              <w:jc w:val="center"/>
              <w:rPr>
                <w:b/>
                <w:bCs/>
                <w:color w:val="3DB174"/>
              </w:rPr>
            </w:pPr>
            <w:r w:rsidRPr="1C5F1FB6">
              <w:rPr>
                <w:b/>
                <w:bCs/>
                <w:color w:val="3DB174"/>
              </w:rPr>
              <w:t>#</w:t>
            </w:r>
          </w:p>
        </w:tc>
        <w:tc>
          <w:tcPr>
            <w:tcW w:w="49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33225EE" w14:textId="77777777" w:rsidR="00D3004D" w:rsidRDefault="00D3004D">
            <w:pPr>
              <w:spacing w:after="60"/>
              <w:rPr>
                <w:b/>
                <w:bCs/>
                <w:color w:val="3DB174"/>
              </w:rPr>
            </w:pPr>
            <w:r w:rsidRPr="1C5F1FB6">
              <w:rPr>
                <w:b/>
                <w:bCs/>
                <w:color w:val="3DB174"/>
              </w:rPr>
              <w:t xml:space="preserve">Privacy Council </w:t>
            </w:r>
          </w:p>
        </w:tc>
        <w:tc>
          <w:tcPr>
            <w:tcW w:w="3495" w:type="dxa"/>
            <w:tcBorders>
              <w:top w:val="single" w:sz="4" w:space="0" w:color="FFFFFF" w:themeColor="background1"/>
              <w:left w:val="single" w:sz="4" w:space="0" w:color="FFFFFF" w:themeColor="background1"/>
              <w:bottom w:val="single" w:sz="4" w:space="0" w:color="FFFFFF" w:themeColor="background1"/>
              <w:right w:val="single" w:sz="4" w:space="0" w:color="000000" w:themeColor="text1"/>
            </w:tcBorders>
            <w:shd w:val="clear" w:color="auto" w:fill="000000" w:themeFill="text1"/>
            <w:vAlign w:val="center"/>
          </w:tcPr>
          <w:p w14:paraId="25E5DA1A" w14:textId="77777777" w:rsidR="00D3004D" w:rsidRDefault="00D3004D">
            <w:pPr>
              <w:spacing w:after="60"/>
              <w:rPr>
                <w:b/>
                <w:bCs/>
                <w:color w:val="3DB174"/>
              </w:rPr>
            </w:pPr>
            <w:r w:rsidRPr="1C5F1FB6">
              <w:rPr>
                <w:b/>
                <w:bCs/>
                <w:color w:val="3DB174"/>
              </w:rPr>
              <w:t>Contact</w:t>
            </w:r>
          </w:p>
        </w:tc>
      </w:tr>
      <w:tr w:rsidR="00D3004D" w14:paraId="4E468E08" w14:textId="77777777">
        <w:trPr>
          <w:trHeight w:val="480"/>
        </w:trPr>
        <w:tc>
          <w:tcPr>
            <w:tcW w:w="735" w:type="dxa"/>
            <w:tcBorders>
              <w:top w:val="single" w:sz="4" w:space="0" w:color="FFFFFF" w:themeColor="background1"/>
              <w:left w:val="single" w:sz="4" w:space="0" w:color="000000" w:themeColor="text1"/>
              <w:bottom w:val="single" w:sz="4" w:space="0" w:color="000000" w:themeColor="text1"/>
              <w:right w:val="single" w:sz="4" w:space="0" w:color="FFFFFF" w:themeColor="background1"/>
            </w:tcBorders>
            <w:shd w:val="clear" w:color="auto" w:fill="F2F2F2" w:themeFill="background1" w:themeFillShade="F2"/>
            <w:vAlign w:val="center"/>
          </w:tcPr>
          <w:p w14:paraId="0516D906" w14:textId="77777777" w:rsidR="00D3004D" w:rsidRDefault="00D3004D">
            <w:pPr>
              <w:jc w:val="center"/>
              <w:rPr>
                <w:b/>
                <w:bCs/>
                <w:color w:val="3DB174"/>
              </w:rPr>
            </w:pPr>
          </w:p>
        </w:tc>
        <w:tc>
          <w:tcPr>
            <w:tcW w:w="4946"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F2F2F2" w:themeFill="background1" w:themeFillShade="F2"/>
            <w:vAlign w:val="center"/>
          </w:tcPr>
          <w:p w14:paraId="589074A6" w14:textId="77777777" w:rsidR="00D3004D" w:rsidRDefault="00D3004D">
            <w:pPr>
              <w:spacing w:after="60"/>
              <w:rPr>
                <w:b/>
                <w:bCs/>
                <w:color w:val="3DB174"/>
              </w:rPr>
            </w:pPr>
            <w:r w:rsidRPr="1C5F1FB6">
              <w:rPr>
                <w:b/>
                <w:bCs/>
                <w:color w:val="3DB174"/>
              </w:rPr>
              <w:t xml:space="preserve">Privacy </w:t>
            </w:r>
            <w:r>
              <w:rPr>
                <w:b/>
                <w:bCs/>
                <w:color w:val="3DB174"/>
              </w:rPr>
              <w:t>Team</w:t>
            </w:r>
          </w:p>
        </w:tc>
        <w:tc>
          <w:tcPr>
            <w:tcW w:w="3495" w:type="dxa"/>
            <w:tcBorders>
              <w:top w:val="single" w:sz="4" w:space="0" w:color="FFFFFF" w:themeColor="background1"/>
              <w:left w:val="single" w:sz="4" w:space="0" w:color="FFFFFF" w:themeColor="background1"/>
            </w:tcBorders>
            <w:shd w:val="clear" w:color="auto" w:fill="F2F2F2" w:themeFill="background1" w:themeFillShade="F2"/>
            <w:vAlign w:val="center"/>
          </w:tcPr>
          <w:p w14:paraId="38D7EA5C" w14:textId="77777777" w:rsidR="00D3004D" w:rsidRDefault="00D3004D">
            <w:pPr>
              <w:rPr>
                <w:b/>
                <w:bCs/>
                <w:color w:val="3DB174"/>
              </w:rPr>
            </w:pPr>
          </w:p>
        </w:tc>
      </w:tr>
      <w:tr w:rsidR="00D3004D" w14:paraId="7F9A6301" w14:textId="77777777">
        <w:trPr>
          <w:trHeight w:val="600"/>
        </w:trPr>
        <w:tc>
          <w:tcPr>
            <w:tcW w:w="735" w:type="dxa"/>
            <w:tcBorders>
              <w:top w:val="single" w:sz="4" w:space="0" w:color="000000" w:themeColor="text1"/>
            </w:tcBorders>
            <w:shd w:val="clear" w:color="auto" w:fill="D9D9D9" w:themeFill="background1" w:themeFillShade="D9"/>
            <w:vAlign w:val="center"/>
          </w:tcPr>
          <w:p w14:paraId="03C3B51B" w14:textId="77777777" w:rsidR="00D3004D" w:rsidRDefault="00D3004D">
            <w:pPr>
              <w:spacing w:after="60"/>
              <w:jc w:val="center"/>
            </w:pPr>
            <w:r>
              <w:t>1</w:t>
            </w:r>
          </w:p>
        </w:tc>
        <w:tc>
          <w:tcPr>
            <w:tcW w:w="4946" w:type="dxa"/>
            <w:tcBorders>
              <w:top w:val="single" w:sz="4" w:space="0" w:color="000000" w:themeColor="text1"/>
            </w:tcBorders>
            <w:shd w:val="clear" w:color="auto" w:fill="D9D9D9" w:themeFill="background1" w:themeFillShade="D9"/>
            <w:vAlign w:val="center"/>
          </w:tcPr>
          <w:p w14:paraId="06078B61" w14:textId="77777777" w:rsidR="00D3004D" w:rsidRDefault="00D3004D">
            <w:pPr>
              <w:spacing w:after="60"/>
            </w:pPr>
            <w:r>
              <w:t>Data Protection Officer (DPO)</w:t>
            </w:r>
          </w:p>
        </w:tc>
        <w:tc>
          <w:tcPr>
            <w:tcW w:w="3495" w:type="dxa"/>
            <w:shd w:val="clear" w:color="auto" w:fill="D9D9D9" w:themeFill="background1" w:themeFillShade="D9"/>
            <w:vAlign w:val="center"/>
          </w:tcPr>
          <w:p w14:paraId="6A7AAF0D" w14:textId="77777777" w:rsidR="00D3004D" w:rsidRDefault="00D3004D">
            <w:pPr>
              <w:spacing w:after="60"/>
            </w:pPr>
            <w:r>
              <w:t>Michael Campos</w:t>
            </w:r>
          </w:p>
        </w:tc>
      </w:tr>
      <w:tr w:rsidR="00D3004D" w14:paraId="54B5F662" w14:textId="77777777">
        <w:trPr>
          <w:trHeight w:val="600"/>
        </w:trPr>
        <w:tc>
          <w:tcPr>
            <w:tcW w:w="735" w:type="dxa"/>
            <w:shd w:val="clear" w:color="auto" w:fill="D9D9D9" w:themeFill="background1" w:themeFillShade="D9"/>
            <w:vAlign w:val="center"/>
          </w:tcPr>
          <w:p w14:paraId="60D52309" w14:textId="77777777" w:rsidR="00D3004D" w:rsidRDefault="00D3004D">
            <w:pPr>
              <w:jc w:val="center"/>
            </w:pPr>
            <w:r>
              <w:t>3</w:t>
            </w:r>
          </w:p>
        </w:tc>
        <w:tc>
          <w:tcPr>
            <w:tcW w:w="4946" w:type="dxa"/>
            <w:shd w:val="clear" w:color="auto" w:fill="D9D9D9" w:themeFill="background1" w:themeFillShade="D9"/>
            <w:vAlign w:val="center"/>
          </w:tcPr>
          <w:p w14:paraId="6BADEBE8" w14:textId="77777777" w:rsidR="00D3004D" w:rsidRDefault="00D3004D">
            <w:r>
              <w:t>Privacy Manager</w:t>
            </w:r>
          </w:p>
        </w:tc>
        <w:tc>
          <w:tcPr>
            <w:tcW w:w="3495" w:type="dxa"/>
            <w:shd w:val="clear" w:color="auto" w:fill="D9D9D9" w:themeFill="background1" w:themeFillShade="D9"/>
            <w:vAlign w:val="center"/>
          </w:tcPr>
          <w:p w14:paraId="0A4002BE" w14:textId="77777777" w:rsidR="00D3004D" w:rsidRDefault="00D3004D">
            <w:r>
              <w:t>Shivesh Ranjan</w:t>
            </w:r>
          </w:p>
        </w:tc>
      </w:tr>
      <w:tr w:rsidR="00D3004D" w14:paraId="05C5576E" w14:textId="77777777">
        <w:trPr>
          <w:trHeight w:val="480"/>
        </w:trPr>
        <w:tc>
          <w:tcPr>
            <w:tcW w:w="735" w:type="dxa"/>
            <w:tcBorders>
              <w:right w:val="single" w:sz="4" w:space="0" w:color="FFFFFF" w:themeColor="background1"/>
            </w:tcBorders>
            <w:shd w:val="clear" w:color="auto" w:fill="F2F2F2" w:themeFill="background1" w:themeFillShade="F2"/>
            <w:vAlign w:val="center"/>
          </w:tcPr>
          <w:p w14:paraId="63B9F2C1" w14:textId="77777777" w:rsidR="00D3004D" w:rsidRDefault="00D3004D">
            <w:pPr>
              <w:jc w:val="center"/>
              <w:rPr>
                <w:b/>
                <w:bCs/>
                <w:color w:val="3DB174"/>
              </w:rPr>
            </w:pPr>
          </w:p>
        </w:tc>
        <w:tc>
          <w:tcPr>
            <w:tcW w:w="4946" w:type="dxa"/>
            <w:tcBorders>
              <w:left w:val="single" w:sz="4" w:space="0" w:color="FFFFFF" w:themeColor="background1"/>
              <w:right w:val="single" w:sz="4" w:space="0" w:color="FFFFFF" w:themeColor="background1"/>
            </w:tcBorders>
            <w:shd w:val="clear" w:color="auto" w:fill="F2F2F2" w:themeFill="background1" w:themeFillShade="F2"/>
            <w:vAlign w:val="center"/>
          </w:tcPr>
          <w:p w14:paraId="6FA2B831" w14:textId="77777777" w:rsidR="00D3004D" w:rsidRDefault="00D3004D">
            <w:pPr>
              <w:spacing w:after="60"/>
              <w:rPr>
                <w:b/>
                <w:bCs/>
                <w:color w:val="3DB174"/>
              </w:rPr>
            </w:pPr>
            <w:r w:rsidRPr="1C5F1FB6">
              <w:rPr>
                <w:b/>
                <w:bCs/>
                <w:color w:val="3DB174"/>
              </w:rPr>
              <w:t>Privacy Stakeholders</w:t>
            </w:r>
          </w:p>
        </w:tc>
        <w:tc>
          <w:tcPr>
            <w:tcW w:w="3495" w:type="dxa"/>
            <w:tcBorders>
              <w:left w:val="single" w:sz="4" w:space="0" w:color="FFFFFF" w:themeColor="background1"/>
            </w:tcBorders>
            <w:shd w:val="clear" w:color="auto" w:fill="F2F2F2" w:themeFill="background1" w:themeFillShade="F2"/>
            <w:vAlign w:val="center"/>
          </w:tcPr>
          <w:p w14:paraId="50812716" w14:textId="77777777" w:rsidR="00D3004D" w:rsidRDefault="00D3004D">
            <w:pPr>
              <w:rPr>
                <w:b/>
                <w:bCs/>
                <w:color w:val="3DB174"/>
              </w:rPr>
            </w:pPr>
          </w:p>
        </w:tc>
      </w:tr>
      <w:tr w:rsidR="00D3004D" w14:paraId="7E5DE7EE" w14:textId="77777777">
        <w:trPr>
          <w:trHeight w:val="600"/>
        </w:trPr>
        <w:tc>
          <w:tcPr>
            <w:tcW w:w="735" w:type="dxa"/>
            <w:vAlign w:val="center"/>
          </w:tcPr>
          <w:p w14:paraId="7EB7C1AB" w14:textId="77777777" w:rsidR="00D3004D" w:rsidRDefault="00D3004D">
            <w:pPr>
              <w:spacing w:after="60"/>
              <w:jc w:val="center"/>
            </w:pPr>
            <w:r>
              <w:t>5</w:t>
            </w:r>
          </w:p>
        </w:tc>
        <w:tc>
          <w:tcPr>
            <w:tcW w:w="4946" w:type="dxa"/>
            <w:vAlign w:val="center"/>
          </w:tcPr>
          <w:p w14:paraId="6A8DAB7D" w14:textId="77777777" w:rsidR="00D3004D" w:rsidRDefault="00D3004D">
            <w:pPr>
              <w:spacing w:after="60"/>
            </w:pPr>
            <w:r>
              <w:t xml:space="preserve">InfoSec </w:t>
            </w:r>
          </w:p>
        </w:tc>
        <w:tc>
          <w:tcPr>
            <w:tcW w:w="3495" w:type="dxa"/>
            <w:vAlign w:val="center"/>
          </w:tcPr>
          <w:p w14:paraId="57F8C9AD" w14:textId="77777777" w:rsidR="00D3004D" w:rsidRDefault="00D3004D">
            <w:pPr>
              <w:spacing w:after="60"/>
            </w:pPr>
            <w:r>
              <w:t>Saravanan Sankaran</w:t>
            </w:r>
          </w:p>
        </w:tc>
      </w:tr>
      <w:tr w:rsidR="00D3004D" w14:paraId="6D9208C3" w14:textId="77777777">
        <w:trPr>
          <w:trHeight w:val="600"/>
        </w:trPr>
        <w:tc>
          <w:tcPr>
            <w:tcW w:w="735" w:type="dxa"/>
            <w:vAlign w:val="center"/>
          </w:tcPr>
          <w:p w14:paraId="73979FDA" w14:textId="77777777" w:rsidR="00D3004D" w:rsidRDefault="00D3004D">
            <w:pPr>
              <w:spacing w:after="60"/>
              <w:jc w:val="center"/>
            </w:pPr>
            <w:r>
              <w:t>6</w:t>
            </w:r>
          </w:p>
        </w:tc>
        <w:tc>
          <w:tcPr>
            <w:tcW w:w="4946" w:type="dxa"/>
            <w:vAlign w:val="center"/>
          </w:tcPr>
          <w:p w14:paraId="1ADC5AEB" w14:textId="7D4212C2" w:rsidR="00D3004D" w:rsidRDefault="00D3004D">
            <w:pPr>
              <w:spacing w:after="60"/>
            </w:pPr>
            <w:r>
              <w:t>Engineering</w:t>
            </w:r>
            <w:r w:rsidR="00F84969">
              <w:t>-</w:t>
            </w:r>
            <w:r>
              <w:t xml:space="preserve"> </w:t>
            </w:r>
            <w:r w:rsidR="0057503A">
              <w:t>Cloud</w:t>
            </w:r>
          </w:p>
        </w:tc>
        <w:tc>
          <w:tcPr>
            <w:tcW w:w="3495" w:type="dxa"/>
            <w:vAlign w:val="center"/>
          </w:tcPr>
          <w:p w14:paraId="1298B26E" w14:textId="77777777" w:rsidR="00D3004D" w:rsidRDefault="00D3004D">
            <w:pPr>
              <w:spacing w:after="60"/>
            </w:pPr>
            <w:r>
              <w:t>Vinai Rai</w:t>
            </w:r>
          </w:p>
          <w:p w14:paraId="0701DD43" w14:textId="77777777" w:rsidR="00D3004D" w:rsidRDefault="00D3004D">
            <w:pPr>
              <w:spacing w:after="60"/>
            </w:pPr>
            <w:r>
              <w:t>Gaurav Agarwal</w:t>
            </w:r>
          </w:p>
        </w:tc>
      </w:tr>
      <w:tr w:rsidR="00D3004D" w14:paraId="17FE8C10" w14:textId="77777777">
        <w:trPr>
          <w:trHeight w:val="600"/>
        </w:trPr>
        <w:tc>
          <w:tcPr>
            <w:tcW w:w="735" w:type="dxa"/>
            <w:vAlign w:val="center"/>
          </w:tcPr>
          <w:p w14:paraId="16670E3D" w14:textId="77777777" w:rsidR="00D3004D" w:rsidRDefault="00D3004D">
            <w:pPr>
              <w:spacing w:after="60"/>
              <w:jc w:val="center"/>
            </w:pPr>
            <w:r>
              <w:t>7</w:t>
            </w:r>
          </w:p>
        </w:tc>
        <w:tc>
          <w:tcPr>
            <w:tcW w:w="4946" w:type="dxa"/>
            <w:vAlign w:val="center"/>
          </w:tcPr>
          <w:p w14:paraId="0A99F522" w14:textId="6AD6897F" w:rsidR="00D3004D" w:rsidRDefault="00D3004D">
            <w:pPr>
              <w:spacing w:after="60"/>
            </w:pPr>
            <w:r>
              <w:t>Engineering</w:t>
            </w:r>
            <w:r w:rsidR="00F84969">
              <w:t>-</w:t>
            </w:r>
            <w:r>
              <w:t xml:space="preserve"> Analytics</w:t>
            </w:r>
          </w:p>
        </w:tc>
        <w:tc>
          <w:tcPr>
            <w:tcW w:w="3495" w:type="dxa"/>
            <w:vAlign w:val="center"/>
          </w:tcPr>
          <w:p w14:paraId="4F5DCAF4" w14:textId="77777777" w:rsidR="00D3004D" w:rsidRDefault="00D3004D">
            <w:pPr>
              <w:spacing w:after="60"/>
            </w:pPr>
            <w:r>
              <w:t>Sreekanth Annapureddy</w:t>
            </w:r>
          </w:p>
          <w:p w14:paraId="5C3FD5EB" w14:textId="77777777" w:rsidR="00D3004D" w:rsidRDefault="00D3004D">
            <w:pPr>
              <w:spacing w:after="60"/>
            </w:pPr>
            <w:r>
              <w:t>Hisham Rahman</w:t>
            </w:r>
          </w:p>
        </w:tc>
      </w:tr>
      <w:tr w:rsidR="00D3004D" w14:paraId="77858516" w14:textId="77777777">
        <w:trPr>
          <w:trHeight w:val="600"/>
        </w:trPr>
        <w:tc>
          <w:tcPr>
            <w:tcW w:w="735" w:type="dxa"/>
            <w:vAlign w:val="center"/>
          </w:tcPr>
          <w:p w14:paraId="1B5006AD" w14:textId="77777777" w:rsidR="00D3004D" w:rsidRDefault="00D3004D">
            <w:pPr>
              <w:spacing w:after="60"/>
              <w:jc w:val="center"/>
            </w:pPr>
            <w:r>
              <w:t>8</w:t>
            </w:r>
          </w:p>
        </w:tc>
        <w:tc>
          <w:tcPr>
            <w:tcW w:w="4946" w:type="dxa"/>
            <w:vAlign w:val="center"/>
          </w:tcPr>
          <w:p w14:paraId="681CCB8D" w14:textId="77777777" w:rsidR="00D3004D" w:rsidRDefault="00D3004D">
            <w:pPr>
              <w:spacing w:after="60"/>
            </w:pPr>
            <w:r>
              <w:t xml:space="preserve">Marketing </w:t>
            </w:r>
          </w:p>
        </w:tc>
        <w:tc>
          <w:tcPr>
            <w:tcW w:w="3495" w:type="dxa"/>
            <w:vAlign w:val="center"/>
          </w:tcPr>
          <w:p w14:paraId="33B9BC9C" w14:textId="77777777" w:rsidR="00D3004D" w:rsidRDefault="00D3004D">
            <w:pPr>
              <w:spacing w:after="60"/>
            </w:pPr>
            <w:r>
              <w:t>Barrett Young</w:t>
            </w:r>
          </w:p>
        </w:tc>
      </w:tr>
      <w:tr w:rsidR="00D3004D" w14:paraId="37AC42AD" w14:textId="77777777">
        <w:trPr>
          <w:trHeight w:val="600"/>
        </w:trPr>
        <w:tc>
          <w:tcPr>
            <w:tcW w:w="735" w:type="dxa"/>
            <w:vAlign w:val="center"/>
          </w:tcPr>
          <w:p w14:paraId="584F83B8" w14:textId="77777777" w:rsidR="00D3004D" w:rsidRDefault="00D3004D">
            <w:pPr>
              <w:spacing w:after="60"/>
              <w:jc w:val="center"/>
            </w:pPr>
            <w:r>
              <w:t>9</w:t>
            </w:r>
          </w:p>
        </w:tc>
        <w:tc>
          <w:tcPr>
            <w:tcW w:w="4946" w:type="dxa"/>
            <w:vAlign w:val="center"/>
          </w:tcPr>
          <w:p w14:paraId="7D7D04E1" w14:textId="77777777" w:rsidR="00D3004D" w:rsidRDefault="00D3004D">
            <w:pPr>
              <w:spacing w:after="60"/>
            </w:pPr>
            <w:r>
              <w:t>Customer Success</w:t>
            </w:r>
          </w:p>
        </w:tc>
        <w:tc>
          <w:tcPr>
            <w:tcW w:w="3495" w:type="dxa"/>
            <w:vAlign w:val="center"/>
          </w:tcPr>
          <w:p w14:paraId="4031202D" w14:textId="77777777" w:rsidR="00D3004D" w:rsidRDefault="00D3004D">
            <w:pPr>
              <w:spacing w:after="60"/>
            </w:pPr>
            <w:r>
              <w:t>Heather Engen</w:t>
            </w:r>
          </w:p>
        </w:tc>
      </w:tr>
      <w:tr w:rsidR="00D3004D" w14:paraId="599BD058" w14:textId="77777777">
        <w:trPr>
          <w:trHeight w:val="600"/>
        </w:trPr>
        <w:tc>
          <w:tcPr>
            <w:tcW w:w="735" w:type="dxa"/>
            <w:vAlign w:val="center"/>
          </w:tcPr>
          <w:p w14:paraId="6686C900" w14:textId="77777777" w:rsidR="00D3004D" w:rsidRDefault="00D3004D">
            <w:pPr>
              <w:spacing w:after="60"/>
              <w:jc w:val="center"/>
            </w:pPr>
            <w:r>
              <w:t>10</w:t>
            </w:r>
          </w:p>
        </w:tc>
        <w:tc>
          <w:tcPr>
            <w:tcW w:w="4946" w:type="dxa"/>
            <w:vAlign w:val="center"/>
          </w:tcPr>
          <w:p w14:paraId="5BDA0341" w14:textId="0CE60D64" w:rsidR="00D3004D" w:rsidRDefault="00D3004D">
            <w:pPr>
              <w:spacing w:after="60"/>
            </w:pPr>
            <w:r>
              <w:t>Product</w:t>
            </w:r>
            <w:r w:rsidR="0057503A">
              <w:t xml:space="preserve"> Management</w:t>
            </w:r>
          </w:p>
        </w:tc>
        <w:tc>
          <w:tcPr>
            <w:tcW w:w="3495" w:type="dxa"/>
            <w:vAlign w:val="center"/>
          </w:tcPr>
          <w:p w14:paraId="55BBB0ED" w14:textId="4283A295" w:rsidR="00D3004D" w:rsidRDefault="00D3004D">
            <w:pPr>
              <w:spacing w:after="60"/>
            </w:pPr>
            <w:r>
              <w:t xml:space="preserve">Pramod </w:t>
            </w:r>
            <w:r w:rsidR="00D33583">
              <w:t>Akkarachittor</w:t>
            </w:r>
          </w:p>
          <w:p w14:paraId="1C7F458C" w14:textId="77777777" w:rsidR="00D3004D" w:rsidRDefault="00D3004D">
            <w:pPr>
              <w:spacing w:after="60"/>
            </w:pPr>
            <w:r>
              <w:t>Arunlal Sreedharan</w:t>
            </w:r>
          </w:p>
        </w:tc>
      </w:tr>
      <w:tr w:rsidR="00D3004D" w14:paraId="48309389" w14:textId="77777777">
        <w:trPr>
          <w:trHeight w:val="600"/>
        </w:trPr>
        <w:tc>
          <w:tcPr>
            <w:tcW w:w="735" w:type="dxa"/>
            <w:vAlign w:val="center"/>
          </w:tcPr>
          <w:p w14:paraId="49949A8F" w14:textId="77777777" w:rsidR="00D3004D" w:rsidRDefault="00D3004D">
            <w:pPr>
              <w:spacing w:after="60"/>
              <w:jc w:val="center"/>
            </w:pPr>
            <w:r>
              <w:t>11</w:t>
            </w:r>
          </w:p>
        </w:tc>
        <w:tc>
          <w:tcPr>
            <w:tcW w:w="4946" w:type="dxa"/>
            <w:vAlign w:val="center"/>
          </w:tcPr>
          <w:p w14:paraId="64FA2A93" w14:textId="77777777" w:rsidR="00D3004D" w:rsidRDefault="00D3004D">
            <w:pPr>
              <w:spacing w:after="60"/>
            </w:pPr>
            <w:r>
              <w:t>Human Resources</w:t>
            </w:r>
          </w:p>
        </w:tc>
        <w:tc>
          <w:tcPr>
            <w:tcW w:w="3495" w:type="dxa"/>
            <w:vAlign w:val="center"/>
          </w:tcPr>
          <w:p w14:paraId="6C40464E" w14:textId="168B7523" w:rsidR="00D3004D" w:rsidRDefault="00D3004D">
            <w:pPr>
              <w:spacing w:after="60"/>
            </w:pPr>
            <w:r>
              <w:t xml:space="preserve">Pooja Madappa </w:t>
            </w:r>
          </w:p>
          <w:p w14:paraId="78D616AB" w14:textId="77777777" w:rsidR="00D3004D" w:rsidRDefault="00D3004D">
            <w:pPr>
              <w:spacing w:after="60"/>
            </w:pPr>
            <w:r>
              <w:t>Kathy Pearson (United States)</w:t>
            </w:r>
          </w:p>
        </w:tc>
      </w:tr>
      <w:tr w:rsidR="00D3004D" w14:paraId="246C2087" w14:textId="77777777">
        <w:trPr>
          <w:trHeight w:val="600"/>
        </w:trPr>
        <w:tc>
          <w:tcPr>
            <w:tcW w:w="735" w:type="dxa"/>
            <w:vAlign w:val="center"/>
          </w:tcPr>
          <w:p w14:paraId="0A98BA87" w14:textId="77777777" w:rsidR="00D3004D" w:rsidRDefault="00D3004D">
            <w:pPr>
              <w:jc w:val="center"/>
            </w:pPr>
            <w:r>
              <w:t>12</w:t>
            </w:r>
          </w:p>
        </w:tc>
        <w:tc>
          <w:tcPr>
            <w:tcW w:w="4946" w:type="dxa"/>
            <w:vAlign w:val="center"/>
          </w:tcPr>
          <w:p w14:paraId="203872A9" w14:textId="77777777" w:rsidR="00D3004D" w:rsidRDefault="00D3004D">
            <w:r>
              <w:t>Legal</w:t>
            </w:r>
          </w:p>
        </w:tc>
        <w:tc>
          <w:tcPr>
            <w:tcW w:w="3495" w:type="dxa"/>
            <w:vAlign w:val="center"/>
          </w:tcPr>
          <w:p w14:paraId="309377EA" w14:textId="77777777" w:rsidR="00D3004D" w:rsidRDefault="00D3004D">
            <w:pPr>
              <w:spacing w:after="60"/>
            </w:pPr>
            <w:r>
              <w:t>Dev Zaveri</w:t>
            </w:r>
          </w:p>
        </w:tc>
      </w:tr>
      <w:tr w:rsidR="00D3004D" w14:paraId="3F67CC8B" w14:textId="77777777">
        <w:trPr>
          <w:trHeight w:val="600"/>
        </w:trPr>
        <w:tc>
          <w:tcPr>
            <w:tcW w:w="735" w:type="dxa"/>
            <w:vAlign w:val="center"/>
          </w:tcPr>
          <w:p w14:paraId="6328B0AF" w14:textId="77777777" w:rsidR="00D3004D" w:rsidRDefault="00D3004D">
            <w:pPr>
              <w:spacing w:after="60"/>
              <w:jc w:val="center"/>
            </w:pPr>
            <w:r>
              <w:t>13</w:t>
            </w:r>
          </w:p>
        </w:tc>
        <w:tc>
          <w:tcPr>
            <w:tcW w:w="4946" w:type="dxa"/>
            <w:vAlign w:val="center"/>
          </w:tcPr>
          <w:p w14:paraId="2B0F1B04" w14:textId="77777777" w:rsidR="00D3004D" w:rsidRDefault="00D3004D">
            <w:pPr>
              <w:spacing w:after="60"/>
            </w:pPr>
            <w:r>
              <w:t>Finance</w:t>
            </w:r>
          </w:p>
        </w:tc>
        <w:tc>
          <w:tcPr>
            <w:tcW w:w="3495" w:type="dxa"/>
            <w:vAlign w:val="center"/>
          </w:tcPr>
          <w:p w14:paraId="7D8C4270" w14:textId="77777777" w:rsidR="00D3004D" w:rsidRDefault="00D3004D">
            <w:pPr>
              <w:spacing w:after="60"/>
            </w:pPr>
            <w:r>
              <w:t>Tom Schmitt</w:t>
            </w:r>
          </w:p>
          <w:p w14:paraId="08DDC8AA" w14:textId="77777777" w:rsidR="00D3004D" w:rsidRDefault="00D3004D">
            <w:pPr>
              <w:spacing w:after="60"/>
            </w:pPr>
          </w:p>
        </w:tc>
      </w:tr>
    </w:tbl>
    <w:p w14:paraId="0C1EBF79" w14:textId="77777777" w:rsidR="00D3004D" w:rsidRDefault="00D3004D" w:rsidP="00D3004D"/>
    <w:p w14:paraId="5F0A01EC" w14:textId="5F58BA05" w:rsidR="007F79FF" w:rsidRDefault="00CD6F09" w:rsidP="009416BB">
      <w:pPr>
        <w:pStyle w:val="Heading1"/>
        <w:rPr>
          <w:rFonts w:ascii="Arial" w:eastAsiaTheme="majorEastAsia" w:hAnsi="Arial" w:cs="Arial"/>
        </w:rPr>
      </w:pPr>
      <w:bookmarkStart w:id="75" w:name="_Toc325482275"/>
      <w:r>
        <w:rPr>
          <w:rFonts w:ascii="Arial" w:eastAsiaTheme="majorEastAsia" w:hAnsi="Arial" w:cs="Arial"/>
        </w:rPr>
        <w:t xml:space="preserve">Guidelines for </w:t>
      </w:r>
      <w:r w:rsidR="00FF6CC1">
        <w:rPr>
          <w:rFonts w:ascii="Arial" w:eastAsiaTheme="majorEastAsia" w:hAnsi="Arial" w:cs="Arial"/>
        </w:rPr>
        <w:t>Establishing the Lead Supervisory Authority</w:t>
      </w:r>
      <w:bookmarkEnd w:id="75"/>
    </w:p>
    <w:p w14:paraId="4BBDD25E" w14:textId="77777777" w:rsidR="001C3B31" w:rsidRPr="005D63FD" w:rsidRDefault="001C3B31" w:rsidP="00456A7A">
      <w:pPr>
        <w:pStyle w:val="MainHeading"/>
      </w:pPr>
      <w:bookmarkStart w:id="76" w:name="_Toc494317392"/>
      <w:bookmarkStart w:id="77" w:name="_Toc499284389"/>
      <w:bookmarkStart w:id="78" w:name="_Toc514537247"/>
      <w:bookmarkStart w:id="79" w:name="_Toc1217413577"/>
      <w:r>
        <w:t>Necessity to E</w:t>
      </w:r>
      <w:bookmarkEnd w:id="76"/>
      <w:r>
        <w:t>stablish the Lead Supervisory Authority</w:t>
      </w:r>
      <w:bookmarkEnd w:id="77"/>
      <w:bookmarkEnd w:id="78"/>
      <w:bookmarkEnd w:id="79"/>
    </w:p>
    <w:p w14:paraId="4C3C40F5" w14:textId="77777777" w:rsidR="001C3B31" w:rsidRPr="005D63FD" w:rsidRDefault="001C3B31" w:rsidP="001C3B31">
      <w:r>
        <w:t xml:space="preserve">Identifying a Lead supervisory authority is only relevant if the Company carries out the cross-border processing of Personal Data. </w:t>
      </w:r>
    </w:p>
    <w:p w14:paraId="3E94C48E" w14:textId="77777777" w:rsidR="001C3B31" w:rsidRPr="005D63FD" w:rsidRDefault="001C3B31" w:rsidP="001C3B31">
      <w:r w:rsidRPr="005D63FD">
        <w:t xml:space="preserve">Cross border of </w:t>
      </w:r>
      <w:r>
        <w:t>Personal Data</w:t>
      </w:r>
      <w:r w:rsidRPr="005D63FD">
        <w:t xml:space="preserve"> is carried out if:</w:t>
      </w:r>
    </w:p>
    <w:p w14:paraId="6C455559" w14:textId="77777777" w:rsidR="001C3B31" w:rsidRPr="005D63FD" w:rsidRDefault="001C3B31" w:rsidP="00C52361">
      <w:pPr>
        <w:pStyle w:val="ListParagraph"/>
        <w:numPr>
          <w:ilvl w:val="0"/>
          <w:numId w:val="6"/>
        </w:numPr>
        <w:spacing w:after="200" w:line="276" w:lineRule="auto"/>
        <w:mirrorIndents/>
        <w:rPr>
          <w:i/>
          <w:iCs/>
        </w:rPr>
      </w:pPr>
      <w:r w:rsidRPr="1C5F1FB6">
        <w:rPr>
          <w:i/>
          <w:iCs/>
        </w:rPr>
        <w:t xml:space="preserve">processing of Personal Data is carried out by subsidiaries of the Company which are based in other Member States or the UK; </w:t>
      </w:r>
    </w:p>
    <w:p w14:paraId="3AE82866" w14:textId="77777777" w:rsidR="001C3B31" w:rsidRPr="005D63FD" w:rsidRDefault="001C3B31" w:rsidP="001C3B31">
      <w:pPr>
        <w:pStyle w:val="ListParagraph"/>
        <w:rPr>
          <w:i/>
          <w:iCs/>
        </w:rPr>
      </w:pPr>
    </w:p>
    <w:p w14:paraId="7762AEA3" w14:textId="77777777" w:rsidR="001C3B31" w:rsidRPr="005D63FD" w:rsidRDefault="001C3B31" w:rsidP="001C3B31">
      <w:pPr>
        <w:pStyle w:val="ListParagraph"/>
        <w:jc w:val="center"/>
        <w:rPr>
          <w:i/>
          <w:iCs/>
        </w:rPr>
      </w:pPr>
      <w:r w:rsidRPr="1C5F1FB6">
        <w:rPr>
          <w:i/>
          <w:iCs/>
        </w:rPr>
        <w:t>or</w:t>
      </w:r>
    </w:p>
    <w:p w14:paraId="1FD29E66" w14:textId="77777777" w:rsidR="001C3B31" w:rsidRPr="005D63FD" w:rsidRDefault="001C3B31" w:rsidP="001C3B31">
      <w:pPr>
        <w:pStyle w:val="ListParagraph"/>
        <w:rPr>
          <w:i/>
          <w:iCs/>
        </w:rPr>
      </w:pPr>
    </w:p>
    <w:p w14:paraId="6E137A35" w14:textId="77777777" w:rsidR="001C3B31" w:rsidRPr="005D63FD" w:rsidRDefault="001C3B31" w:rsidP="00C52361">
      <w:pPr>
        <w:pStyle w:val="ListParagraph"/>
        <w:numPr>
          <w:ilvl w:val="0"/>
          <w:numId w:val="6"/>
        </w:numPr>
        <w:spacing w:after="200" w:line="276" w:lineRule="auto"/>
        <w:mirrorIndents/>
        <w:rPr>
          <w:i/>
          <w:iCs/>
        </w:rPr>
      </w:pPr>
      <w:r w:rsidRPr="1C5F1FB6">
        <w:rPr>
          <w:i/>
          <w:iCs/>
        </w:rPr>
        <w:t>processing of Personal Data which takes place in a single establishment of the Company in the Union, but which substantially affects or is likely to substantially affect data subjects in more than one Member State and/or the UK.</w:t>
      </w:r>
    </w:p>
    <w:p w14:paraId="7C442435" w14:textId="77777777" w:rsidR="001C3B31" w:rsidRPr="005D63FD" w:rsidRDefault="001C3B31" w:rsidP="001C3B31">
      <w:r w:rsidRPr="005D63FD">
        <w:t>If the Company only has establishments in one Member State and its processing activities are affecting only data subjects in that Member State than there is no need to establish a lead supervisory authority. The only competent authority will be the Supervisory Authority in the country where Company is lawfully established.</w:t>
      </w:r>
    </w:p>
    <w:p w14:paraId="5D2E0741" w14:textId="77777777" w:rsidR="001C3B31" w:rsidRPr="005D63FD" w:rsidRDefault="001C3B31" w:rsidP="00456A7A">
      <w:pPr>
        <w:pStyle w:val="MainHeading"/>
      </w:pPr>
      <w:bookmarkStart w:id="80" w:name="_Toc494317394"/>
      <w:bookmarkStart w:id="81" w:name="_Toc499284390"/>
      <w:bookmarkStart w:id="82" w:name="_Toc514537248"/>
      <w:bookmarkStart w:id="83" w:name="_Toc1882146323"/>
      <w:r>
        <w:t>Main Establishment and the Lead Supervisory A</w:t>
      </w:r>
      <w:bookmarkEnd w:id="80"/>
      <w:r>
        <w:t>uthority</w:t>
      </w:r>
      <w:bookmarkEnd w:id="81"/>
      <w:bookmarkEnd w:id="82"/>
      <w:bookmarkEnd w:id="83"/>
    </w:p>
    <w:p w14:paraId="49D92826" w14:textId="77777777" w:rsidR="001C3B31" w:rsidRPr="005D63FD" w:rsidRDefault="001C3B31" w:rsidP="001C3B31">
      <w:pPr>
        <w:pStyle w:val="Heading3"/>
      </w:pPr>
      <w:bookmarkStart w:id="84" w:name="_Toc495736200"/>
      <w:bookmarkStart w:id="85" w:name="_Toc494317395"/>
      <w:bookmarkStart w:id="86" w:name="_Toc499284391"/>
      <w:bookmarkStart w:id="87" w:name="_Toc514537249"/>
      <w:bookmarkStart w:id="88" w:name="_Toc1670792533"/>
      <w:r>
        <w:t xml:space="preserve">Main Establishment for the </w:t>
      </w:r>
      <w:bookmarkEnd w:id="84"/>
      <w:bookmarkEnd w:id="85"/>
      <w:r>
        <w:t>DPO</w:t>
      </w:r>
      <w:bookmarkEnd w:id="86"/>
      <w:bookmarkEnd w:id="87"/>
      <w:bookmarkEnd w:id="88"/>
    </w:p>
    <w:p w14:paraId="2AE603FC" w14:textId="77777777" w:rsidR="001C3B31" w:rsidRPr="005D63FD" w:rsidRDefault="001C3B31" w:rsidP="001C3B31">
      <w:r w:rsidRPr="005D63FD">
        <w:t>The</w:t>
      </w:r>
      <w:r>
        <w:t xml:space="preserve"> top management of the Company</w:t>
      </w:r>
      <w:r w:rsidRPr="005D63FD">
        <w:t xml:space="preserve"> needs to identify the main establishment so that the lead supervisory authority can be determined. </w:t>
      </w:r>
    </w:p>
    <w:p w14:paraId="5533ADA4" w14:textId="77777777" w:rsidR="001C3B31" w:rsidRPr="005D63FD" w:rsidRDefault="001C3B31" w:rsidP="001C3B31">
      <w:r w:rsidRPr="005D63FD">
        <w:t xml:space="preserve">If the Company is based in an EU Member State </w:t>
      </w:r>
      <w:r>
        <w:t xml:space="preserve">or the UK </w:t>
      </w:r>
      <w:r w:rsidRPr="005D63FD">
        <w:t xml:space="preserve">and it makes decisions related to cross-border processing activities in the place of its central administration, there will be a single lead supervisory authority for the data processing activities carried out by the Company. </w:t>
      </w:r>
    </w:p>
    <w:p w14:paraId="3A995747" w14:textId="77777777" w:rsidR="001C3B31" w:rsidRPr="005D63FD" w:rsidRDefault="001C3B31" w:rsidP="001C3B31">
      <w:r>
        <w:t xml:space="preserve">If Company has multiple establishments that act independently and make decisions about the purposes and means of the processing of Personal Data, top management of the Company needs to acknowledge that more than one lead supervisory authority exists. </w:t>
      </w:r>
    </w:p>
    <w:p w14:paraId="27B60B72" w14:textId="77777777" w:rsidR="001C3B31" w:rsidRPr="005D63FD" w:rsidRDefault="001C3B31" w:rsidP="001C3B31">
      <w:pPr>
        <w:pStyle w:val="Heading3"/>
      </w:pPr>
      <w:bookmarkStart w:id="89" w:name="_Toc495736201"/>
      <w:bookmarkStart w:id="90" w:name="_Toc494317396"/>
      <w:bookmarkStart w:id="91" w:name="_Toc499284392"/>
      <w:bookmarkStart w:id="92" w:name="_Toc514537250"/>
      <w:bookmarkStart w:id="93" w:name="_Toc309899393"/>
      <w:r>
        <w:t>Main Establishment for the Data P</w:t>
      </w:r>
      <w:bookmarkEnd w:id="89"/>
      <w:bookmarkEnd w:id="90"/>
      <w:r>
        <w:t>rocessor</w:t>
      </w:r>
      <w:bookmarkEnd w:id="91"/>
      <w:bookmarkEnd w:id="92"/>
      <w:bookmarkEnd w:id="93"/>
    </w:p>
    <w:p w14:paraId="0DE1E74A" w14:textId="77777777" w:rsidR="001C3B31" w:rsidRPr="005D63FD" w:rsidRDefault="001C3B31" w:rsidP="001C3B31">
      <w:r w:rsidRPr="005D63FD">
        <w:t xml:space="preserve">When the Company is acting as a data processor, then the main establishment will be the place of central administration. In case the place of central administration is not located in the </w:t>
      </w:r>
      <w:r>
        <w:t>Union</w:t>
      </w:r>
      <w:r w:rsidRPr="005D63FD">
        <w:t xml:space="preserve">, the main establishment will be the establishment in the </w:t>
      </w:r>
      <w:r>
        <w:t>Union</w:t>
      </w:r>
      <w:r w:rsidRPr="005D63FD">
        <w:t xml:space="preserve"> where the main processing activities take place.</w:t>
      </w:r>
    </w:p>
    <w:p w14:paraId="2E72B150" w14:textId="77777777" w:rsidR="001C3B31" w:rsidRPr="005D63FD" w:rsidRDefault="001C3B31" w:rsidP="001C3B31">
      <w:pPr>
        <w:pStyle w:val="Heading3"/>
      </w:pPr>
      <w:bookmarkStart w:id="94" w:name="_Toc495736202"/>
      <w:bookmarkStart w:id="95" w:name="_Toc499284393"/>
      <w:bookmarkStart w:id="96" w:name="_Toc514537251"/>
      <w:bookmarkStart w:id="97" w:name="_Toc167281080"/>
      <w:r>
        <w:t>Main Establishment for Non-EU Companies for DPOs and P</w:t>
      </w:r>
      <w:bookmarkEnd w:id="94"/>
      <w:r>
        <w:t>rocessors</w:t>
      </w:r>
      <w:bookmarkEnd w:id="95"/>
      <w:bookmarkEnd w:id="96"/>
      <w:bookmarkEnd w:id="97"/>
    </w:p>
    <w:p w14:paraId="01092315" w14:textId="77777777" w:rsidR="001C3B31" w:rsidRPr="005D63FD" w:rsidRDefault="001C3B31" w:rsidP="001C3B31">
      <w:r w:rsidRPr="005D63FD">
        <w:t xml:space="preserve">If the Company does not have a main establishment in the </w:t>
      </w:r>
      <w:r>
        <w:t>Union</w:t>
      </w:r>
      <w:r w:rsidRPr="005D63FD">
        <w:t xml:space="preserve">, and it has subsidiary(s) in the </w:t>
      </w:r>
      <w:r>
        <w:t>Union</w:t>
      </w:r>
      <w:r w:rsidRPr="005D63FD">
        <w:t xml:space="preserve">, then the competent supervisory authority is the local supervisory authority. </w:t>
      </w:r>
    </w:p>
    <w:p w14:paraId="751539F2" w14:textId="466A8E60" w:rsidR="001C3B31" w:rsidRDefault="001C3B31" w:rsidP="00C371A0">
      <w:r w:rsidRPr="005D63FD">
        <w:t xml:space="preserve">If the Company does not have a main establishment in the </w:t>
      </w:r>
      <w:r>
        <w:t>Union</w:t>
      </w:r>
      <w:r w:rsidRPr="005D63FD">
        <w:t xml:space="preserve"> nor the subsidiaries in the </w:t>
      </w:r>
      <w:r>
        <w:t>Union</w:t>
      </w:r>
      <w:r w:rsidRPr="005D63FD">
        <w:t xml:space="preserve">, it must appoint a representative in the </w:t>
      </w:r>
      <w:r>
        <w:t>Union</w:t>
      </w:r>
      <w:r w:rsidRPr="005D63FD">
        <w:t xml:space="preserve">, and the competent supervisory authority will be the local supervisory authority where the representative is located. </w:t>
      </w:r>
    </w:p>
    <w:p w14:paraId="48D902CE" w14:textId="77777777" w:rsidR="00685030" w:rsidRPr="00685030" w:rsidRDefault="00685030" w:rsidP="00685030">
      <w:pPr>
        <w:pStyle w:val="Heading1"/>
        <w:rPr>
          <w:rFonts w:ascii="Arial" w:eastAsiaTheme="majorEastAsia" w:hAnsi="Arial" w:cs="Arial"/>
        </w:rPr>
      </w:pPr>
      <w:bookmarkStart w:id="98" w:name="_Toc499284394"/>
      <w:bookmarkStart w:id="99" w:name="_Toc514537252"/>
      <w:bookmarkStart w:id="100" w:name="_Toc482108344"/>
      <w:r w:rsidRPr="00685030">
        <w:rPr>
          <w:rFonts w:ascii="Arial" w:eastAsiaTheme="majorEastAsia" w:hAnsi="Arial" w:cs="Arial"/>
        </w:rPr>
        <w:t>Response to Personal Data Breach Incidents</w:t>
      </w:r>
      <w:bookmarkEnd w:id="98"/>
      <w:bookmarkEnd w:id="99"/>
      <w:bookmarkEnd w:id="100"/>
    </w:p>
    <w:p w14:paraId="484D6809" w14:textId="164267F5" w:rsidR="00685030" w:rsidRPr="005D63FD" w:rsidRDefault="00685030" w:rsidP="00685030">
      <w:r w:rsidRPr="005D63FD">
        <w:t xml:space="preserve">When the Company learns of a suspected or actual </w:t>
      </w:r>
      <w:r>
        <w:t>Personal Data</w:t>
      </w:r>
      <w:r w:rsidRPr="005D63FD">
        <w:t xml:space="preserve"> breach, </w:t>
      </w:r>
      <w:r>
        <w:t>DPO</w:t>
      </w:r>
      <w:r w:rsidRPr="005D63FD">
        <w:t xml:space="preserve"> must perform an internal investigation and take appropriate remedial measures in a timely manner, according to </w:t>
      </w:r>
      <w:r w:rsidR="5E656CC8">
        <w:t>Netradyne</w:t>
      </w:r>
      <w:r w:rsidRPr="005D63FD">
        <w:t xml:space="preserve"> </w:t>
      </w:r>
      <w:r w:rsidRPr="004901F8">
        <w:t xml:space="preserve">Data Breach </w:t>
      </w:r>
      <w:r w:rsidR="5E656CC8">
        <w:t>Response and Notification Procedure</w:t>
      </w:r>
      <w:r w:rsidR="06C424DE">
        <w:t>.</w:t>
      </w:r>
      <w:r w:rsidRPr="005D63FD">
        <w:t xml:space="preserve"> Where there is any risk to the rights and freedoms of data subjects, the Company must notify the relevant data protection authorities without undue delay and, when possible, within 72 hours. </w:t>
      </w:r>
    </w:p>
    <w:p w14:paraId="5C9CFAE2" w14:textId="77777777" w:rsidR="00685030" w:rsidRPr="00685030" w:rsidRDefault="00685030" w:rsidP="00685030">
      <w:pPr>
        <w:pStyle w:val="Heading1"/>
        <w:rPr>
          <w:rFonts w:ascii="Arial" w:eastAsiaTheme="majorEastAsia" w:hAnsi="Arial" w:cs="Arial"/>
        </w:rPr>
      </w:pPr>
      <w:bookmarkStart w:id="101" w:name="_Toc495620001"/>
      <w:bookmarkStart w:id="102" w:name="_Toc499284395"/>
      <w:bookmarkStart w:id="103" w:name="_Toc514537253"/>
      <w:bookmarkStart w:id="104" w:name="_Toc580203500"/>
      <w:r w:rsidRPr="00685030">
        <w:rPr>
          <w:rFonts w:ascii="Arial" w:eastAsiaTheme="majorEastAsia" w:hAnsi="Arial" w:cs="Arial"/>
        </w:rPr>
        <w:t>Audit and Accountability</w:t>
      </w:r>
      <w:bookmarkEnd w:id="101"/>
      <w:bookmarkEnd w:id="102"/>
      <w:bookmarkEnd w:id="103"/>
      <w:bookmarkEnd w:id="104"/>
    </w:p>
    <w:p w14:paraId="0D51933C" w14:textId="56EBA1D8" w:rsidR="00685030" w:rsidRPr="005D63FD" w:rsidRDefault="00685030" w:rsidP="00685030">
      <w:r>
        <w:t xml:space="preserve">The Privacy Oversight Team is responsible for auditing how well business departments implement </w:t>
      </w:r>
      <w:r w:rsidR="002857DA">
        <w:t>this,</w:t>
      </w:r>
      <w:r>
        <w:t xml:space="preserve"> Policy.</w:t>
      </w:r>
    </w:p>
    <w:p w14:paraId="0D8A2431" w14:textId="77777777" w:rsidR="00685030" w:rsidRPr="005D63FD" w:rsidRDefault="00685030" w:rsidP="00685030">
      <w:r w:rsidRPr="005D63FD">
        <w:t xml:space="preserve">Any employee who violates this Policy will be subject to disciplinary action and the employee may also be subject to civil or criminal liabilities if his or her conduct violates laws or regulations. </w:t>
      </w:r>
    </w:p>
    <w:p w14:paraId="079B128B" w14:textId="77777777" w:rsidR="00685030" w:rsidRPr="00685030" w:rsidRDefault="00685030" w:rsidP="00685030">
      <w:pPr>
        <w:pStyle w:val="Heading1"/>
        <w:rPr>
          <w:rFonts w:ascii="Arial" w:eastAsiaTheme="majorEastAsia" w:hAnsi="Arial" w:cs="Arial"/>
        </w:rPr>
      </w:pPr>
      <w:bookmarkStart w:id="105" w:name="_Toc495620002"/>
      <w:bookmarkStart w:id="106" w:name="_Toc499284396"/>
      <w:bookmarkStart w:id="107" w:name="_Toc514537254"/>
      <w:bookmarkStart w:id="108" w:name="_Toc1328225242"/>
      <w:bookmarkEnd w:id="105"/>
      <w:r w:rsidRPr="00685030">
        <w:rPr>
          <w:rFonts w:ascii="Arial" w:eastAsiaTheme="majorEastAsia" w:hAnsi="Arial" w:cs="Arial"/>
        </w:rPr>
        <w:t>Conflicts of Law</w:t>
      </w:r>
      <w:bookmarkEnd w:id="106"/>
      <w:bookmarkEnd w:id="107"/>
      <w:bookmarkEnd w:id="108"/>
    </w:p>
    <w:p w14:paraId="63230E73" w14:textId="77777777" w:rsidR="00685030" w:rsidRPr="005D63FD" w:rsidRDefault="00685030" w:rsidP="00685030">
      <w:r>
        <w:t>This Policy is intended to comply with the laws and regulations in the place of establishment and of the countries in which Netradyne operates. In the event of any conflict between this Policy and applicable laws and regulations, the latter shall prevail.</w:t>
      </w:r>
    </w:p>
    <w:p w14:paraId="52EE3535" w14:textId="77777777" w:rsidR="00685030" w:rsidRPr="00685030" w:rsidRDefault="00685030" w:rsidP="00685030">
      <w:pPr>
        <w:pStyle w:val="Heading1"/>
        <w:rPr>
          <w:rFonts w:ascii="Arial" w:eastAsiaTheme="majorEastAsia" w:hAnsi="Arial" w:cs="Arial"/>
        </w:rPr>
      </w:pPr>
      <w:bookmarkStart w:id="109" w:name="_Toc495049645"/>
      <w:bookmarkStart w:id="110" w:name="_Toc269500080"/>
      <w:bookmarkStart w:id="111" w:name="_Toc499284397"/>
      <w:bookmarkStart w:id="112" w:name="_Toc514537255"/>
      <w:bookmarkStart w:id="113" w:name="_Toc162992394"/>
      <w:bookmarkEnd w:id="109"/>
      <w:bookmarkEnd w:id="110"/>
      <w:r w:rsidRPr="00685030">
        <w:rPr>
          <w:rFonts w:ascii="Arial" w:eastAsiaTheme="majorEastAsia" w:hAnsi="Arial" w:cs="Arial"/>
        </w:rPr>
        <w:t>Managing records kept on the basis of this document</w:t>
      </w:r>
      <w:bookmarkEnd w:id="111"/>
      <w:bookmarkEnd w:id="112"/>
      <w:bookmarkEnd w:id="113"/>
    </w:p>
    <w:tbl>
      <w:tblPr>
        <w:tblW w:w="906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797"/>
        <w:gridCol w:w="2248"/>
        <w:gridCol w:w="1590"/>
        <w:gridCol w:w="1905"/>
        <w:gridCol w:w="1522"/>
      </w:tblGrid>
      <w:tr w:rsidR="00685030" w:rsidRPr="005D63FD" w14:paraId="63FBBE72" w14:textId="77777777" w:rsidTr="7222427F">
        <w:trPr>
          <w:tblHeader/>
        </w:trPr>
        <w:tc>
          <w:tcPr>
            <w:tcW w:w="1797" w:type="dxa"/>
            <w:tcBorders>
              <w:top w:val="single" w:sz="4" w:space="0" w:color="000001"/>
              <w:left w:val="single" w:sz="4" w:space="0" w:color="000001"/>
              <w:bottom w:val="single" w:sz="4" w:space="0" w:color="000001"/>
              <w:right w:val="single" w:sz="4" w:space="0" w:color="000001"/>
            </w:tcBorders>
            <w:shd w:val="clear" w:color="auto" w:fill="F2F2F2" w:themeFill="background1" w:themeFillShade="F2"/>
            <w:tcMar>
              <w:left w:w="108" w:type="dxa"/>
            </w:tcMar>
          </w:tcPr>
          <w:p w14:paraId="177C0D85" w14:textId="77777777" w:rsidR="00685030" w:rsidRPr="005C4A5E" w:rsidRDefault="00685030">
            <w:pPr>
              <w:spacing w:after="0"/>
              <w:rPr>
                <w:b/>
                <w:bCs/>
                <w:sz w:val="20"/>
                <w:szCs w:val="20"/>
              </w:rPr>
            </w:pPr>
            <w:r w:rsidRPr="1C5F1FB6">
              <w:rPr>
                <w:b/>
                <w:bCs/>
                <w:sz w:val="20"/>
                <w:szCs w:val="20"/>
              </w:rPr>
              <w:t>Record name</w:t>
            </w:r>
          </w:p>
        </w:tc>
        <w:tc>
          <w:tcPr>
            <w:tcW w:w="2248" w:type="dxa"/>
            <w:tcBorders>
              <w:top w:val="single" w:sz="4" w:space="0" w:color="000001"/>
              <w:left w:val="single" w:sz="4" w:space="0" w:color="000001"/>
              <w:bottom w:val="single" w:sz="4" w:space="0" w:color="000001"/>
              <w:right w:val="single" w:sz="4" w:space="0" w:color="000001"/>
            </w:tcBorders>
            <w:shd w:val="clear" w:color="auto" w:fill="F2F2F2" w:themeFill="background1" w:themeFillShade="F2"/>
            <w:tcMar>
              <w:left w:w="108" w:type="dxa"/>
            </w:tcMar>
          </w:tcPr>
          <w:p w14:paraId="0D1F63F0" w14:textId="77777777" w:rsidR="00685030" w:rsidRPr="005C4A5E" w:rsidRDefault="00685030">
            <w:pPr>
              <w:spacing w:after="0"/>
              <w:rPr>
                <w:b/>
                <w:bCs/>
                <w:sz w:val="20"/>
                <w:szCs w:val="20"/>
              </w:rPr>
            </w:pPr>
            <w:r w:rsidRPr="1C5F1FB6">
              <w:rPr>
                <w:b/>
                <w:bCs/>
                <w:sz w:val="20"/>
                <w:szCs w:val="20"/>
              </w:rPr>
              <w:t>Storage location</w:t>
            </w:r>
          </w:p>
        </w:tc>
        <w:tc>
          <w:tcPr>
            <w:tcW w:w="1590" w:type="dxa"/>
            <w:tcBorders>
              <w:top w:val="single" w:sz="4" w:space="0" w:color="000001"/>
              <w:left w:val="single" w:sz="4" w:space="0" w:color="000001"/>
              <w:bottom w:val="single" w:sz="4" w:space="0" w:color="000001"/>
              <w:right w:val="single" w:sz="4" w:space="0" w:color="000001"/>
            </w:tcBorders>
            <w:shd w:val="clear" w:color="auto" w:fill="F2F2F2" w:themeFill="background1" w:themeFillShade="F2"/>
            <w:tcMar>
              <w:left w:w="108" w:type="dxa"/>
            </w:tcMar>
          </w:tcPr>
          <w:p w14:paraId="08499FA5" w14:textId="77777777" w:rsidR="00685030" w:rsidRPr="005C4A5E" w:rsidRDefault="00685030">
            <w:pPr>
              <w:spacing w:after="0"/>
              <w:rPr>
                <w:b/>
                <w:bCs/>
                <w:sz w:val="20"/>
                <w:szCs w:val="20"/>
              </w:rPr>
            </w:pPr>
            <w:r w:rsidRPr="1C5F1FB6">
              <w:rPr>
                <w:b/>
                <w:bCs/>
                <w:sz w:val="20"/>
                <w:szCs w:val="20"/>
              </w:rPr>
              <w:t>Person responsible for storage</w:t>
            </w:r>
          </w:p>
        </w:tc>
        <w:tc>
          <w:tcPr>
            <w:tcW w:w="1905" w:type="dxa"/>
            <w:tcBorders>
              <w:top w:val="single" w:sz="4" w:space="0" w:color="000001"/>
              <w:left w:val="single" w:sz="4" w:space="0" w:color="000001"/>
              <w:bottom w:val="single" w:sz="4" w:space="0" w:color="000001"/>
              <w:right w:val="single" w:sz="4" w:space="0" w:color="000001"/>
            </w:tcBorders>
            <w:shd w:val="clear" w:color="auto" w:fill="F2F2F2" w:themeFill="background1" w:themeFillShade="F2"/>
            <w:tcMar>
              <w:left w:w="108" w:type="dxa"/>
            </w:tcMar>
          </w:tcPr>
          <w:p w14:paraId="0B7E2BED" w14:textId="77777777" w:rsidR="00685030" w:rsidRPr="005C4A5E" w:rsidRDefault="00685030">
            <w:pPr>
              <w:spacing w:after="0"/>
              <w:rPr>
                <w:b/>
                <w:bCs/>
                <w:sz w:val="20"/>
                <w:szCs w:val="20"/>
              </w:rPr>
            </w:pPr>
            <w:r w:rsidRPr="1C5F1FB6">
              <w:rPr>
                <w:b/>
                <w:bCs/>
                <w:sz w:val="20"/>
                <w:szCs w:val="20"/>
              </w:rPr>
              <w:t>Controls for record protection</w:t>
            </w:r>
          </w:p>
        </w:tc>
        <w:tc>
          <w:tcPr>
            <w:tcW w:w="1522" w:type="dxa"/>
            <w:tcBorders>
              <w:top w:val="single" w:sz="4" w:space="0" w:color="000001"/>
              <w:left w:val="single" w:sz="4" w:space="0" w:color="000001"/>
              <w:bottom w:val="single" w:sz="4" w:space="0" w:color="000001"/>
              <w:right w:val="single" w:sz="4" w:space="0" w:color="000001"/>
            </w:tcBorders>
            <w:shd w:val="clear" w:color="auto" w:fill="F2F2F2" w:themeFill="background1" w:themeFillShade="F2"/>
            <w:tcMar>
              <w:left w:w="108" w:type="dxa"/>
            </w:tcMar>
          </w:tcPr>
          <w:p w14:paraId="0267D24E" w14:textId="77777777" w:rsidR="00685030" w:rsidRPr="005C4A5E" w:rsidRDefault="00685030">
            <w:pPr>
              <w:spacing w:after="0"/>
              <w:rPr>
                <w:b/>
                <w:bCs/>
                <w:sz w:val="20"/>
                <w:szCs w:val="20"/>
              </w:rPr>
            </w:pPr>
            <w:r w:rsidRPr="1C5F1FB6">
              <w:rPr>
                <w:b/>
                <w:bCs/>
                <w:sz w:val="20"/>
                <w:szCs w:val="20"/>
              </w:rPr>
              <w:t>Retention time</w:t>
            </w:r>
          </w:p>
        </w:tc>
      </w:tr>
      <w:tr w:rsidR="00685030" w:rsidRPr="005D63FD" w14:paraId="2890EA22" w14:textId="77777777" w:rsidTr="7222427F">
        <w:tc>
          <w:tcPr>
            <w:tcW w:w="1797" w:type="dxa"/>
            <w:tcBorders>
              <w:top w:val="single" w:sz="4" w:space="0" w:color="000001"/>
              <w:left w:val="single" w:sz="4" w:space="0" w:color="000001"/>
              <w:bottom w:val="single" w:sz="4" w:space="0" w:color="000001"/>
              <w:right w:val="single" w:sz="4" w:space="0" w:color="000001"/>
            </w:tcBorders>
            <w:tcMar>
              <w:left w:w="108" w:type="dxa"/>
            </w:tcMar>
          </w:tcPr>
          <w:p w14:paraId="4BC5F987" w14:textId="77777777" w:rsidR="00685030" w:rsidRPr="005D63FD" w:rsidRDefault="00685030">
            <w:pPr>
              <w:spacing w:after="0"/>
            </w:pPr>
            <w:r w:rsidRPr="005D63FD">
              <w:t xml:space="preserve">Data Subject Consent </w:t>
            </w:r>
            <w:r>
              <w:t xml:space="preserve">Attestation </w:t>
            </w:r>
            <w:r w:rsidRPr="005D63FD">
              <w:t>Forms</w:t>
            </w:r>
          </w:p>
        </w:tc>
        <w:tc>
          <w:tcPr>
            <w:tcW w:w="2248" w:type="dxa"/>
            <w:tcBorders>
              <w:top w:val="single" w:sz="4" w:space="0" w:color="000001"/>
              <w:left w:val="single" w:sz="4" w:space="0" w:color="000001"/>
              <w:bottom w:val="single" w:sz="4" w:space="0" w:color="000001"/>
              <w:right w:val="single" w:sz="4" w:space="0" w:color="000001"/>
            </w:tcBorders>
            <w:tcMar>
              <w:left w:w="108" w:type="dxa"/>
            </w:tcMar>
          </w:tcPr>
          <w:p w14:paraId="05027FEC" w14:textId="71BDB11D" w:rsidR="00685030" w:rsidRPr="005D63FD" w:rsidRDefault="002857DA">
            <w:r>
              <w:t>SharePoint</w:t>
            </w:r>
            <w:r w:rsidR="00685030">
              <w:t>/Privacy/</w:t>
            </w:r>
            <w:r w:rsidR="00685030">
              <w:br/>
              <w:t xml:space="preserve">Data Subject Forms/ </w:t>
            </w:r>
            <w:hyperlink r:id="rId14">
              <w:r w:rsidR="00685030" w:rsidRPr="1C5F1FB6">
                <w:rPr>
                  <w:rStyle w:val="Hyperlink"/>
                </w:rPr>
                <w:t>Consent Attestations</w:t>
              </w:r>
            </w:hyperlink>
          </w:p>
        </w:tc>
        <w:tc>
          <w:tcPr>
            <w:tcW w:w="1590" w:type="dxa"/>
            <w:tcBorders>
              <w:top w:val="single" w:sz="4" w:space="0" w:color="000001"/>
              <w:left w:val="single" w:sz="4" w:space="0" w:color="000001"/>
              <w:bottom w:val="single" w:sz="4" w:space="0" w:color="000001"/>
              <w:right w:val="single" w:sz="4" w:space="0" w:color="000001"/>
            </w:tcBorders>
            <w:tcMar>
              <w:left w:w="108" w:type="dxa"/>
            </w:tcMar>
          </w:tcPr>
          <w:p w14:paraId="4BF225F9" w14:textId="77777777" w:rsidR="00685030" w:rsidRPr="005D63FD" w:rsidRDefault="00685030">
            <w:r>
              <w:t>DPO</w:t>
            </w:r>
          </w:p>
        </w:tc>
        <w:tc>
          <w:tcPr>
            <w:tcW w:w="1905" w:type="dxa"/>
            <w:tcBorders>
              <w:top w:val="single" w:sz="4" w:space="0" w:color="000001"/>
              <w:left w:val="single" w:sz="4" w:space="0" w:color="000001"/>
              <w:bottom w:val="single" w:sz="4" w:space="0" w:color="000001"/>
              <w:right w:val="single" w:sz="4" w:space="0" w:color="000001"/>
            </w:tcBorders>
            <w:tcMar>
              <w:left w:w="108" w:type="dxa"/>
            </w:tcMar>
          </w:tcPr>
          <w:p w14:paraId="23A7A5DD" w14:textId="77777777" w:rsidR="00685030" w:rsidRPr="005D63FD" w:rsidRDefault="00685030">
            <w:r w:rsidRPr="005D63FD">
              <w:t>Only authorized persons may access the forms</w:t>
            </w:r>
          </w:p>
        </w:tc>
        <w:tc>
          <w:tcPr>
            <w:tcW w:w="1522" w:type="dxa"/>
            <w:tcBorders>
              <w:top w:val="single" w:sz="4" w:space="0" w:color="000001"/>
              <w:left w:val="single" w:sz="4" w:space="0" w:color="000001"/>
              <w:bottom w:val="single" w:sz="4" w:space="0" w:color="000001"/>
              <w:right w:val="single" w:sz="4" w:space="0" w:color="000001"/>
            </w:tcBorders>
            <w:tcMar>
              <w:left w:w="108" w:type="dxa"/>
            </w:tcMar>
          </w:tcPr>
          <w:p w14:paraId="7192D20B" w14:textId="77777777" w:rsidR="00685030" w:rsidRPr="005D63FD" w:rsidRDefault="00685030">
            <w:r w:rsidRPr="005D63FD">
              <w:t>10 years</w:t>
            </w:r>
          </w:p>
        </w:tc>
      </w:tr>
      <w:tr w:rsidR="00685030" w:rsidRPr="005D63FD" w14:paraId="7650C2CF" w14:textId="77777777" w:rsidTr="7222427F">
        <w:tc>
          <w:tcPr>
            <w:tcW w:w="1797" w:type="dxa"/>
            <w:tcBorders>
              <w:top w:val="single" w:sz="4" w:space="0" w:color="000001"/>
              <w:left w:val="single" w:sz="4" w:space="0" w:color="000001"/>
              <w:bottom w:val="single" w:sz="4" w:space="0" w:color="000001"/>
              <w:right w:val="single" w:sz="4" w:space="0" w:color="000001"/>
            </w:tcBorders>
            <w:tcMar>
              <w:left w:w="108" w:type="dxa"/>
            </w:tcMar>
          </w:tcPr>
          <w:p w14:paraId="5A72D0D3" w14:textId="77777777" w:rsidR="00685030" w:rsidRPr="005D63FD" w:rsidRDefault="00685030">
            <w:pPr>
              <w:spacing w:after="0"/>
            </w:pPr>
            <w:r w:rsidRPr="005D63FD">
              <w:t>Data Subject Consent Withdrawal Form</w:t>
            </w:r>
          </w:p>
        </w:tc>
        <w:tc>
          <w:tcPr>
            <w:tcW w:w="2248" w:type="dxa"/>
            <w:tcBorders>
              <w:top w:val="single" w:sz="4" w:space="0" w:color="000001"/>
              <w:left w:val="single" w:sz="4" w:space="0" w:color="000001"/>
              <w:bottom w:val="single" w:sz="4" w:space="0" w:color="000001"/>
              <w:right w:val="single" w:sz="4" w:space="0" w:color="000001"/>
            </w:tcBorders>
            <w:tcMar>
              <w:left w:w="108" w:type="dxa"/>
            </w:tcMar>
          </w:tcPr>
          <w:p w14:paraId="01C20A85" w14:textId="6A208C7B" w:rsidR="00685030" w:rsidRPr="005D63FD" w:rsidRDefault="002857DA">
            <w:r>
              <w:t>SharePoint</w:t>
            </w:r>
            <w:r w:rsidR="00685030">
              <w:t>/Privacy/</w:t>
            </w:r>
            <w:r w:rsidR="00685030">
              <w:br/>
              <w:t xml:space="preserve">Data Subject Forms/ </w:t>
            </w:r>
            <w:hyperlink r:id="rId15">
              <w:r w:rsidR="00685030" w:rsidRPr="1C5F1FB6">
                <w:rPr>
                  <w:rStyle w:val="Hyperlink"/>
                </w:rPr>
                <w:t>Consent Withdrawals</w:t>
              </w:r>
            </w:hyperlink>
          </w:p>
        </w:tc>
        <w:tc>
          <w:tcPr>
            <w:tcW w:w="1590" w:type="dxa"/>
            <w:tcBorders>
              <w:top w:val="single" w:sz="4" w:space="0" w:color="000001"/>
              <w:left w:val="single" w:sz="4" w:space="0" w:color="000001"/>
              <w:bottom w:val="single" w:sz="4" w:space="0" w:color="000001"/>
              <w:right w:val="single" w:sz="4" w:space="0" w:color="000001"/>
            </w:tcBorders>
            <w:tcMar>
              <w:left w:w="108" w:type="dxa"/>
            </w:tcMar>
          </w:tcPr>
          <w:p w14:paraId="0C1A37F5" w14:textId="77777777" w:rsidR="00685030" w:rsidRPr="005D63FD" w:rsidRDefault="00685030">
            <w:r>
              <w:t>DPO</w:t>
            </w:r>
          </w:p>
        </w:tc>
        <w:tc>
          <w:tcPr>
            <w:tcW w:w="1905" w:type="dxa"/>
            <w:tcBorders>
              <w:top w:val="single" w:sz="4" w:space="0" w:color="000001"/>
              <w:left w:val="single" w:sz="4" w:space="0" w:color="000001"/>
              <w:bottom w:val="single" w:sz="4" w:space="0" w:color="000001"/>
              <w:right w:val="single" w:sz="4" w:space="0" w:color="000001"/>
            </w:tcBorders>
            <w:tcMar>
              <w:left w:w="108" w:type="dxa"/>
            </w:tcMar>
          </w:tcPr>
          <w:p w14:paraId="64E168DA" w14:textId="77777777" w:rsidR="00685030" w:rsidRPr="005D63FD" w:rsidRDefault="00685030">
            <w:r w:rsidRPr="005D63FD">
              <w:t>Only authorized persons may access the forms</w:t>
            </w:r>
          </w:p>
        </w:tc>
        <w:tc>
          <w:tcPr>
            <w:tcW w:w="1522" w:type="dxa"/>
            <w:tcBorders>
              <w:top w:val="single" w:sz="4" w:space="0" w:color="000001"/>
              <w:left w:val="single" w:sz="4" w:space="0" w:color="000001"/>
              <w:bottom w:val="single" w:sz="4" w:space="0" w:color="000001"/>
              <w:right w:val="single" w:sz="4" w:space="0" w:color="000001"/>
            </w:tcBorders>
            <w:tcMar>
              <w:left w:w="108" w:type="dxa"/>
            </w:tcMar>
          </w:tcPr>
          <w:p w14:paraId="36806288" w14:textId="77777777" w:rsidR="00685030" w:rsidRPr="005D63FD" w:rsidRDefault="00685030">
            <w:r w:rsidRPr="005D63FD">
              <w:t>10 years</w:t>
            </w:r>
          </w:p>
        </w:tc>
      </w:tr>
      <w:tr w:rsidR="00685030" w:rsidRPr="005D63FD" w14:paraId="1EC56567" w14:textId="77777777" w:rsidTr="7222427F">
        <w:tc>
          <w:tcPr>
            <w:tcW w:w="1797" w:type="dxa"/>
            <w:tcBorders>
              <w:top w:val="single" w:sz="4" w:space="0" w:color="000001"/>
              <w:left w:val="single" w:sz="4" w:space="0" w:color="000001"/>
              <w:bottom w:val="single" w:sz="4" w:space="0" w:color="000001"/>
              <w:right w:val="single" w:sz="4" w:space="0" w:color="000001"/>
            </w:tcBorders>
            <w:tcMar>
              <w:left w:w="108" w:type="dxa"/>
            </w:tcMar>
          </w:tcPr>
          <w:p w14:paraId="134E8360" w14:textId="77777777" w:rsidR="00685030" w:rsidRPr="005D63FD" w:rsidRDefault="00685030">
            <w:pPr>
              <w:spacing w:after="0"/>
            </w:pPr>
            <w:r w:rsidRPr="005D63FD">
              <w:t>Supplier Data Processing Agreements</w:t>
            </w:r>
          </w:p>
        </w:tc>
        <w:tc>
          <w:tcPr>
            <w:tcW w:w="2248" w:type="dxa"/>
            <w:tcBorders>
              <w:top w:val="single" w:sz="4" w:space="0" w:color="000001"/>
              <w:left w:val="single" w:sz="4" w:space="0" w:color="000001"/>
              <w:bottom w:val="single" w:sz="4" w:space="0" w:color="000001"/>
              <w:right w:val="single" w:sz="4" w:space="0" w:color="000001"/>
            </w:tcBorders>
            <w:tcMar>
              <w:left w:w="108" w:type="dxa"/>
            </w:tcMar>
          </w:tcPr>
          <w:p w14:paraId="4612BD3C" w14:textId="6A570BFE" w:rsidR="00685030" w:rsidRPr="005D63FD" w:rsidRDefault="002857DA">
            <w:r>
              <w:t>SharePoint</w:t>
            </w:r>
            <w:r w:rsidR="00685030">
              <w:t xml:space="preserve">/Privacy/ </w:t>
            </w:r>
            <w:hyperlink r:id="rId16">
              <w:r w:rsidR="00685030" w:rsidRPr="1C5F1FB6">
                <w:rPr>
                  <w:rStyle w:val="Hyperlink"/>
                </w:rPr>
                <w:t>Third Party</w:t>
              </w:r>
            </w:hyperlink>
          </w:p>
        </w:tc>
        <w:tc>
          <w:tcPr>
            <w:tcW w:w="1590" w:type="dxa"/>
            <w:tcBorders>
              <w:top w:val="single" w:sz="4" w:space="0" w:color="000001"/>
              <w:left w:val="single" w:sz="4" w:space="0" w:color="000001"/>
              <w:bottom w:val="single" w:sz="4" w:space="0" w:color="000001"/>
              <w:right w:val="single" w:sz="4" w:space="0" w:color="000001"/>
            </w:tcBorders>
            <w:tcMar>
              <w:left w:w="108" w:type="dxa"/>
            </w:tcMar>
          </w:tcPr>
          <w:p w14:paraId="57F28BF3" w14:textId="77777777" w:rsidR="00685030" w:rsidRPr="005D63FD" w:rsidRDefault="00685030">
            <w:r>
              <w:t>General Counsel</w:t>
            </w:r>
          </w:p>
        </w:tc>
        <w:tc>
          <w:tcPr>
            <w:tcW w:w="1905" w:type="dxa"/>
            <w:tcBorders>
              <w:top w:val="single" w:sz="4" w:space="0" w:color="000001"/>
              <w:left w:val="single" w:sz="4" w:space="0" w:color="000001"/>
              <w:bottom w:val="single" w:sz="4" w:space="0" w:color="000001"/>
              <w:right w:val="single" w:sz="4" w:space="0" w:color="000001"/>
            </w:tcBorders>
            <w:tcMar>
              <w:left w:w="108" w:type="dxa"/>
            </w:tcMar>
          </w:tcPr>
          <w:p w14:paraId="0EEFCB5D" w14:textId="77777777" w:rsidR="00685030" w:rsidRPr="005D63FD" w:rsidRDefault="00685030">
            <w:r w:rsidRPr="005D63FD">
              <w:t>Only authorized persons may access the folder</w:t>
            </w:r>
          </w:p>
        </w:tc>
        <w:tc>
          <w:tcPr>
            <w:tcW w:w="1522" w:type="dxa"/>
            <w:tcBorders>
              <w:top w:val="single" w:sz="4" w:space="0" w:color="000001"/>
              <w:left w:val="single" w:sz="4" w:space="0" w:color="000001"/>
              <w:bottom w:val="single" w:sz="4" w:space="0" w:color="000001"/>
              <w:right w:val="single" w:sz="4" w:space="0" w:color="000001"/>
            </w:tcBorders>
            <w:tcMar>
              <w:left w:w="108" w:type="dxa"/>
            </w:tcMar>
          </w:tcPr>
          <w:p w14:paraId="20595959" w14:textId="77777777" w:rsidR="00685030" w:rsidRPr="005D63FD" w:rsidRDefault="00685030">
            <w:r w:rsidRPr="005D63FD">
              <w:t>5 years after the agreement has expired</w:t>
            </w:r>
          </w:p>
        </w:tc>
      </w:tr>
      <w:tr w:rsidR="00685030" w:rsidRPr="005D63FD" w14:paraId="0ECE880E" w14:textId="77777777" w:rsidTr="7222427F">
        <w:tc>
          <w:tcPr>
            <w:tcW w:w="1797" w:type="dxa"/>
            <w:tcBorders>
              <w:top w:val="single" w:sz="4" w:space="0" w:color="000001"/>
              <w:left w:val="single" w:sz="4" w:space="0" w:color="000001"/>
              <w:bottom w:val="single" w:sz="4" w:space="0" w:color="000001"/>
              <w:right w:val="single" w:sz="4" w:space="0" w:color="000001"/>
            </w:tcBorders>
            <w:tcMar>
              <w:left w:w="108" w:type="dxa"/>
            </w:tcMar>
          </w:tcPr>
          <w:p w14:paraId="15CFF17E" w14:textId="77777777" w:rsidR="00685030" w:rsidRPr="005D63FD" w:rsidRDefault="00685030">
            <w:pPr>
              <w:spacing w:after="0"/>
            </w:pPr>
            <w:r w:rsidRPr="005D63FD">
              <w:t>Reg</w:t>
            </w:r>
            <w:r>
              <w:t>ister of Privacy</w:t>
            </w:r>
            <w:r w:rsidRPr="005D63FD">
              <w:t xml:space="preserve"> Notices</w:t>
            </w:r>
          </w:p>
        </w:tc>
        <w:tc>
          <w:tcPr>
            <w:tcW w:w="2248" w:type="dxa"/>
            <w:tcBorders>
              <w:top w:val="single" w:sz="4" w:space="0" w:color="000001"/>
              <w:left w:val="single" w:sz="4" w:space="0" w:color="000001"/>
              <w:bottom w:val="single" w:sz="4" w:space="0" w:color="000001"/>
              <w:right w:val="single" w:sz="4" w:space="0" w:color="000001"/>
            </w:tcBorders>
            <w:tcMar>
              <w:left w:w="108" w:type="dxa"/>
            </w:tcMar>
          </w:tcPr>
          <w:p w14:paraId="657036C7" w14:textId="07E44899" w:rsidR="00685030" w:rsidRPr="005D63FD" w:rsidRDefault="002857DA">
            <w:r>
              <w:t>SharePoint</w:t>
            </w:r>
            <w:r w:rsidR="00685030">
              <w:t>/Privacy/</w:t>
            </w:r>
            <w:r w:rsidR="00685030">
              <w:br/>
              <w:t xml:space="preserve">Data Subject Forms/ </w:t>
            </w:r>
            <w:hyperlink r:id="rId17">
              <w:r w:rsidR="00685030" w:rsidRPr="1C5F1FB6">
                <w:rPr>
                  <w:rStyle w:val="Hyperlink"/>
                </w:rPr>
                <w:t>Notices</w:t>
              </w:r>
            </w:hyperlink>
          </w:p>
        </w:tc>
        <w:tc>
          <w:tcPr>
            <w:tcW w:w="1590" w:type="dxa"/>
            <w:tcBorders>
              <w:top w:val="single" w:sz="4" w:space="0" w:color="000001"/>
              <w:left w:val="single" w:sz="4" w:space="0" w:color="000001"/>
              <w:bottom w:val="single" w:sz="4" w:space="0" w:color="000001"/>
              <w:right w:val="single" w:sz="4" w:space="0" w:color="000001"/>
            </w:tcBorders>
            <w:tcMar>
              <w:left w:w="108" w:type="dxa"/>
            </w:tcMar>
          </w:tcPr>
          <w:p w14:paraId="1CF25F7D" w14:textId="77777777" w:rsidR="00685030" w:rsidRPr="005D63FD" w:rsidRDefault="00685030">
            <w:r>
              <w:t>DPO</w:t>
            </w:r>
          </w:p>
        </w:tc>
        <w:tc>
          <w:tcPr>
            <w:tcW w:w="1905" w:type="dxa"/>
            <w:tcBorders>
              <w:top w:val="single" w:sz="4" w:space="0" w:color="000001"/>
              <w:left w:val="single" w:sz="4" w:space="0" w:color="000001"/>
              <w:bottom w:val="single" w:sz="4" w:space="0" w:color="000001"/>
              <w:right w:val="single" w:sz="4" w:space="0" w:color="000001"/>
            </w:tcBorders>
            <w:tcMar>
              <w:left w:w="108" w:type="dxa"/>
            </w:tcMar>
          </w:tcPr>
          <w:p w14:paraId="1946072B" w14:textId="77777777" w:rsidR="00685030" w:rsidRPr="005D63FD" w:rsidRDefault="00685030">
            <w:r w:rsidRPr="005D63FD">
              <w:t>Only authorized persons may access the folder</w:t>
            </w:r>
          </w:p>
        </w:tc>
        <w:tc>
          <w:tcPr>
            <w:tcW w:w="1522" w:type="dxa"/>
            <w:tcBorders>
              <w:top w:val="single" w:sz="4" w:space="0" w:color="000001"/>
              <w:left w:val="single" w:sz="4" w:space="0" w:color="000001"/>
              <w:bottom w:val="single" w:sz="4" w:space="0" w:color="000001"/>
              <w:right w:val="single" w:sz="4" w:space="0" w:color="000001"/>
            </w:tcBorders>
            <w:tcMar>
              <w:left w:w="108" w:type="dxa"/>
            </w:tcMar>
          </w:tcPr>
          <w:p w14:paraId="2E8DBE69" w14:textId="77777777" w:rsidR="00685030" w:rsidRPr="005D63FD" w:rsidRDefault="00685030">
            <w:r w:rsidRPr="005D63FD">
              <w:t>Permanently</w:t>
            </w:r>
          </w:p>
        </w:tc>
      </w:tr>
    </w:tbl>
    <w:p w14:paraId="6B3B54D9" w14:textId="71481AE6" w:rsidR="7222427F" w:rsidRDefault="7222427F" w:rsidP="7222427F">
      <w:pPr>
        <w:pStyle w:val="Heading1"/>
        <w:numPr>
          <w:ilvl w:val="0"/>
          <w:numId w:val="0"/>
        </w:numPr>
        <w:rPr>
          <w:rFonts w:ascii="Arial" w:eastAsiaTheme="majorEastAsia" w:hAnsi="Arial" w:cs="Arial"/>
        </w:rPr>
      </w:pPr>
    </w:p>
    <w:p w14:paraId="2446469F" w14:textId="77777777" w:rsidR="00685030" w:rsidRPr="007C2A69" w:rsidRDefault="00685030" w:rsidP="00685030">
      <w:pPr>
        <w:pStyle w:val="Heading1"/>
        <w:rPr>
          <w:rFonts w:ascii="Arial" w:eastAsiaTheme="majorEastAsia" w:hAnsi="Arial" w:cs="Arial"/>
        </w:rPr>
      </w:pPr>
      <w:bookmarkStart w:id="114" w:name="_Toc367862849"/>
      <w:bookmarkStart w:id="115" w:name="_Toc269500081"/>
      <w:bookmarkStart w:id="116" w:name="_Toc495620003"/>
      <w:bookmarkStart w:id="117" w:name="_Toc499284398"/>
      <w:bookmarkStart w:id="118" w:name="_Toc514537256"/>
      <w:bookmarkStart w:id="119" w:name="_Toc1018947185"/>
      <w:bookmarkEnd w:id="114"/>
      <w:bookmarkEnd w:id="115"/>
      <w:bookmarkEnd w:id="116"/>
      <w:r w:rsidRPr="007C2A69">
        <w:rPr>
          <w:rFonts w:ascii="Arial" w:eastAsiaTheme="majorEastAsia" w:hAnsi="Arial" w:cs="Arial"/>
        </w:rPr>
        <w:t>Validity and document management</w:t>
      </w:r>
      <w:bookmarkEnd w:id="117"/>
      <w:bookmarkEnd w:id="118"/>
      <w:bookmarkEnd w:id="119"/>
    </w:p>
    <w:p w14:paraId="37100AD1" w14:textId="14B48AE5" w:rsidR="00685030" w:rsidRPr="005D63FD" w:rsidRDefault="00685030" w:rsidP="00685030">
      <w:r>
        <w:t>This document is valid as of</w:t>
      </w:r>
      <w:r w:rsidR="008625D4">
        <w:t xml:space="preserve"> February </w:t>
      </w:r>
      <w:r w:rsidR="00B10B4F">
        <w:t>0</w:t>
      </w:r>
      <w:r w:rsidR="008B1994">
        <w:t>3</w:t>
      </w:r>
      <w:r w:rsidR="00B10B4F">
        <w:t>, 202</w:t>
      </w:r>
      <w:r w:rsidR="008B1994">
        <w:t>5</w:t>
      </w:r>
      <w:r w:rsidR="00B10B4F">
        <w:t>.</w:t>
      </w:r>
    </w:p>
    <w:p w14:paraId="7D7BD195" w14:textId="77777777" w:rsidR="00685030" w:rsidRPr="005D63FD" w:rsidRDefault="00685030" w:rsidP="00685030">
      <w:r>
        <w:t>This document is approved by the DPO, who must check and, if necessary, update the document at least once a year.</w:t>
      </w:r>
    </w:p>
    <w:sectPr w:rsidR="00685030" w:rsidRPr="005D63FD" w:rsidSect="003D2487">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124D6" w14:textId="77777777" w:rsidR="00643084" w:rsidRDefault="00643084" w:rsidP="00566B19">
      <w:pPr>
        <w:spacing w:after="0" w:line="240" w:lineRule="auto"/>
      </w:pPr>
      <w:r>
        <w:separator/>
      </w:r>
    </w:p>
  </w:endnote>
  <w:endnote w:type="continuationSeparator" w:id="0">
    <w:p w14:paraId="124A87A4" w14:textId="77777777" w:rsidR="00643084" w:rsidRDefault="00643084" w:rsidP="00566B19">
      <w:pPr>
        <w:spacing w:after="0" w:line="240" w:lineRule="auto"/>
      </w:pPr>
      <w:r>
        <w:continuationSeparator/>
      </w:r>
    </w:p>
  </w:endnote>
  <w:endnote w:type="continuationNotice" w:id="1">
    <w:p w14:paraId="1A641F7F" w14:textId="77777777" w:rsidR="00643084" w:rsidRDefault="006430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Bookman Old Style">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094815"/>
      <w:docPartObj>
        <w:docPartGallery w:val="Page Numbers (Bottom of Page)"/>
        <w:docPartUnique/>
      </w:docPartObj>
    </w:sdtPr>
    <w:sdtEndPr>
      <w:rPr>
        <w:noProof/>
      </w:rPr>
    </w:sdtEndPr>
    <w:sdtContent>
      <w:p w14:paraId="3E52AC43" w14:textId="77777777" w:rsidR="004946D9" w:rsidRDefault="004946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A75FE2" w14:textId="77777777" w:rsidR="005C1DD1" w:rsidRDefault="005C1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889BA5" w14:textId="77777777" w:rsidR="00643084" w:rsidRDefault="00643084" w:rsidP="00566B19">
      <w:pPr>
        <w:spacing w:after="0" w:line="240" w:lineRule="auto"/>
      </w:pPr>
      <w:r>
        <w:separator/>
      </w:r>
    </w:p>
  </w:footnote>
  <w:footnote w:type="continuationSeparator" w:id="0">
    <w:p w14:paraId="448D363B" w14:textId="77777777" w:rsidR="00643084" w:rsidRDefault="00643084" w:rsidP="00566B19">
      <w:pPr>
        <w:spacing w:after="0" w:line="240" w:lineRule="auto"/>
      </w:pPr>
      <w:r>
        <w:continuationSeparator/>
      </w:r>
    </w:p>
  </w:footnote>
  <w:footnote w:type="continuationNotice" w:id="1">
    <w:p w14:paraId="09970F9D" w14:textId="77777777" w:rsidR="00643084" w:rsidRDefault="006430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D3E0E" w14:textId="77777777" w:rsidR="00566B19" w:rsidRDefault="00317EF6">
    <w:pPr>
      <w:pStyle w:val="Header"/>
    </w:pPr>
    <w:r>
      <w:rPr>
        <w:noProof/>
      </w:rPr>
      <w:drawing>
        <wp:inline distT="0" distB="0" distL="0" distR="0" wp14:anchorId="114ECBB1" wp14:editId="16E8F8C8">
          <wp:extent cx="838200" cy="1430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49473" cy="162013"/>
                  </a:xfrm>
                  <a:prstGeom prst="rect">
                    <a:avLst/>
                  </a:prstGeom>
                </pic:spPr>
              </pic:pic>
            </a:graphicData>
          </a:graphic>
        </wp:inline>
      </w:drawing>
    </w:r>
    <w:r w:rsidR="00566B19">
      <w:tab/>
    </w:r>
    <w:r w:rsidR="00566B19">
      <w:tab/>
    </w:r>
  </w:p>
  <w:p w14:paraId="30528A89" w14:textId="77777777" w:rsidR="00566B19" w:rsidRDefault="00566B1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B5AE1"/>
    <w:multiLevelType w:val="hybridMultilevel"/>
    <w:tmpl w:val="7BBA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30FB8"/>
    <w:multiLevelType w:val="multilevel"/>
    <w:tmpl w:val="65BEC5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88649C2"/>
    <w:multiLevelType w:val="multilevel"/>
    <w:tmpl w:val="B846D9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930975"/>
    <w:multiLevelType w:val="multilevel"/>
    <w:tmpl w:val="F88EED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53969F6"/>
    <w:multiLevelType w:val="multilevel"/>
    <w:tmpl w:val="15826B40"/>
    <w:lvl w:ilvl="0">
      <w:start w:val="1"/>
      <w:numFmt w:val="decimal"/>
      <w:pStyle w:val="Heading1"/>
      <w:lvlText w:val="%1"/>
      <w:lvlJc w:val="left"/>
      <w:pPr>
        <w:ind w:left="432" w:hanging="432"/>
      </w:pPr>
      <w:rPr>
        <w:rFonts w:ascii="Times New Roman" w:hAnsi="Times New Roman" w:cs="Times New Roman" w:hint="default"/>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1260" w:hanging="720"/>
      </w:pPr>
    </w:lvl>
    <w:lvl w:ilvl="3">
      <w:start w:val="1"/>
      <w:numFmt w:val="decimal"/>
      <w:pStyle w:val="Heading4"/>
      <w:lvlText w:val="%1.%2.%3.%4"/>
      <w:lvlJc w:val="left"/>
      <w:pPr>
        <w:ind w:left="54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9A32C37"/>
    <w:multiLevelType w:val="multilevel"/>
    <w:tmpl w:val="C6DEC6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542941543">
    <w:abstractNumId w:val="4"/>
  </w:num>
  <w:num w:numId="2" w16cid:durableId="2062702456">
    <w:abstractNumId w:val="0"/>
  </w:num>
  <w:num w:numId="3" w16cid:durableId="1080130807">
    <w:abstractNumId w:val="3"/>
  </w:num>
  <w:num w:numId="4" w16cid:durableId="1347365041">
    <w:abstractNumId w:val="5"/>
  </w:num>
  <w:num w:numId="5" w16cid:durableId="1971085597">
    <w:abstractNumId w:val="1"/>
  </w:num>
  <w:num w:numId="6" w16cid:durableId="250043335">
    <w:abstractNumId w:val="2"/>
  </w:num>
  <w:num w:numId="7" w16cid:durableId="1491171212">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9D"/>
    <w:rsid w:val="0000036C"/>
    <w:rsid w:val="0000250E"/>
    <w:rsid w:val="00003833"/>
    <w:rsid w:val="00007C32"/>
    <w:rsid w:val="00010017"/>
    <w:rsid w:val="000109C1"/>
    <w:rsid w:val="00011632"/>
    <w:rsid w:val="00012DDC"/>
    <w:rsid w:val="00012EAE"/>
    <w:rsid w:val="00015159"/>
    <w:rsid w:val="000216F1"/>
    <w:rsid w:val="000224DB"/>
    <w:rsid w:val="00022556"/>
    <w:rsid w:val="000236E4"/>
    <w:rsid w:val="00023A58"/>
    <w:rsid w:val="00027617"/>
    <w:rsid w:val="00027D9A"/>
    <w:rsid w:val="000339BA"/>
    <w:rsid w:val="00033D55"/>
    <w:rsid w:val="00037B05"/>
    <w:rsid w:val="00040223"/>
    <w:rsid w:val="0004247C"/>
    <w:rsid w:val="0004417F"/>
    <w:rsid w:val="000461DB"/>
    <w:rsid w:val="000514F1"/>
    <w:rsid w:val="00051868"/>
    <w:rsid w:val="00051B59"/>
    <w:rsid w:val="000550B0"/>
    <w:rsid w:val="00056F13"/>
    <w:rsid w:val="00060DCD"/>
    <w:rsid w:val="00060DEA"/>
    <w:rsid w:val="0006246B"/>
    <w:rsid w:val="00062F39"/>
    <w:rsid w:val="00064241"/>
    <w:rsid w:val="0006549C"/>
    <w:rsid w:val="00066D71"/>
    <w:rsid w:val="000703DD"/>
    <w:rsid w:val="00070A7E"/>
    <w:rsid w:val="00070D00"/>
    <w:rsid w:val="000719D9"/>
    <w:rsid w:val="0007409A"/>
    <w:rsid w:val="0007474F"/>
    <w:rsid w:val="000753D8"/>
    <w:rsid w:val="000760FB"/>
    <w:rsid w:val="00077E29"/>
    <w:rsid w:val="00080BA7"/>
    <w:rsid w:val="0008163D"/>
    <w:rsid w:val="00081EAF"/>
    <w:rsid w:val="00082C57"/>
    <w:rsid w:val="00084717"/>
    <w:rsid w:val="00084FDE"/>
    <w:rsid w:val="00087D55"/>
    <w:rsid w:val="000906C5"/>
    <w:rsid w:val="00091823"/>
    <w:rsid w:val="000A01C3"/>
    <w:rsid w:val="000A0616"/>
    <w:rsid w:val="000A0EAD"/>
    <w:rsid w:val="000A4782"/>
    <w:rsid w:val="000A55F2"/>
    <w:rsid w:val="000A65D3"/>
    <w:rsid w:val="000A6E62"/>
    <w:rsid w:val="000A70F4"/>
    <w:rsid w:val="000A7D86"/>
    <w:rsid w:val="000B1A62"/>
    <w:rsid w:val="000B3D9F"/>
    <w:rsid w:val="000B416E"/>
    <w:rsid w:val="000B428F"/>
    <w:rsid w:val="000B6445"/>
    <w:rsid w:val="000C1293"/>
    <w:rsid w:val="000C1D63"/>
    <w:rsid w:val="000C42B7"/>
    <w:rsid w:val="000C56E2"/>
    <w:rsid w:val="000C6AEF"/>
    <w:rsid w:val="000D1273"/>
    <w:rsid w:val="000D3372"/>
    <w:rsid w:val="000D4825"/>
    <w:rsid w:val="000D76F2"/>
    <w:rsid w:val="000E06A8"/>
    <w:rsid w:val="000E08DA"/>
    <w:rsid w:val="000E168A"/>
    <w:rsid w:val="000E276E"/>
    <w:rsid w:val="000E7A0A"/>
    <w:rsid w:val="000F16C3"/>
    <w:rsid w:val="000F2E2A"/>
    <w:rsid w:val="000F51C8"/>
    <w:rsid w:val="000F51CE"/>
    <w:rsid w:val="000F55F1"/>
    <w:rsid w:val="00100ACD"/>
    <w:rsid w:val="00101478"/>
    <w:rsid w:val="0010335D"/>
    <w:rsid w:val="001037CC"/>
    <w:rsid w:val="001037DF"/>
    <w:rsid w:val="00103D97"/>
    <w:rsid w:val="0010409A"/>
    <w:rsid w:val="001043E9"/>
    <w:rsid w:val="00104F37"/>
    <w:rsid w:val="001059CB"/>
    <w:rsid w:val="00107083"/>
    <w:rsid w:val="001070CB"/>
    <w:rsid w:val="001104E7"/>
    <w:rsid w:val="001110A1"/>
    <w:rsid w:val="001112EA"/>
    <w:rsid w:val="0011142F"/>
    <w:rsid w:val="001116DD"/>
    <w:rsid w:val="00112D05"/>
    <w:rsid w:val="0011600F"/>
    <w:rsid w:val="001205C4"/>
    <w:rsid w:val="00124354"/>
    <w:rsid w:val="00124A17"/>
    <w:rsid w:val="00124B07"/>
    <w:rsid w:val="00124F01"/>
    <w:rsid w:val="0012575B"/>
    <w:rsid w:val="0012576F"/>
    <w:rsid w:val="00125CEF"/>
    <w:rsid w:val="00127038"/>
    <w:rsid w:val="0012796B"/>
    <w:rsid w:val="001307CC"/>
    <w:rsid w:val="00131EF4"/>
    <w:rsid w:val="001330EC"/>
    <w:rsid w:val="001401D0"/>
    <w:rsid w:val="001401DF"/>
    <w:rsid w:val="001410A9"/>
    <w:rsid w:val="001421A2"/>
    <w:rsid w:val="00143725"/>
    <w:rsid w:val="001448F9"/>
    <w:rsid w:val="00150974"/>
    <w:rsid w:val="00155760"/>
    <w:rsid w:val="00155CDC"/>
    <w:rsid w:val="001566A4"/>
    <w:rsid w:val="0015734C"/>
    <w:rsid w:val="001576D3"/>
    <w:rsid w:val="00157D14"/>
    <w:rsid w:val="00160400"/>
    <w:rsid w:val="00163711"/>
    <w:rsid w:val="0016644E"/>
    <w:rsid w:val="00167768"/>
    <w:rsid w:val="00172916"/>
    <w:rsid w:val="0017338A"/>
    <w:rsid w:val="00173E2A"/>
    <w:rsid w:val="00174272"/>
    <w:rsid w:val="00174541"/>
    <w:rsid w:val="00180BB2"/>
    <w:rsid w:val="00181175"/>
    <w:rsid w:val="001815A8"/>
    <w:rsid w:val="00182203"/>
    <w:rsid w:val="00183B71"/>
    <w:rsid w:val="00185D74"/>
    <w:rsid w:val="00186010"/>
    <w:rsid w:val="001862AE"/>
    <w:rsid w:val="001876DB"/>
    <w:rsid w:val="00191BD3"/>
    <w:rsid w:val="0019260B"/>
    <w:rsid w:val="00192CA7"/>
    <w:rsid w:val="00193252"/>
    <w:rsid w:val="001937DE"/>
    <w:rsid w:val="00194475"/>
    <w:rsid w:val="00195120"/>
    <w:rsid w:val="00195288"/>
    <w:rsid w:val="00196FC8"/>
    <w:rsid w:val="00197698"/>
    <w:rsid w:val="001A039B"/>
    <w:rsid w:val="001A04F5"/>
    <w:rsid w:val="001A05A6"/>
    <w:rsid w:val="001A44C9"/>
    <w:rsid w:val="001A5D07"/>
    <w:rsid w:val="001A7918"/>
    <w:rsid w:val="001B0A03"/>
    <w:rsid w:val="001B10FB"/>
    <w:rsid w:val="001B2F24"/>
    <w:rsid w:val="001B3830"/>
    <w:rsid w:val="001B45D7"/>
    <w:rsid w:val="001B4845"/>
    <w:rsid w:val="001C2A86"/>
    <w:rsid w:val="001C2B14"/>
    <w:rsid w:val="001C3740"/>
    <w:rsid w:val="001C37B2"/>
    <w:rsid w:val="001C3A81"/>
    <w:rsid w:val="001C3B31"/>
    <w:rsid w:val="001C650C"/>
    <w:rsid w:val="001D0905"/>
    <w:rsid w:val="001D0BDC"/>
    <w:rsid w:val="001D65DB"/>
    <w:rsid w:val="001D6951"/>
    <w:rsid w:val="001E2679"/>
    <w:rsid w:val="001E2C87"/>
    <w:rsid w:val="001E2D65"/>
    <w:rsid w:val="001E38C3"/>
    <w:rsid w:val="001E412F"/>
    <w:rsid w:val="001E4568"/>
    <w:rsid w:val="001E4C92"/>
    <w:rsid w:val="001E565C"/>
    <w:rsid w:val="001E5CE3"/>
    <w:rsid w:val="001E607A"/>
    <w:rsid w:val="001E6F99"/>
    <w:rsid w:val="001E7C29"/>
    <w:rsid w:val="001F0D4E"/>
    <w:rsid w:val="001F1505"/>
    <w:rsid w:val="001F1A9D"/>
    <w:rsid w:val="001F23E9"/>
    <w:rsid w:val="001F2B7D"/>
    <w:rsid w:val="001F2CE2"/>
    <w:rsid w:val="001F36E2"/>
    <w:rsid w:val="001F37BC"/>
    <w:rsid w:val="001F3EB2"/>
    <w:rsid w:val="001F6D51"/>
    <w:rsid w:val="001F77CC"/>
    <w:rsid w:val="0020001E"/>
    <w:rsid w:val="0020114C"/>
    <w:rsid w:val="002042E5"/>
    <w:rsid w:val="00206AD4"/>
    <w:rsid w:val="00206E03"/>
    <w:rsid w:val="00210868"/>
    <w:rsid w:val="00210FE0"/>
    <w:rsid w:val="0021332C"/>
    <w:rsid w:val="00214D19"/>
    <w:rsid w:val="0021687C"/>
    <w:rsid w:val="00216A45"/>
    <w:rsid w:val="00224622"/>
    <w:rsid w:val="00224685"/>
    <w:rsid w:val="0022574F"/>
    <w:rsid w:val="002276CE"/>
    <w:rsid w:val="00232A10"/>
    <w:rsid w:val="002332D6"/>
    <w:rsid w:val="00233BE6"/>
    <w:rsid w:val="00233FB1"/>
    <w:rsid w:val="00234765"/>
    <w:rsid w:val="002348E3"/>
    <w:rsid w:val="00234C8C"/>
    <w:rsid w:val="00243B7D"/>
    <w:rsid w:val="002452B1"/>
    <w:rsid w:val="002463E1"/>
    <w:rsid w:val="0024640D"/>
    <w:rsid w:val="00247485"/>
    <w:rsid w:val="0025079B"/>
    <w:rsid w:val="00250865"/>
    <w:rsid w:val="002511EE"/>
    <w:rsid w:val="00251792"/>
    <w:rsid w:val="002519E5"/>
    <w:rsid w:val="0025434C"/>
    <w:rsid w:val="00255056"/>
    <w:rsid w:val="002561B4"/>
    <w:rsid w:val="00257152"/>
    <w:rsid w:val="00260FB7"/>
    <w:rsid w:val="00262B29"/>
    <w:rsid w:val="002630A6"/>
    <w:rsid w:val="002633E9"/>
    <w:rsid w:val="00264AE7"/>
    <w:rsid w:val="0026577A"/>
    <w:rsid w:val="00265DA3"/>
    <w:rsid w:val="0026641D"/>
    <w:rsid w:val="002705AE"/>
    <w:rsid w:val="00270DEC"/>
    <w:rsid w:val="002748BA"/>
    <w:rsid w:val="002765F4"/>
    <w:rsid w:val="00276CD4"/>
    <w:rsid w:val="00276EAE"/>
    <w:rsid w:val="0028212A"/>
    <w:rsid w:val="002827C0"/>
    <w:rsid w:val="0028287A"/>
    <w:rsid w:val="00282A09"/>
    <w:rsid w:val="0028479F"/>
    <w:rsid w:val="00285004"/>
    <w:rsid w:val="002857DA"/>
    <w:rsid w:val="00285B3D"/>
    <w:rsid w:val="00290E35"/>
    <w:rsid w:val="00291DC7"/>
    <w:rsid w:val="0029339C"/>
    <w:rsid w:val="00293E41"/>
    <w:rsid w:val="00293F39"/>
    <w:rsid w:val="002969A5"/>
    <w:rsid w:val="002979B6"/>
    <w:rsid w:val="002A081E"/>
    <w:rsid w:val="002A0A1B"/>
    <w:rsid w:val="002A4ACA"/>
    <w:rsid w:val="002A66ED"/>
    <w:rsid w:val="002A74D3"/>
    <w:rsid w:val="002B0B80"/>
    <w:rsid w:val="002B0BB0"/>
    <w:rsid w:val="002B11CD"/>
    <w:rsid w:val="002B29CE"/>
    <w:rsid w:val="002B747F"/>
    <w:rsid w:val="002B7DCA"/>
    <w:rsid w:val="002C00C7"/>
    <w:rsid w:val="002C1C42"/>
    <w:rsid w:val="002C232C"/>
    <w:rsid w:val="002C2596"/>
    <w:rsid w:val="002C4357"/>
    <w:rsid w:val="002C4647"/>
    <w:rsid w:val="002C4E78"/>
    <w:rsid w:val="002C5EED"/>
    <w:rsid w:val="002C5F5A"/>
    <w:rsid w:val="002D24F7"/>
    <w:rsid w:val="002D4B7A"/>
    <w:rsid w:val="002D689F"/>
    <w:rsid w:val="002E165F"/>
    <w:rsid w:val="002E2435"/>
    <w:rsid w:val="002E270E"/>
    <w:rsid w:val="002E54BE"/>
    <w:rsid w:val="002E7789"/>
    <w:rsid w:val="002F2A84"/>
    <w:rsid w:val="002F308C"/>
    <w:rsid w:val="002F6B32"/>
    <w:rsid w:val="002F73CF"/>
    <w:rsid w:val="002F7D26"/>
    <w:rsid w:val="0030020D"/>
    <w:rsid w:val="0030050E"/>
    <w:rsid w:val="003007DF"/>
    <w:rsid w:val="00300808"/>
    <w:rsid w:val="00300F05"/>
    <w:rsid w:val="00304322"/>
    <w:rsid w:val="003049B0"/>
    <w:rsid w:val="00306D04"/>
    <w:rsid w:val="003076F0"/>
    <w:rsid w:val="00312714"/>
    <w:rsid w:val="00312D66"/>
    <w:rsid w:val="00317EF6"/>
    <w:rsid w:val="0032007A"/>
    <w:rsid w:val="00320906"/>
    <w:rsid w:val="003219AE"/>
    <w:rsid w:val="00321F6D"/>
    <w:rsid w:val="003238A5"/>
    <w:rsid w:val="0032511E"/>
    <w:rsid w:val="00325202"/>
    <w:rsid w:val="003255B8"/>
    <w:rsid w:val="00326103"/>
    <w:rsid w:val="003271C0"/>
    <w:rsid w:val="00327BE7"/>
    <w:rsid w:val="00331CD9"/>
    <w:rsid w:val="0033258F"/>
    <w:rsid w:val="00332D18"/>
    <w:rsid w:val="00333330"/>
    <w:rsid w:val="003347DA"/>
    <w:rsid w:val="003350BB"/>
    <w:rsid w:val="00335217"/>
    <w:rsid w:val="00335D24"/>
    <w:rsid w:val="00340618"/>
    <w:rsid w:val="00340DE1"/>
    <w:rsid w:val="00347232"/>
    <w:rsid w:val="00350042"/>
    <w:rsid w:val="00350F8A"/>
    <w:rsid w:val="0035302E"/>
    <w:rsid w:val="0035305C"/>
    <w:rsid w:val="00355B67"/>
    <w:rsid w:val="00356825"/>
    <w:rsid w:val="00357A51"/>
    <w:rsid w:val="00357B1F"/>
    <w:rsid w:val="0036093F"/>
    <w:rsid w:val="00363136"/>
    <w:rsid w:val="00363A9E"/>
    <w:rsid w:val="00366AE8"/>
    <w:rsid w:val="003707A3"/>
    <w:rsid w:val="003712D4"/>
    <w:rsid w:val="00371A99"/>
    <w:rsid w:val="0037308C"/>
    <w:rsid w:val="0037363E"/>
    <w:rsid w:val="00373998"/>
    <w:rsid w:val="0037481D"/>
    <w:rsid w:val="00374D33"/>
    <w:rsid w:val="00374D87"/>
    <w:rsid w:val="0038046B"/>
    <w:rsid w:val="00381191"/>
    <w:rsid w:val="00386370"/>
    <w:rsid w:val="00386A11"/>
    <w:rsid w:val="00387797"/>
    <w:rsid w:val="00391745"/>
    <w:rsid w:val="00391C3C"/>
    <w:rsid w:val="00391D12"/>
    <w:rsid w:val="0039208F"/>
    <w:rsid w:val="00392D99"/>
    <w:rsid w:val="003944C3"/>
    <w:rsid w:val="0039466B"/>
    <w:rsid w:val="003948A1"/>
    <w:rsid w:val="0039520B"/>
    <w:rsid w:val="00395BF9"/>
    <w:rsid w:val="00397910"/>
    <w:rsid w:val="00397D9E"/>
    <w:rsid w:val="003A07DC"/>
    <w:rsid w:val="003A09CB"/>
    <w:rsid w:val="003A24D6"/>
    <w:rsid w:val="003A2E9B"/>
    <w:rsid w:val="003A37FB"/>
    <w:rsid w:val="003A3FA3"/>
    <w:rsid w:val="003A4620"/>
    <w:rsid w:val="003A4CC4"/>
    <w:rsid w:val="003A5D75"/>
    <w:rsid w:val="003B3B91"/>
    <w:rsid w:val="003B5CCC"/>
    <w:rsid w:val="003B69BB"/>
    <w:rsid w:val="003C052F"/>
    <w:rsid w:val="003C0BAE"/>
    <w:rsid w:val="003C1DF7"/>
    <w:rsid w:val="003C266B"/>
    <w:rsid w:val="003C270D"/>
    <w:rsid w:val="003C27D3"/>
    <w:rsid w:val="003C35FE"/>
    <w:rsid w:val="003C58A8"/>
    <w:rsid w:val="003C7A14"/>
    <w:rsid w:val="003D17EA"/>
    <w:rsid w:val="003D2487"/>
    <w:rsid w:val="003D3487"/>
    <w:rsid w:val="003D485A"/>
    <w:rsid w:val="003D4D45"/>
    <w:rsid w:val="003D51BD"/>
    <w:rsid w:val="003D56E6"/>
    <w:rsid w:val="003D690D"/>
    <w:rsid w:val="003D7080"/>
    <w:rsid w:val="003E0340"/>
    <w:rsid w:val="003E1A2C"/>
    <w:rsid w:val="003E23AF"/>
    <w:rsid w:val="003E257A"/>
    <w:rsid w:val="003E3BDE"/>
    <w:rsid w:val="003E4329"/>
    <w:rsid w:val="003E4AB5"/>
    <w:rsid w:val="003E56AC"/>
    <w:rsid w:val="003E7B81"/>
    <w:rsid w:val="003F130B"/>
    <w:rsid w:val="003F1635"/>
    <w:rsid w:val="003F1DA3"/>
    <w:rsid w:val="003F28D0"/>
    <w:rsid w:val="003F28FD"/>
    <w:rsid w:val="003F411E"/>
    <w:rsid w:val="003F487F"/>
    <w:rsid w:val="003F4DA8"/>
    <w:rsid w:val="003F5194"/>
    <w:rsid w:val="003F7134"/>
    <w:rsid w:val="00400F4F"/>
    <w:rsid w:val="004019E5"/>
    <w:rsid w:val="004024A0"/>
    <w:rsid w:val="00402729"/>
    <w:rsid w:val="00407D07"/>
    <w:rsid w:val="00411474"/>
    <w:rsid w:val="00412CC3"/>
    <w:rsid w:val="0041355D"/>
    <w:rsid w:val="00414286"/>
    <w:rsid w:val="00414A40"/>
    <w:rsid w:val="00414AEF"/>
    <w:rsid w:val="00421563"/>
    <w:rsid w:val="00425902"/>
    <w:rsid w:val="00425B9D"/>
    <w:rsid w:val="00426322"/>
    <w:rsid w:val="004271DA"/>
    <w:rsid w:val="0043112C"/>
    <w:rsid w:val="00434198"/>
    <w:rsid w:val="004350A1"/>
    <w:rsid w:val="004355C9"/>
    <w:rsid w:val="004401DA"/>
    <w:rsid w:val="004447AB"/>
    <w:rsid w:val="00444B58"/>
    <w:rsid w:val="00445ECF"/>
    <w:rsid w:val="004464F4"/>
    <w:rsid w:val="00446A5E"/>
    <w:rsid w:val="00447BAA"/>
    <w:rsid w:val="004508DC"/>
    <w:rsid w:val="00450925"/>
    <w:rsid w:val="00452EC7"/>
    <w:rsid w:val="0045375F"/>
    <w:rsid w:val="00456A7A"/>
    <w:rsid w:val="00463106"/>
    <w:rsid w:val="004636C1"/>
    <w:rsid w:val="00463BA6"/>
    <w:rsid w:val="004669AA"/>
    <w:rsid w:val="004700E3"/>
    <w:rsid w:val="0047100E"/>
    <w:rsid w:val="004723FC"/>
    <w:rsid w:val="004727F9"/>
    <w:rsid w:val="004733AC"/>
    <w:rsid w:val="00475676"/>
    <w:rsid w:val="00476E08"/>
    <w:rsid w:val="00480B40"/>
    <w:rsid w:val="00480E1D"/>
    <w:rsid w:val="004843B6"/>
    <w:rsid w:val="0048592D"/>
    <w:rsid w:val="00486E0D"/>
    <w:rsid w:val="00486ED8"/>
    <w:rsid w:val="00487608"/>
    <w:rsid w:val="00487B67"/>
    <w:rsid w:val="00492574"/>
    <w:rsid w:val="00493828"/>
    <w:rsid w:val="004938AC"/>
    <w:rsid w:val="00494663"/>
    <w:rsid w:val="004946D9"/>
    <w:rsid w:val="004947B4"/>
    <w:rsid w:val="0049488B"/>
    <w:rsid w:val="00494B79"/>
    <w:rsid w:val="00495BC6"/>
    <w:rsid w:val="00495CBA"/>
    <w:rsid w:val="004A289C"/>
    <w:rsid w:val="004A2E2F"/>
    <w:rsid w:val="004A376D"/>
    <w:rsid w:val="004A37F0"/>
    <w:rsid w:val="004A391C"/>
    <w:rsid w:val="004A7248"/>
    <w:rsid w:val="004A7991"/>
    <w:rsid w:val="004B0CEA"/>
    <w:rsid w:val="004B2343"/>
    <w:rsid w:val="004B283C"/>
    <w:rsid w:val="004B343E"/>
    <w:rsid w:val="004B3A25"/>
    <w:rsid w:val="004B478A"/>
    <w:rsid w:val="004B6031"/>
    <w:rsid w:val="004B7D12"/>
    <w:rsid w:val="004C0B20"/>
    <w:rsid w:val="004C12A8"/>
    <w:rsid w:val="004C164A"/>
    <w:rsid w:val="004C1E30"/>
    <w:rsid w:val="004C2A60"/>
    <w:rsid w:val="004C3C8A"/>
    <w:rsid w:val="004C4D9F"/>
    <w:rsid w:val="004C5E56"/>
    <w:rsid w:val="004C7E5B"/>
    <w:rsid w:val="004D0389"/>
    <w:rsid w:val="004D050E"/>
    <w:rsid w:val="004D0629"/>
    <w:rsid w:val="004D1D69"/>
    <w:rsid w:val="004D1EF1"/>
    <w:rsid w:val="004D21D2"/>
    <w:rsid w:val="004D5DA0"/>
    <w:rsid w:val="004E29AC"/>
    <w:rsid w:val="004E3378"/>
    <w:rsid w:val="004E3AB1"/>
    <w:rsid w:val="004E5030"/>
    <w:rsid w:val="004F00E0"/>
    <w:rsid w:val="004F1A59"/>
    <w:rsid w:val="004F239C"/>
    <w:rsid w:val="004F2AB1"/>
    <w:rsid w:val="004F7B1D"/>
    <w:rsid w:val="004F7E37"/>
    <w:rsid w:val="005000B6"/>
    <w:rsid w:val="00500697"/>
    <w:rsid w:val="00500DFF"/>
    <w:rsid w:val="005059D3"/>
    <w:rsid w:val="00506307"/>
    <w:rsid w:val="005067F1"/>
    <w:rsid w:val="0051035C"/>
    <w:rsid w:val="005114EB"/>
    <w:rsid w:val="00512F6E"/>
    <w:rsid w:val="00513E14"/>
    <w:rsid w:val="005140AD"/>
    <w:rsid w:val="00515766"/>
    <w:rsid w:val="005167B8"/>
    <w:rsid w:val="00516E98"/>
    <w:rsid w:val="00517AEF"/>
    <w:rsid w:val="00517B13"/>
    <w:rsid w:val="00521DEB"/>
    <w:rsid w:val="00521E0E"/>
    <w:rsid w:val="00522593"/>
    <w:rsid w:val="005227C4"/>
    <w:rsid w:val="005239D1"/>
    <w:rsid w:val="00525B1A"/>
    <w:rsid w:val="00526180"/>
    <w:rsid w:val="00527A00"/>
    <w:rsid w:val="00530F4B"/>
    <w:rsid w:val="005319AE"/>
    <w:rsid w:val="00533451"/>
    <w:rsid w:val="0053376C"/>
    <w:rsid w:val="005355B3"/>
    <w:rsid w:val="00536122"/>
    <w:rsid w:val="0053640C"/>
    <w:rsid w:val="00537833"/>
    <w:rsid w:val="005417E6"/>
    <w:rsid w:val="00541E0C"/>
    <w:rsid w:val="00542559"/>
    <w:rsid w:val="00543B72"/>
    <w:rsid w:val="00543E15"/>
    <w:rsid w:val="00544650"/>
    <w:rsid w:val="005472F9"/>
    <w:rsid w:val="00551849"/>
    <w:rsid w:val="00551DB5"/>
    <w:rsid w:val="0055200A"/>
    <w:rsid w:val="00552919"/>
    <w:rsid w:val="005535F4"/>
    <w:rsid w:val="0055401C"/>
    <w:rsid w:val="005543BC"/>
    <w:rsid w:val="00556908"/>
    <w:rsid w:val="005611E9"/>
    <w:rsid w:val="00561F00"/>
    <w:rsid w:val="00562C48"/>
    <w:rsid w:val="00565E8A"/>
    <w:rsid w:val="00565F8E"/>
    <w:rsid w:val="005665B8"/>
    <w:rsid w:val="00566B19"/>
    <w:rsid w:val="00566B67"/>
    <w:rsid w:val="00567864"/>
    <w:rsid w:val="0057070D"/>
    <w:rsid w:val="00572D99"/>
    <w:rsid w:val="00573A82"/>
    <w:rsid w:val="0057420D"/>
    <w:rsid w:val="0057478C"/>
    <w:rsid w:val="0057503A"/>
    <w:rsid w:val="00575D8A"/>
    <w:rsid w:val="00576E4A"/>
    <w:rsid w:val="00577C97"/>
    <w:rsid w:val="005802F2"/>
    <w:rsid w:val="00580335"/>
    <w:rsid w:val="00580419"/>
    <w:rsid w:val="00580657"/>
    <w:rsid w:val="0058070C"/>
    <w:rsid w:val="00581AF6"/>
    <w:rsid w:val="005835F8"/>
    <w:rsid w:val="00583AE0"/>
    <w:rsid w:val="00584190"/>
    <w:rsid w:val="00587462"/>
    <w:rsid w:val="005912E7"/>
    <w:rsid w:val="00594B86"/>
    <w:rsid w:val="005964E3"/>
    <w:rsid w:val="00597712"/>
    <w:rsid w:val="005978CE"/>
    <w:rsid w:val="00597B6C"/>
    <w:rsid w:val="005A186C"/>
    <w:rsid w:val="005A3B44"/>
    <w:rsid w:val="005A4D13"/>
    <w:rsid w:val="005A6612"/>
    <w:rsid w:val="005A7885"/>
    <w:rsid w:val="005B2E46"/>
    <w:rsid w:val="005B4543"/>
    <w:rsid w:val="005B47D9"/>
    <w:rsid w:val="005B57D4"/>
    <w:rsid w:val="005B600E"/>
    <w:rsid w:val="005B6EB9"/>
    <w:rsid w:val="005B7CBB"/>
    <w:rsid w:val="005C098C"/>
    <w:rsid w:val="005C1DD1"/>
    <w:rsid w:val="005C2D70"/>
    <w:rsid w:val="005C3ED3"/>
    <w:rsid w:val="005C3FAC"/>
    <w:rsid w:val="005C4D59"/>
    <w:rsid w:val="005C6A3B"/>
    <w:rsid w:val="005D121C"/>
    <w:rsid w:val="005D2777"/>
    <w:rsid w:val="005D32AF"/>
    <w:rsid w:val="005D351C"/>
    <w:rsid w:val="005D42AE"/>
    <w:rsid w:val="005D6703"/>
    <w:rsid w:val="005D6CF2"/>
    <w:rsid w:val="005E00C6"/>
    <w:rsid w:val="005E2B3C"/>
    <w:rsid w:val="005E2B56"/>
    <w:rsid w:val="005E51A6"/>
    <w:rsid w:val="005E5DD6"/>
    <w:rsid w:val="005E6C8E"/>
    <w:rsid w:val="005E763D"/>
    <w:rsid w:val="005F1C3A"/>
    <w:rsid w:val="005F380D"/>
    <w:rsid w:val="005F424D"/>
    <w:rsid w:val="005F6750"/>
    <w:rsid w:val="005F7456"/>
    <w:rsid w:val="006026D8"/>
    <w:rsid w:val="006032C4"/>
    <w:rsid w:val="006042A7"/>
    <w:rsid w:val="00604B2E"/>
    <w:rsid w:val="00604F00"/>
    <w:rsid w:val="0061018D"/>
    <w:rsid w:val="00611F93"/>
    <w:rsid w:val="00613442"/>
    <w:rsid w:val="00615C60"/>
    <w:rsid w:val="00615F15"/>
    <w:rsid w:val="00620D97"/>
    <w:rsid w:val="00620E2C"/>
    <w:rsid w:val="006216A9"/>
    <w:rsid w:val="00623EFF"/>
    <w:rsid w:val="00624678"/>
    <w:rsid w:val="00624E14"/>
    <w:rsid w:val="00625A40"/>
    <w:rsid w:val="00625C43"/>
    <w:rsid w:val="00626527"/>
    <w:rsid w:val="00627F89"/>
    <w:rsid w:val="0063113D"/>
    <w:rsid w:val="00633475"/>
    <w:rsid w:val="00633F36"/>
    <w:rsid w:val="00634A37"/>
    <w:rsid w:val="0063754E"/>
    <w:rsid w:val="00640367"/>
    <w:rsid w:val="0064183D"/>
    <w:rsid w:val="00642323"/>
    <w:rsid w:val="00643084"/>
    <w:rsid w:val="0064335F"/>
    <w:rsid w:val="00643569"/>
    <w:rsid w:val="00647DAE"/>
    <w:rsid w:val="006507EC"/>
    <w:rsid w:val="00650A08"/>
    <w:rsid w:val="00650B52"/>
    <w:rsid w:val="00651692"/>
    <w:rsid w:val="00654481"/>
    <w:rsid w:val="00654A13"/>
    <w:rsid w:val="006555C5"/>
    <w:rsid w:val="0065645C"/>
    <w:rsid w:val="00656593"/>
    <w:rsid w:val="006606BE"/>
    <w:rsid w:val="00661C46"/>
    <w:rsid w:val="0066248A"/>
    <w:rsid w:val="00663FE1"/>
    <w:rsid w:val="00664202"/>
    <w:rsid w:val="00665587"/>
    <w:rsid w:val="006656BC"/>
    <w:rsid w:val="006656BF"/>
    <w:rsid w:val="00666096"/>
    <w:rsid w:val="00667CEB"/>
    <w:rsid w:val="00670599"/>
    <w:rsid w:val="00674274"/>
    <w:rsid w:val="0067451B"/>
    <w:rsid w:val="006746F7"/>
    <w:rsid w:val="0068343F"/>
    <w:rsid w:val="00685030"/>
    <w:rsid w:val="006910E7"/>
    <w:rsid w:val="00693113"/>
    <w:rsid w:val="00693D9A"/>
    <w:rsid w:val="006952C5"/>
    <w:rsid w:val="00696A72"/>
    <w:rsid w:val="00697E8C"/>
    <w:rsid w:val="006A21D3"/>
    <w:rsid w:val="006A2A84"/>
    <w:rsid w:val="006A3200"/>
    <w:rsid w:val="006A5D52"/>
    <w:rsid w:val="006A6C66"/>
    <w:rsid w:val="006B07A9"/>
    <w:rsid w:val="006B0B25"/>
    <w:rsid w:val="006B0EDA"/>
    <w:rsid w:val="006B3138"/>
    <w:rsid w:val="006B373A"/>
    <w:rsid w:val="006B6973"/>
    <w:rsid w:val="006B6DE0"/>
    <w:rsid w:val="006C04FD"/>
    <w:rsid w:val="006C0D8F"/>
    <w:rsid w:val="006C1279"/>
    <w:rsid w:val="006C2080"/>
    <w:rsid w:val="006C2BD7"/>
    <w:rsid w:val="006C5AC5"/>
    <w:rsid w:val="006D08DC"/>
    <w:rsid w:val="006D18EF"/>
    <w:rsid w:val="006D1941"/>
    <w:rsid w:val="006D224A"/>
    <w:rsid w:val="006D2BDE"/>
    <w:rsid w:val="006D410F"/>
    <w:rsid w:val="006D6403"/>
    <w:rsid w:val="006D66DA"/>
    <w:rsid w:val="006D6CEC"/>
    <w:rsid w:val="006E0143"/>
    <w:rsid w:val="006E508A"/>
    <w:rsid w:val="006E5C1D"/>
    <w:rsid w:val="006E67A9"/>
    <w:rsid w:val="006E7E60"/>
    <w:rsid w:val="006E7FF5"/>
    <w:rsid w:val="006F0B6B"/>
    <w:rsid w:val="006F0FF4"/>
    <w:rsid w:val="006F2B88"/>
    <w:rsid w:val="006F3D07"/>
    <w:rsid w:val="006F4461"/>
    <w:rsid w:val="006F5359"/>
    <w:rsid w:val="0070020B"/>
    <w:rsid w:val="00700F5E"/>
    <w:rsid w:val="0070249E"/>
    <w:rsid w:val="00703160"/>
    <w:rsid w:val="007054B0"/>
    <w:rsid w:val="00705D98"/>
    <w:rsid w:val="007065EE"/>
    <w:rsid w:val="00706CDA"/>
    <w:rsid w:val="00707823"/>
    <w:rsid w:val="00711F49"/>
    <w:rsid w:val="00712810"/>
    <w:rsid w:val="00714A53"/>
    <w:rsid w:val="0072020F"/>
    <w:rsid w:val="00723329"/>
    <w:rsid w:val="00724447"/>
    <w:rsid w:val="00724B28"/>
    <w:rsid w:val="0073031C"/>
    <w:rsid w:val="00734A82"/>
    <w:rsid w:val="00734CF4"/>
    <w:rsid w:val="00735411"/>
    <w:rsid w:val="00735C1A"/>
    <w:rsid w:val="00736EAA"/>
    <w:rsid w:val="00736FE4"/>
    <w:rsid w:val="00740DC2"/>
    <w:rsid w:val="007432D8"/>
    <w:rsid w:val="00743701"/>
    <w:rsid w:val="0074791E"/>
    <w:rsid w:val="007512C0"/>
    <w:rsid w:val="00751649"/>
    <w:rsid w:val="00753D1A"/>
    <w:rsid w:val="00753E44"/>
    <w:rsid w:val="00764234"/>
    <w:rsid w:val="0076737F"/>
    <w:rsid w:val="0077063E"/>
    <w:rsid w:val="007706A9"/>
    <w:rsid w:val="00770888"/>
    <w:rsid w:val="00771ADD"/>
    <w:rsid w:val="00771B71"/>
    <w:rsid w:val="0077437B"/>
    <w:rsid w:val="00776D6D"/>
    <w:rsid w:val="007805F3"/>
    <w:rsid w:val="007811DF"/>
    <w:rsid w:val="00782A76"/>
    <w:rsid w:val="00782C84"/>
    <w:rsid w:val="00782E36"/>
    <w:rsid w:val="007837AB"/>
    <w:rsid w:val="00783BF3"/>
    <w:rsid w:val="007864E1"/>
    <w:rsid w:val="0079042A"/>
    <w:rsid w:val="007906A0"/>
    <w:rsid w:val="0079116E"/>
    <w:rsid w:val="0079392D"/>
    <w:rsid w:val="00795832"/>
    <w:rsid w:val="00795F12"/>
    <w:rsid w:val="00796B6D"/>
    <w:rsid w:val="00797AD4"/>
    <w:rsid w:val="007A089E"/>
    <w:rsid w:val="007A279D"/>
    <w:rsid w:val="007A4AEE"/>
    <w:rsid w:val="007A4CB7"/>
    <w:rsid w:val="007A4E69"/>
    <w:rsid w:val="007A7E63"/>
    <w:rsid w:val="007B0945"/>
    <w:rsid w:val="007B0C9A"/>
    <w:rsid w:val="007B2B82"/>
    <w:rsid w:val="007B459E"/>
    <w:rsid w:val="007B572A"/>
    <w:rsid w:val="007B5CDE"/>
    <w:rsid w:val="007B6617"/>
    <w:rsid w:val="007B6933"/>
    <w:rsid w:val="007C0C52"/>
    <w:rsid w:val="007C2A69"/>
    <w:rsid w:val="007C2FC6"/>
    <w:rsid w:val="007C3FE4"/>
    <w:rsid w:val="007C4BC0"/>
    <w:rsid w:val="007C5574"/>
    <w:rsid w:val="007D0E88"/>
    <w:rsid w:val="007D125D"/>
    <w:rsid w:val="007D5B94"/>
    <w:rsid w:val="007D6F6D"/>
    <w:rsid w:val="007E0BF6"/>
    <w:rsid w:val="007E15E5"/>
    <w:rsid w:val="007E1AD8"/>
    <w:rsid w:val="007E2C03"/>
    <w:rsid w:val="007E3005"/>
    <w:rsid w:val="007F06FC"/>
    <w:rsid w:val="007F1871"/>
    <w:rsid w:val="007F1E46"/>
    <w:rsid w:val="007F3E24"/>
    <w:rsid w:val="007F415B"/>
    <w:rsid w:val="007F6207"/>
    <w:rsid w:val="007F6516"/>
    <w:rsid w:val="007F735C"/>
    <w:rsid w:val="007F746F"/>
    <w:rsid w:val="007F77CD"/>
    <w:rsid w:val="007F77E6"/>
    <w:rsid w:val="007F7871"/>
    <w:rsid w:val="007F79FF"/>
    <w:rsid w:val="008021E2"/>
    <w:rsid w:val="008022B3"/>
    <w:rsid w:val="00803790"/>
    <w:rsid w:val="00803ACE"/>
    <w:rsid w:val="00803CFC"/>
    <w:rsid w:val="008044ED"/>
    <w:rsid w:val="00806749"/>
    <w:rsid w:val="00806B7E"/>
    <w:rsid w:val="0081108C"/>
    <w:rsid w:val="0081544B"/>
    <w:rsid w:val="00815631"/>
    <w:rsid w:val="00815796"/>
    <w:rsid w:val="0082009D"/>
    <w:rsid w:val="00820DC8"/>
    <w:rsid w:val="00820F9A"/>
    <w:rsid w:val="008223BC"/>
    <w:rsid w:val="0082380B"/>
    <w:rsid w:val="00825C8B"/>
    <w:rsid w:val="0083002E"/>
    <w:rsid w:val="00834350"/>
    <w:rsid w:val="008344E9"/>
    <w:rsid w:val="00835395"/>
    <w:rsid w:val="008354CC"/>
    <w:rsid w:val="008357E0"/>
    <w:rsid w:val="00836762"/>
    <w:rsid w:val="00836D0F"/>
    <w:rsid w:val="00840FE6"/>
    <w:rsid w:val="00843B02"/>
    <w:rsid w:val="00843B8B"/>
    <w:rsid w:val="0084478F"/>
    <w:rsid w:val="00846E58"/>
    <w:rsid w:val="00847CD3"/>
    <w:rsid w:val="00852507"/>
    <w:rsid w:val="00854190"/>
    <w:rsid w:val="00854277"/>
    <w:rsid w:val="008547AA"/>
    <w:rsid w:val="00856E7F"/>
    <w:rsid w:val="008577BE"/>
    <w:rsid w:val="008577E3"/>
    <w:rsid w:val="00860A4D"/>
    <w:rsid w:val="00860F0F"/>
    <w:rsid w:val="008625D4"/>
    <w:rsid w:val="00862B98"/>
    <w:rsid w:val="008650DB"/>
    <w:rsid w:val="00865E59"/>
    <w:rsid w:val="0087203D"/>
    <w:rsid w:val="00872182"/>
    <w:rsid w:val="00873633"/>
    <w:rsid w:val="00873F4E"/>
    <w:rsid w:val="0087496F"/>
    <w:rsid w:val="008761A5"/>
    <w:rsid w:val="00876289"/>
    <w:rsid w:val="00876DAD"/>
    <w:rsid w:val="00877690"/>
    <w:rsid w:val="008820B9"/>
    <w:rsid w:val="00883F2C"/>
    <w:rsid w:val="008840B9"/>
    <w:rsid w:val="00885D97"/>
    <w:rsid w:val="008869FC"/>
    <w:rsid w:val="00890C9E"/>
    <w:rsid w:val="0089274F"/>
    <w:rsid w:val="00892890"/>
    <w:rsid w:val="008933A2"/>
    <w:rsid w:val="008940D4"/>
    <w:rsid w:val="00894678"/>
    <w:rsid w:val="00894E0A"/>
    <w:rsid w:val="00897BFA"/>
    <w:rsid w:val="008A1335"/>
    <w:rsid w:val="008A4163"/>
    <w:rsid w:val="008A61BF"/>
    <w:rsid w:val="008A7B4B"/>
    <w:rsid w:val="008B1994"/>
    <w:rsid w:val="008B1DF7"/>
    <w:rsid w:val="008B2F10"/>
    <w:rsid w:val="008B3BF0"/>
    <w:rsid w:val="008B7BFD"/>
    <w:rsid w:val="008C10C0"/>
    <w:rsid w:val="008C1847"/>
    <w:rsid w:val="008C2113"/>
    <w:rsid w:val="008C424C"/>
    <w:rsid w:val="008C4C54"/>
    <w:rsid w:val="008C4ED4"/>
    <w:rsid w:val="008C65A3"/>
    <w:rsid w:val="008C7B22"/>
    <w:rsid w:val="008D2F91"/>
    <w:rsid w:val="008D51F9"/>
    <w:rsid w:val="008D63A7"/>
    <w:rsid w:val="008D6E54"/>
    <w:rsid w:val="008E4EE1"/>
    <w:rsid w:val="008E5809"/>
    <w:rsid w:val="008E6582"/>
    <w:rsid w:val="008E6B6C"/>
    <w:rsid w:val="008E6D86"/>
    <w:rsid w:val="008F16A5"/>
    <w:rsid w:val="00900689"/>
    <w:rsid w:val="00902B14"/>
    <w:rsid w:val="00903E66"/>
    <w:rsid w:val="009040B7"/>
    <w:rsid w:val="0090490F"/>
    <w:rsid w:val="009055AB"/>
    <w:rsid w:val="00906020"/>
    <w:rsid w:val="00906AFA"/>
    <w:rsid w:val="00911A5B"/>
    <w:rsid w:val="00911B58"/>
    <w:rsid w:val="009126CF"/>
    <w:rsid w:val="00913E1A"/>
    <w:rsid w:val="009149AF"/>
    <w:rsid w:val="009152AA"/>
    <w:rsid w:val="00915CA2"/>
    <w:rsid w:val="00916F34"/>
    <w:rsid w:val="009172EF"/>
    <w:rsid w:val="00917C6A"/>
    <w:rsid w:val="00920556"/>
    <w:rsid w:val="0092353E"/>
    <w:rsid w:val="00925235"/>
    <w:rsid w:val="00925CCB"/>
    <w:rsid w:val="0092728D"/>
    <w:rsid w:val="009279B2"/>
    <w:rsid w:val="00930824"/>
    <w:rsid w:val="00933E79"/>
    <w:rsid w:val="00934CF1"/>
    <w:rsid w:val="009358A0"/>
    <w:rsid w:val="0093674F"/>
    <w:rsid w:val="00936C33"/>
    <w:rsid w:val="00936D31"/>
    <w:rsid w:val="00941332"/>
    <w:rsid w:val="009416BB"/>
    <w:rsid w:val="00942BF9"/>
    <w:rsid w:val="00943AF4"/>
    <w:rsid w:val="00943CEC"/>
    <w:rsid w:val="00944130"/>
    <w:rsid w:val="0094558C"/>
    <w:rsid w:val="009464AA"/>
    <w:rsid w:val="009505D6"/>
    <w:rsid w:val="00951F16"/>
    <w:rsid w:val="00952709"/>
    <w:rsid w:val="00953E8A"/>
    <w:rsid w:val="00954F0C"/>
    <w:rsid w:val="00955223"/>
    <w:rsid w:val="00956F09"/>
    <w:rsid w:val="009605C4"/>
    <w:rsid w:val="009611D3"/>
    <w:rsid w:val="00961249"/>
    <w:rsid w:val="00961A60"/>
    <w:rsid w:val="00962CD1"/>
    <w:rsid w:val="009656E7"/>
    <w:rsid w:val="00967852"/>
    <w:rsid w:val="00973252"/>
    <w:rsid w:val="00973D9C"/>
    <w:rsid w:val="00973F21"/>
    <w:rsid w:val="009758EF"/>
    <w:rsid w:val="00975AE7"/>
    <w:rsid w:val="00975B0E"/>
    <w:rsid w:val="00975C94"/>
    <w:rsid w:val="009777B1"/>
    <w:rsid w:val="00977B55"/>
    <w:rsid w:val="0098135A"/>
    <w:rsid w:val="00981CF8"/>
    <w:rsid w:val="009820C6"/>
    <w:rsid w:val="0098322F"/>
    <w:rsid w:val="00984C10"/>
    <w:rsid w:val="00985078"/>
    <w:rsid w:val="00986A85"/>
    <w:rsid w:val="00986F13"/>
    <w:rsid w:val="009872EA"/>
    <w:rsid w:val="00987428"/>
    <w:rsid w:val="009876C1"/>
    <w:rsid w:val="00990CC9"/>
    <w:rsid w:val="00993011"/>
    <w:rsid w:val="00993A4E"/>
    <w:rsid w:val="00994902"/>
    <w:rsid w:val="00994E53"/>
    <w:rsid w:val="00995192"/>
    <w:rsid w:val="00995C7E"/>
    <w:rsid w:val="00996B27"/>
    <w:rsid w:val="00997BEF"/>
    <w:rsid w:val="00997E51"/>
    <w:rsid w:val="009A1EA0"/>
    <w:rsid w:val="009A2021"/>
    <w:rsid w:val="009A40F3"/>
    <w:rsid w:val="009A557D"/>
    <w:rsid w:val="009A764B"/>
    <w:rsid w:val="009A76BF"/>
    <w:rsid w:val="009B5A5A"/>
    <w:rsid w:val="009B70EF"/>
    <w:rsid w:val="009B76BA"/>
    <w:rsid w:val="009B7988"/>
    <w:rsid w:val="009B7E5D"/>
    <w:rsid w:val="009C005D"/>
    <w:rsid w:val="009C0D89"/>
    <w:rsid w:val="009C0F24"/>
    <w:rsid w:val="009C1A77"/>
    <w:rsid w:val="009C1DC0"/>
    <w:rsid w:val="009C325B"/>
    <w:rsid w:val="009C4BF9"/>
    <w:rsid w:val="009C6914"/>
    <w:rsid w:val="009D1461"/>
    <w:rsid w:val="009D203E"/>
    <w:rsid w:val="009D611A"/>
    <w:rsid w:val="009D7357"/>
    <w:rsid w:val="009E3CCB"/>
    <w:rsid w:val="009E503A"/>
    <w:rsid w:val="009F15DE"/>
    <w:rsid w:val="009F1977"/>
    <w:rsid w:val="009F2B43"/>
    <w:rsid w:val="009F2BD6"/>
    <w:rsid w:val="009F337A"/>
    <w:rsid w:val="009F3FB5"/>
    <w:rsid w:val="009F42C7"/>
    <w:rsid w:val="009F4AD2"/>
    <w:rsid w:val="009F4F79"/>
    <w:rsid w:val="009F6803"/>
    <w:rsid w:val="009F7E99"/>
    <w:rsid w:val="00A01CB4"/>
    <w:rsid w:val="00A01E11"/>
    <w:rsid w:val="00A042AB"/>
    <w:rsid w:val="00A047AA"/>
    <w:rsid w:val="00A06EE6"/>
    <w:rsid w:val="00A0707B"/>
    <w:rsid w:val="00A076CE"/>
    <w:rsid w:val="00A10DAC"/>
    <w:rsid w:val="00A11778"/>
    <w:rsid w:val="00A1327E"/>
    <w:rsid w:val="00A1363E"/>
    <w:rsid w:val="00A14BD4"/>
    <w:rsid w:val="00A1526D"/>
    <w:rsid w:val="00A153BE"/>
    <w:rsid w:val="00A15787"/>
    <w:rsid w:val="00A16D7C"/>
    <w:rsid w:val="00A1751C"/>
    <w:rsid w:val="00A200EF"/>
    <w:rsid w:val="00A201D8"/>
    <w:rsid w:val="00A209F9"/>
    <w:rsid w:val="00A20C81"/>
    <w:rsid w:val="00A23942"/>
    <w:rsid w:val="00A23CC4"/>
    <w:rsid w:val="00A24626"/>
    <w:rsid w:val="00A26817"/>
    <w:rsid w:val="00A308FC"/>
    <w:rsid w:val="00A32464"/>
    <w:rsid w:val="00A3274D"/>
    <w:rsid w:val="00A34F3E"/>
    <w:rsid w:val="00A3514C"/>
    <w:rsid w:val="00A36FEF"/>
    <w:rsid w:val="00A40431"/>
    <w:rsid w:val="00A404AC"/>
    <w:rsid w:val="00A409CB"/>
    <w:rsid w:val="00A411E1"/>
    <w:rsid w:val="00A4246B"/>
    <w:rsid w:val="00A4298D"/>
    <w:rsid w:val="00A44325"/>
    <w:rsid w:val="00A53A4F"/>
    <w:rsid w:val="00A54552"/>
    <w:rsid w:val="00A6094F"/>
    <w:rsid w:val="00A61D3A"/>
    <w:rsid w:val="00A62FCD"/>
    <w:rsid w:val="00A6558B"/>
    <w:rsid w:val="00A65F2C"/>
    <w:rsid w:val="00A677D0"/>
    <w:rsid w:val="00A72F36"/>
    <w:rsid w:val="00A73ED1"/>
    <w:rsid w:val="00A741D2"/>
    <w:rsid w:val="00A744A5"/>
    <w:rsid w:val="00A814D1"/>
    <w:rsid w:val="00A82210"/>
    <w:rsid w:val="00A82C64"/>
    <w:rsid w:val="00A83881"/>
    <w:rsid w:val="00A84F6E"/>
    <w:rsid w:val="00A8542F"/>
    <w:rsid w:val="00A855DF"/>
    <w:rsid w:val="00A85667"/>
    <w:rsid w:val="00A86184"/>
    <w:rsid w:val="00A8654F"/>
    <w:rsid w:val="00A866DE"/>
    <w:rsid w:val="00A90D32"/>
    <w:rsid w:val="00A92F17"/>
    <w:rsid w:val="00A9550A"/>
    <w:rsid w:val="00A97ABC"/>
    <w:rsid w:val="00AA17A9"/>
    <w:rsid w:val="00AA1EE2"/>
    <w:rsid w:val="00AA2658"/>
    <w:rsid w:val="00AA3AFD"/>
    <w:rsid w:val="00AA44CD"/>
    <w:rsid w:val="00AA5403"/>
    <w:rsid w:val="00AA5B4D"/>
    <w:rsid w:val="00AB0B15"/>
    <w:rsid w:val="00AB27BD"/>
    <w:rsid w:val="00AB44E2"/>
    <w:rsid w:val="00AB53B6"/>
    <w:rsid w:val="00AB5ADC"/>
    <w:rsid w:val="00AB6973"/>
    <w:rsid w:val="00AB6F5B"/>
    <w:rsid w:val="00AC0C0B"/>
    <w:rsid w:val="00AC13A5"/>
    <w:rsid w:val="00AC2ADC"/>
    <w:rsid w:val="00AC3AD7"/>
    <w:rsid w:val="00AC6025"/>
    <w:rsid w:val="00AC750F"/>
    <w:rsid w:val="00AC7FEC"/>
    <w:rsid w:val="00AD0865"/>
    <w:rsid w:val="00AD243C"/>
    <w:rsid w:val="00AD263D"/>
    <w:rsid w:val="00AD3B81"/>
    <w:rsid w:val="00AD581F"/>
    <w:rsid w:val="00AD6F7C"/>
    <w:rsid w:val="00AD72FF"/>
    <w:rsid w:val="00AD77E7"/>
    <w:rsid w:val="00AD7A0A"/>
    <w:rsid w:val="00AE2029"/>
    <w:rsid w:val="00AE22F1"/>
    <w:rsid w:val="00AE3A42"/>
    <w:rsid w:val="00AE6E89"/>
    <w:rsid w:val="00AE79DF"/>
    <w:rsid w:val="00AE7D45"/>
    <w:rsid w:val="00AF08EF"/>
    <w:rsid w:val="00AF1D48"/>
    <w:rsid w:val="00AF360B"/>
    <w:rsid w:val="00AF38EC"/>
    <w:rsid w:val="00AF5280"/>
    <w:rsid w:val="00AF6E85"/>
    <w:rsid w:val="00AF746E"/>
    <w:rsid w:val="00B012A4"/>
    <w:rsid w:val="00B0395A"/>
    <w:rsid w:val="00B05860"/>
    <w:rsid w:val="00B059B8"/>
    <w:rsid w:val="00B060D1"/>
    <w:rsid w:val="00B06B84"/>
    <w:rsid w:val="00B0799F"/>
    <w:rsid w:val="00B10B4F"/>
    <w:rsid w:val="00B11EA0"/>
    <w:rsid w:val="00B15ADB"/>
    <w:rsid w:val="00B1611C"/>
    <w:rsid w:val="00B16A6B"/>
    <w:rsid w:val="00B16F09"/>
    <w:rsid w:val="00B1703B"/>
    <w:rsid w:val="00B20D1A"/>
    <w:rsid w:val="00B212DB"/>
    <w:rsid w:val="00B21932"/>
    <w:rsid w:val="00B22AB2"/>
    <w:rsid w:val="00B23147"/>
    <w:rsid w:val="00B235BA"/>
    <w:rsid w:val="00B27B31"/>
    <w:rsid w:val="00B27B63"/>
    <w:rsid w:val="00B33F45"/>
    <w:rsid w:val="00B3445C"/>
    <w:rsid w:val="00B34B11"/>
    <w:rsid w:val="00B361F5"/>
    <w:rsid w:val="00B37D64"/>
    <w:rsid w:val="00B400DA"/>
    <w:rsid w:val="00B40F54"/>
    <w:rsid w:val="00B4519F"/>
    <w:rsid w:val="00B4582B"/>
    <w:rsid w:val="00B45841"/>
    <w:rsid w:val="00B46D40"/>
    <w:rsid w:val="00B46FCD"/>
    <w:rsid w:val="00B5072A"/>
    <w:rsid w:val="00B50D0A"/>
    <w:rsid w:val="00B523D1"/>
    <w:rsid w:val="00B546F7"/>
    <w:rsid w:val="00B54DD3"/>
    <w:rsid w:val="00B603E2"/>
    <w:rsid w:val="00B60416"/>
    <w:rsid w:val="00B62E7B"/>
    <w:rsid w:val="00B650A7"/>
    <w:rsid w:val="00B6668A"/>
    <w:rsid w:val="00B67135"/>
    <w:rsid w:val="00B67D39"/>
    <w:rsid w:val="00B70DE0"/>
    <w:rsid w:val="00B722FD"/>
    <w:rsid w:val="00B7382A"/>
    <w:rsid w:val="00B73860"/>
    <w:rsid w:val="00B73E80"/>
    <w:rsid w:val="00B74607"/>
    <w:rsid w:val="00B74982"/>
    <w:rsid w:val="00B752CF"/>
    <w:rsid w:val="00B7710D"/>
    <w:rsid w:val="00B804DF"/>
    <w:rsid w:val="00B81F92"/>
    <w:rsid w:val="00B81FB8"/>
    <w:rsid w:val="00B821C6"/>
    <w:rsid w:val="00B84663"/>
    <w:rsid w:val="00B86891"/>
    <w:rsid w:val="00B87724"/>
    <w:rsid w:val="00B93495"/>
    <w:rsid w:val="00B9371F"/>
    <w:rsid w:val="00B95C2A"/>
    <w:rsid w:val="00B97481"/>
    <w:rsid w:val="00BA5942"/>
    <w:rsid w:val="00BA638E"/>
    <w:rsid w:val="00BA74DB"/>
    <w:rsid w:val="00BA757F"/>
    <w:rsid w:val="00BA7785"/>
    <w:rsid w:val="00BA787C"/>
    <w:rsid w:val="00BB159E"/>
    <w:rsid w:val="00BB19E1"/>
    <w:rsid w:val="00BB2494"/>
    <w:rsid w:val="00BB26D9"/>
    <w:rsid w:val="00BB389C"/>
    <w:rsid w:val="00BB478C"/>
    <w:rsid w:val="00BB7B97"/>
    <w:rsid w:val="00BB7CD9"/>
    <w:rsid w:val="00BC04A7"/>
    <w:rsid w:val="00BC14C4"/>
    <w:rsid w:val="00BC26E6"/>
    <w:rsid w:val="00BC2BC1"/>
    <w:rsid w:val="00BC39D1"/>
    <w:rsid w:val="00BC551C"/>
    <w:rsid w:val="00BC5BF6"/>
    <w:rsid w:val="00BD0779"/>
    <w:rsid w:val="00BD1A9A"/>
    <w:rsid w:val="00BD1F95"/>
    <w:rsid w:val="00BD36E5"/>
    <w:rsid w:val="00BD3B93"/>
    <w:rsid w:val="00BD4255"/>
    <w:rsid w:val="00BD4458"/>
    <w:rsid w:val="00BD6541"/>
    <w:rsid w:val="00BD6BE2"/>
    <w:rsid w:val="00BE00EA"/>
    <w:rsid w:val="00BE104B"/>
    <w:rsid w:val="00BE1CDC"/>
    <w:rsid w:val="00BE2A47"/>
    <w:rsid w:val="00BE426F"/>
    <w:rsid w:val="00BE58F9"/>
    <w:rsid w:val="00BE7400"/>
    <w:rsid w:val="00BE7800"/>
    <w:rsid w:val="00BE7831"/>
    <w:rsid w:val="00BE7D45"/>
    <w:rsid w:val="00BF0276"/>
    <w:rsid w:val="00BF08BA"/>
    <w:rsid w:val="00BF1A14"/>
    <w:rsid w:val="00BF3A94"/>
    <w:rsid w:val="00BF7002"/>
    <w:rsid w:val="00C017A3"/>
    <w:rsid w:val="00C02910"/>
    <w:rsid w:val="00C046BA"/>
    <w:rsid w:val="00C060AB"/>
    <w:rsid w:val="00C07E80"/>
    <w:rsid w:val="00C102E3"/>
    <w:rsid w:val="00C10413"/>
    <w:rsid w:val="00C13725"/>
    <w:rsid w:val="00C152FE"/>
    <w:rsid w:val="00C17ADF"/>
    <w:rsid w:val="00C20BBC"/>
    <w:rsid w:val="00C22777"/>
    <w:rsid w:val="00C22D57"/>
    <w:rsid w:val="00C236E6"/>
    <w:rsid w:val="00C24C5D"/>
    <w:rsid w:val="00C279D5"/>
    <w:rsid w:val="00C30ED5"/>
    <w:rsid w:val="00C31573"/>
    <w:rsid w:val="00C319C6"/>
    <w:rsid w:val="00C32BFD"/>
    <w:rsid w:val="00C32DAC"/>
    <w:rsid w:val="00C33B66"/>
    <w:rsid w:val="00C3718C"/>
    <w:rsid w:val="00C371A0"/>
    <w:rsid w:val="00C3781A"/>
    <w:rsid w:val="00C40630"/>
    <w:rsid w:val="00C409BF"/>
    <w:rsid w:val="00C415E3"/>
    <w:rsid w:val="00C41CDA"/>
    <w:rsid w:val="00C43097"/>
    <w:rsid w:val="00C44200"/>
    <w:rsid w:val="00C46D69"/>
    <w:rsid w:val="00C46F3B"/>
    <w:rsid w:val="00C46F65"/>
    <w:rsid w:val="00C4721B"/>
    <w:rsid w:val="00C51661"/>
    <w:rsid w:val="00C52361"/>
    <w:rsid w:val="00C53B00"/>
    <w:rsid w:val="00C54560"/>
    <w:rsid w:val="00C54BA5"/>
    <w:rsid w:val="00C568DA"/>
    <w:rsid w:val="00C56D3E"/>
    <w:rsid w:val="00C620A7"/>
    <w:rsid w:val="00C638F1"/>
    <w:rsid w:val="00C679AA"/>
    <w:rsid w:val="00C72CCC"/>
    <w:rsid w:val="00C731F7"/>
    <w:rsid w:val="00C732B6"/>
    <w:rsid w:val="00C73E64"/>
    <w:rsid w:val="00C74CC8"/>
    <w:rsid w:val="00C75468"/>
    <w:rsid w:val="00C7744E"/>
    <w:rsid w:val="00C82441"/>
    <w:rsid w:val="00C832B0"/>
    <w:rsid w:val="00C83598"/>
    <w:rsid w:val="00C84E8B"/>
    <w:rsid w:val="00C867D1"/>
    <w:rsid w:val="00C86804"/>
    <w:rsid w:val="00C86A60"/>
    <w:rsid w:val="00C9030A"/>
    <w:rsid w:val="00C9059C"/>
    <w:rsid w:val="00C906BF"/>
    <w:rsid w:val="00C9084F"/>
    <w:rsid w:val="00C911A6"/>
    <w:rsid w:val="00C9206C"/>
    <w:rsid w:val="00C9461E"/>
    <w:rsid w:val="00C94DD0"/>
    <w:rsid w:val="00C9548C"/>
    <w:rsid w:val="00C96DB1"/>
    <w:rsid w:val="00C977AE"/>
    <w:rsid w:val="00CA3A2B"/>
    <w:rsid w:val="00CA5D81"/>
    <w:rsid w:val="00CA61F4"/>
    <w:rsid w:val="00CB05FB"/>
    <w:rsid w:val="00CB13D6"/>
    <w:rsid w:val="00CB1F44"/>
    <w:rsid w:val="00CB33B8"/>
    <w:rsid w:val="00CB4EC6"/>
    <w:rsid w:val="00CB7698"/>
    <w:rsid w:val="00CC29B0"/>
    <w:rsid w:val="00CC2D4F"/>
    <w:rsid w:val="00CC3471"/>
    <w:rsid w:val="00CC4542"/>
    <w:rsid w:val="00CC52A5"/>
    <w:rsid w:val="00CC5671"/>
    <w:rsid w:val="00CC59A6"/>
    <w:rsid w:val="00CD0960"/>
    <w:rsid w:val="00CD2D13"/>
    <w:rsid w:val="00CD38A2"/>
    <w:rsid w:val="00CD4253"/>
    <w:rsid w:val="00CD42DD"/>
    <w:rsid w:val="00CD5D7B"/>
    <w:rsid w:val="00CD6F09"/>
    <w:rsid w:val="00CE0E72"/>
    <w:rsid w:val="00CE1ADB"/>
    <w:rsid w:val="00CE2A08"/>
    <w:rsid w:val="00CE3023"/>
    <w:rsid w:val="00CE33F1"/>
    <w:rsid w:val="00CE424F"/>
    <w:rsid w:val="00CE59A4"/>
    <w:rsid w:val="00CF0ACF"/>
    <w:rsid w:val="00CF3022"/>
    <w:rsid w:val="00CF510F"/>
    <w:rsid w:val="00CF5210"/>
    <w:rsid w:val="00D006C5"/>
    <w:rsid w:val="00D00E72"/>
    <w:rsid w:val="00D038F7"/>
    <w:rsid w:val="00D054BA"/>
    <w:rsid w:val="00D06559"/>
    <w:rsid w:val="00D1095F"/>
    <w:rsid w:val="00D11256"/>
    <w:rsid w:val="00D11288"/>
    <w:rsid w:val="00D1467F"/>
    <w:rsid w:val="00D15260"/>
    <w:rsid w:val="00D162FE"/>
    <w:rsid w:val="00D178AA"/>
    <w:rsid w:val="00D21DD4"/>
    <w:rsid w:val="00D2218D"/>
    <w:rsid w:val="00D222CB"/>
    <w:rsid w:val="00D255A8"/>
    <w:rsid w:val="00D3004D"/>
    <w:rsid w:val="00D310B1"/>
    <w:rsid w:val="00D33583"/>
    <w:rsid w:val="00D33F0E"/>
    <w:rsid w:val="00D355B6"/>
    <w:rsid w:val="00D36146"/>
    <w:rsid w:val="00D363FD"/>
    <w:rsid w:val="00D36818"/>
    <w:rsid w:val="00D37018"/>
    <w:rsid w:val="00D3748C"/>
    <w:rsid w:val="00D4303E"/>
    <w:rsid w:val="00D51751"/>
    <w:rsid w:val="00D52063"/>
    <w:rsid w:val="00D53DA4"/>
    <w:rsid w:val="00D55AAB"/>
    <w:rsid w:val="00D60EA5"/>
    <w:rsid w:val="00D622C3"/>
    <w:rsid w:val="00D639EC"/>
    <w:rsid w:val="00D6473D"/>
    <w:rsid w:val="00D6564C"/>
    <w:rsid w:val="00D71FED"/>
    <w:rsid w:val="00D7215D"/>
    <w:rsid w:val="00D7367A"/>
    <w:rsid w:val="00D753E3"/>
    <w:rsid w:val="00D77216"/>
    <w:rsid w:val="00D77AC7"/>
    <w:rsid w:val="00D77C8A"/>
    <w:rsid w:val="00D82CCF"/>
    <w:rsid w:val="00D83A03"/>
    <w:rsid w:val="00D83EE8"/>
    <w:rsid w:val="00D86B65"/>
    <w:rsid w:val="00D86C0F"/>
    <w:rsid w:val="00D877FF"/>
    <w:rsid w:val="00D91024"/>
    <w:rsid w:val="00D9176A"/>
    <w:rsid w:val="00D93898"/>
    <w:rsid w:val="00D93E2D"/>
    <w:rsid w:val="00D9424A"/>
    <w:rsid w:val="00D94F57"/>
    <w:rsid w:val="00D95B4D"/>
    <w:rsid w:val="00D960F8"/>
    <w:rsid w:val="00D9736C"/>
    <w:rsid w:val="00D97743"/>
    <w:rsid w:val="00DA0287"/>
    <w:rsid w:val="00DA1EA8"/>
    <w:rsid w:val="00DA2EBC"/>
    <w:rsid w:val="00DA402C"/>
    <w:rsid w:val="00DA46A4"/>
    <w:rsid w:val="00DA586B"/>
    <w:rsid w:val="00DA5CD2"/>
    <w:rsid w:val="00DA66C4"/>
    <w:rsid w:val="00DA6D3D"/>
    <w:rsid w:val="00DB0E4E"/>
    <w:rsid w:val="00DB0EC5"/>
    <w:rsid w:val="00DB11B3"/>
    <w:rsid w:val="00DB21B0"/>
    <w:rsid w:val="00DB3E9A"/>
    <w:rsid w:val="00DB4725"/>
    <w:rsid w:val="00DC091E"/>
    <w:rsid w:val="00DC0DD5"/>
    <w:rsid w:val="00DC362E"/>
    <w:rsid w:val="00DC423D"/>
    <w:rsid w:val="00DC761A"/>
    <w:rsid w:val="00DD1F0D"/>
    <w:rsid w:val="00DD3C1C"/>
    <w:rsid w:val="00DD59E3"/>
    <w:rsid w:val="00DE115E"/>
    <w:rsid w:val="00DE22BD"/>
    <w:rsid w:val="00DE2DD0"/>
    <w:rsid w:val="00DE3915"/>
    <w:rsid w:val="00DE43E7"/>
    <w:rsid w:val="00DE4747"/>
    <w:rsid w:val="00DE4A22"/>
    <w:rsid w:val="00DF0D64"/>
    <w:rsid w:val="00DF0F23"/>
    <w:rsid w:val="00DF1D5C"/>
    <w:rsid w:val="00DF1D97"/>
    <w:rsid w:val="00DF334F"/>
    <w:rsid w:val="00DF4055"/>
    <w:rsid w:val="00DF5757"/>
    <w:rsid w:val="00E01579"/>
    <w:rsid w:val="00E01FB2"/>
    <w:rsid w:val="00E0218E"/>
    <w:rsid w:val="00E021F3"/>
    <w:rsid w:val="00E02E1C"/>
    <w:rsid w:val="00E06DDD"/>
    <w:rsid w:val="00E0746D"/>
    <w:rsid w:val="00E1167E"/>
    <w:rsid w:val="00E11ABD"/>
    <w:rsid w:val="00E11CED"/>
    <w:rsid w:val="00E1213D"/>
    <w:rsid w:val="00E12D5D"/>
    <w:rsid w:val="00E12E30"/>
    <w:rsid w:val="00E138FC"/>
    <w:rsid w:val="00E13B1C"/>
    <w:rsid w:val="00E1434E"/>
    <w:rsid w:val="00E15F33"/>
    <w:rsid w:val="00E15FD1"/>
    <w:rsid w:val="00E1632B"/>
    <w:rsid w:val="00E16A01"/>
    <w:rsid w:val="00E16D68"/>
    <w:rsid w:val="00E16FFC"/>
    <w:rsid w:val="00E1700A"/>
    <w:rsid w:val="00E2164A"/>
    <w:rsid w:val="00E21D85"/>
    <w:rsid w:val="00E2296E"/>
    <w:rsid w:val="00E2581E"/>
    <w:rsid w:val="00E25927"/>
    <w:rsid w:val="00E261FE"/>
    <w:rsid w:val="00E2717B"/>
    <w:rsid w:val="00E27C70"/>
    <w:rsid w:val="00E30BF7"/>
    <w:rsid w:val="00E3222A"/>
    <w:rsid w:val="00E3261A"/>
    <w:rsid w:val="00E330A9"/>
    <w:rsid w:val="00E34AEA"/>
    <w:rsid w:val="00E35A1F"/>
    <w:rsid w:val="00E35B61"/>
    <w:rsid w:val="00E3742D"/>
    <w:rsid w:val="00E40056"/>
    <w:rsid w:val="00E401DF"/>
    <w:rsid w:val="00E4187E"/>
    <w:rsid w:val="00E41E36"/>
    <w:rsid w:val="00E436C2"/>
    <w:rsid w:val="00E44ABD"/>
    <w:rsid w:val="00E46C76"/>
    <w:rsid w:val="00E46F0F"/>
    <w:rsid w:val="00E477B5"/>
    <w:rsid w:val="00E50BB8"/>
    <w:rsid w:val="00E520C2"/>
    <w:rsid w:val="00E52A34"/>
    <w:rsid w:val="00E52A95"/>
    <w:rsid w:val="00E52B40"/>
    <w:rsid w:val="00E5369F"/>
    <w:rsid w:val="00E53793"/>
    <w:rsid w:val="00E5526C"/>
    <w:rsid w:val="00E556E1"/>
    <w:rsid w:val="00E557BC"/>
    <w:rsid w:val="00E57FC1"/>
    <w:rsid w:val="00E614AC"/>
    <w:rsid w:val="00E618E9"/>
    <w:rsid w:val="00E61F74"/>
    <w:rsid w:val="00E62A78"/>
    <w:rsid w:val="00E65B4C"/>
    <w:rsid w:val="00E662E3"/>
    <w:rsid w:val="00E665A6"/>
    <w:rsid w:val="00E678CC"/>
    <w:rsid w:val="00E70A08"/>
    <w:rsid w:val="00E70E2E"/>
    <w:rsid w:val="00E7145E"/>
    <w:rsid w:val="00E72375"/>
    <w:rsid w:val="00E7733A"/>
    <w:rsid w:val="00E7770E"/>
    <w:rsid w:val="00E80496"/>
    <w:rsid w:val="00E810DB"/>
    <w:rsid w:val="00E83E48"/>
    <w:rsid w:val="00E84F15"/>
    <w:rsid w:val="00E85645"/>
    <w:rsid w:val="00E85E53"/>
    <w:rsid w:val="00E87E2F"/>
    <w:rsid w:val="00E91F56"/>
    <w:rsid w:val="00E9244E"/>
    <w:rsid w:val="00E925C8"/>
    <w:rsid w:val="00E9322D"/>
    <w:rsid w:val="00E9342E"/>
    <w:rsid w:val="00E93FB0"/>
    <w:rsid w:val="00E95E45"/>
    <w:rsid w:val="00E96101"/>
    <w:rsid w:val="00E967BA"/>
    <w:rsid w:val="00E9768D"/>
    <w:rsid w:val="00EA1099"/>
    <w:rsid w:val="00EA2328"/>
    <w:rsid w:val="00EA2431"/>
    <w:rsid w:val="00EA2440"/>
    <w:rsid w:val="00EA3ADE"/>
    <w:rsid w:val="00EA50CA"/>
    <w:rsid w:val="00EA51C8"/>
    <w:rsid w:val="00EA75BD"/>
    <w:rsid w:val="00EA7E60"/>
    <w:rsid w:val="00EB1CC1"/>
    <w:rsid w:val="00EB227F"/>
    <w:rsid w:val="00EB2C43"/>
    <w:rsid w:val="00EB4113"/>
    <w:rsid w:val="00EC0083"/>
    <w:rsid w:val="00EC09C5"/>
    <w:rsid w:val="00EC17CE"/>
    <w:rsid w:val="00EC19AF"/>
    <w:rsid w:val="00EC1AE3"/>
    <w:rsid w:val="00EC21C8"/>
    <w:rsid w:val="00EC27DF"/>
    <w:rsid w:val="00EC2848"/>
    <w:rsid w:val="00EC39F6"/>
    <w:rsid w:val="00EC3B1C"/>
    <w:rsid w:val="00EC488E"/>
    <w:rsid w:val="00EC7215"/>
    <w:rsid w:val="00EC740F"/>
    <w:rsid w:val="00ED0D59"/>
    <w:rsid w:val="00ED625B"/>
    <w:rsid w:val="00ED6287"/>
    <w:rsid w:val="00ED6957"/>
    <w:rsid w:val="00ED77D6"/>
    <w:rsid w:val="00ED784F"/>
    <w:rsid w:val="00EE2AD8"/>
    <w:rsid w:val="00EE5C0C"/>
    <w:rsid w:val="00EE7478"/>
    <w:rsid w:val="00EE7BC8"/>
    <w:rsid w:val="00EF05A5"/>
    <w:rsid w:val="00EF24BD"/>
    <w:rsid w:val="00EF39C0"/>
    <w:rsid w:val="00EF7368"/>
    <w:rsid w:val="00EF77F3"/>
    <w:rsid w:val="00EF79FF"/>
    <w:rsid w:val="00EF7D92"/>
    <w:rsid w:val="00F00C62"/>
    <w:rsid w:val="00F01CE5"/>
    <w:rsid w:val="00F01CEB"/>
    <w:rsid w:val="00F01FBE"/>
    <w:rsid w:val="00F024B5"/>
    <w:rsid w:val="00F0333D"/>
    <w:rsid w:val="00F0388A"/>
    <w:rsid w:val="00F03B34"/>
    <w:rsid w:val="00F045F7"/>
    <w:rsid w:val="00F06B7B"/>
    <w:rsid w:val="00F10838"/>
    <w:rsid w:val="00F13111"/>
    <w:rsid w:val="00F14DEF"/>
    <w:rsid w:val="00F161F1"/>
    <w:rsid w:val="00F16998"/>
    <w:rsid w:val="00F16F92"/>
    <w:rsid w:val="00F17AA2"/>
    <w:rsid w:val="00F20570"/>
    <w:rsid w:val="00F21FD2"/>
    <w:rsid w:val="00F223B2"/>
    <w:rsid w:val="00F2279D"/>
    <w:rsid w:val="00F22DE1"/>
    <w:rsid w:val="00F24807"/>
    <w:rsid w:val="00F260AF"/>
    <w:rsid w:val="00F31B46"/>
    <w:rsid w:val="00F32C01"/>
    <w:rsid w:val="00F3396A"/>
    <w:rsid w:val="00F36C60"/>
    <w:rsid w:val="00F36DDB"/>
    <w:rsid w:val="00F3765F"/>
    <w:rsid w:val="00F37689"/>
    <w:rsid w:val="00F471F8"/>
    <w:rsid w:val="00F5358D"/>
    <w:rsid w:val="00F57EC9"/>
    <w:rsid w:val="00F57FB6"/>
    <w:rsid w:val="00F607A7"/>
    <w:rsid w:val="00F61AEE"/>
    <w:rsid w:val="00F61C03"/>
    <w:rsid w:val="00F621DA"/>
    <w:rsid w:val="00F63C8A"/>
    <w:rsid w:val="00F63E6A"/>
    <w:rsid w:val="00F643E8"/>
    <w:rsid w:val="00F64BF5"/>
    <w:rsid w:val="00F65C27"/>
    <w:rsid w:val="00F662DB"/>
    <w:rsid w:val="00F70122"/>
    <w:rsid w:val="00F740BE"/>
    <w:rsid w:val="00F750F3"/>
    <w:rsid w:val="00F765D9"/>
    <w:rsid w:val="00F7733A"/>
    <w:rsid w:val="00F77550"/>
    <w:rsid w:val="00F80794"/>
    <w:rsid w:val="00F80C11"/>
    <w:rsid w:val="00F821CC"/>
    <w:rsid w:val="00F82525"/>
    <w:rsid w:val="00F844BF"/>
    <w:rsid w:val="00F84969"/>
    <w:rsid w:val="00F87A67"/>
    <w:rsid w:val="00F92776"/>
    <w:rsid w:val="00F93B24"/>
    <w:rsid w:val="00F944A8"/>
    <w:rsid w:val="00F94EC2"/>
    <w:rsid w:val="00F963C0"/>
    <w:rsid w:val="00F96680"/>
    <w:rsid w:val="00F96BA9"/>
    <w:rsid w:val="00F96DF5"/>
    <w:rsid w:val="00F9700A"/>
    <w:rsid w:val="00F9705A"/>
    <w:rsid w:val="00FA0D97"/>
    <w:rsid w:val="00FA224C"/>
    <w:rsid w:val="00FA2F36"/>
    <w:rsid w:val="00FA34A5"/>
    <w:rsid w:val="00FA5B88"/>
    <w:rsid w:val="00FB253A"/>
    <w:rsid w:val="00FB4AD4"/>
    <w:rsid w:val="00FB6350"/>
    <w:rsid w:val="00FB78B8"/>
    <w:rsid w:val="00FC1CC3"/>
    <w:rsid w:val="00FC2B10"/>
    <w:rsid w:val="00FC3D68"/>
    <w:rsid w:val="00FC5D0F"/>
    <w:rsid w:val="00FC73C9"/>
    <w:rsid w:val="00FC7491"/>
    <w:rsid w:val="00FC7FA5"/>
    <w:rsid w:val="00FD11E2"/>
    <w:rsid w:val="00FD2651"/>
    <w:rsid w:val="00FD38C9"/>
    <w:rsid w:val="00FD43C8"/>
    <w:rsid w:val="00FD43CD"/>
    <w:rsid w:val="00FD5E6C"/>
    <w:rsid w:val="00FD614F"/>
    <w:rsid w:val="00FD684A"/>
    <w:rsid w:val="00FD7A57"/>
    <w:rsid w:val="00FE0B6B"/>
    <w:rsid w:val="00FE1061"/>
    <w:rsid w:val="00FE1F85"/>
    <w:rsid w:val="00FE3158"/>
    <w:rsid w:val="00FF04FA"/>
    <w:rsid w:val="00FF06A9"/>
    <w:rsid w:val="00FF1FAB"/>
    <w:rsid w:val="00FF2442"/>
    <w:rsid w:val="00FF2C33"/>
    <w:rsid w:val="00FF2FFF"/>
    <w:rsid w:val="00FF5365"/>
    <w:rsid w:val="00FF6903"/>
    <w:rsid w:val="00FF6CC1"/>
    <w:rsid w:val="0485D5DC"/>
    <w:rsid w:val="04AD6E40"/>
    <w:rsid w:val="0507C145"/>
    <w:rsid w:val="0601394C"/>
    <w:rsid w:val="06C424DE"/>
    <w:rsid w:val="07D1C4A6"/>
    <w:rsid w:val="07FF26CF"/>
    <w:rsid w:val="08A7F1E2"/>
    <w:rsid w:val="095B70F7"/>
    <w:rsid w:val="0A4AF224"/>
    <w:rsid w:val="0AD9D735"/>
    <w:rsid w:val="0CAFD549"/>
    <w:rsid w:val="0D417916"/>
    <w:rsid w:val="107919D8"/>
    <w:rsid w:val="11225F41"/>
    <w:rsid w:val="11D21071"/>
    <w:rsid w:val="127EC539"/>
    <w:rsid w:val="12E39C35"/>
    <w:rsid w:val="141C0C42"/>
    <w:rsid w:val="14EA0C93"/>
    <w:rsid w:val="15641F3B"/>
    <w:rsid w:val="15D3795E"/>
    <w:rsid w:val="1770FBA4"/>
    <w:rsid w:val="177C411B"/>
    <w:rsid w:val="18030588"/>
    <w:rsid w:val="1A139392"/>
    <w:rsid w:val="1A961894"/>
    <w:rsid w:val="1C1B7EDC"/>
    <w:rsid w:val="1CCB1B02"/>
    <w:rsid w:val="218A23D2"/>
    <w:rsid w:val="22916737"/>
    <w:rsid w:val="233F775B"/>
    <w:rsid w:val="23B595F5"/>
    <w:rsid w:val="26CAA100"/>
    <w:rsid w:val="27D919BC"/>
    <w:rsid w:val="2846E048"/>
    <w:rsid w:val="289C6B02"/>
    <w:rsid w:val="28EAC61F"/>
    <w:rsid w:val="291C6ECF"/>
    <w:rsid w:val="2A6136B4"/>
    <w:rsid w:val="2B67F3D1"/>
    <w:rsid w:val="2B7FC3D8"/>
    <w:rsid w:val="2BD6FC12"/>
    <w:rsid w:val="2C4CCBC9"/>
    <w:rsid w:val="2D548E2A"/>
    <w:rsid w:val="2E8B31FB"/>
    <w:rsid w:val="2E9A36E8"/>
    <w:rsid w:val="306F9A49"/>
    <w:rsid w:val="30E37AF3"/>
    <w:rsid w:val="33F4B43B"/>
    <w:rsid w:val="35DE5E5B"/>
    <w:rsid w:val="365B5AAB"/>
    <w:rsid w:val="38986302"/>
    <w:rsid w:val="38DC162B"/>
    <w:rsid w:val="3980F203"/>
    <w:rsid w:val="3984B4F3"/>
    <w:rsid w:val="3992FB6D"/>
    <w:rsid w:val="3B8548BC"/>
    <w:rsid w:val="3C3BC306"/>
    <w:rsid w:val="3D922B1D"/>
    <w:rsid w:val="40023CF1"/>
    <w:rsid w:val="403B19B9"/>
    <w:rsid w:val="41EA625F"/>
    <w:rsid w:val="458A3967"/>
    <w:rsid w:val="46CA709A"/>
    <w:rsid w:val="4746918A"/>
    <w:rsid w:val="47894AB8"/>
    <w:rsid w:val="50F2FB51"/>
    <w:rsid w:val="51109B02"/>
    <w:rsid w:val="52AD95AF"/>
    <w:rsid w:val="54EB9F82"/>
    <w:rsid w:val="56827620"/>
    <w:rsid w:val="582B5FCA"/>
    <w:rsid w:val="594353D6"/>
    <w:rsid w:val="5970CEB7"/>
    <w:rsid w:val="5C937E9F"/>
    <w:rsid w:val="5D6329BC"/>
    <w:rsid w:val="5E21F48F"/>
    <w:rsid w:val="5E656CC8"/>
    <w:rsid w:val="61208C47"/>
    <w:rsid w:val="648B1A96"/>
    <w:rsid w:val="6518AC44"/>
    <w:rsid w:val="65676568"/>
    <w:rsid w:val="66BFAB88"/>
    <w:rsid w:val="67415033"/>
    <w:rsid w:val="676AF772"/>
    <w:rsid w:val="6870DDD1"/>
    <w:rsid w:val="6AC29271"/>
    <w:rsid w:val="6C4B1CED"/>
    <w:rsid w:val="6D67D2E8"/>
    <w:rsid w:val="6D9C64DB"/>
    <w:rsid w:val="6DA7E697"/>
    <w:rsid w:val="6DC8EFB7"/>
    <w:rsid w:val="6E3138E1"/>
    <w:rsid w:val="6F28A840"/>
    <w:rsid w:val="71754638"/>
    <w:rsid w:val="721D80F9"/>
    <w:rsid w:val="7222427F"/>
    <w:rsid w:val="725C02DA"/>
    <w:rsid w:val="7332ABB3"/>
    <w:rsid w:val="7638E1FA"/>
    <w:rsid w:val="77FFAF06"/>
    <w:rsid w:val="79302992"/>
    <w:rsid w:val="7AE80AA1"/>
    <w:rsid w:val="7B0B1C8F"/>
    <w:rsid w:val="7B101B7B"/>
    <w:rsid w:val="7CFE9CAC"/>
    <w:rsid w:val="7E0539F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34254"/>
  <w15:chartTrackingRefBased/>
  <w15:docId w15:val="{ABC7A1DA-D6B5-4854-AFB4-A838E394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BEF"/>
    <w:pPr>
      <w:jc w:val="both"/>
    </w:pPr>
    <w:rPr>
      <w:rFonts w:ascii="Verdana" w:hAnsi="Verdana"/>
      <w:sz w:val="18"/>
    </w:rPr>
  </w:style>
  <w:style w:type="paragraph" w:styleId="Heading1">
    <w:name w:val="heading 1"/>
    <w:basedOn w:val="Normal"/>
    <w:link w:val="Heading1Char"/>
    <w:uiPriority w:val="9"/>
    <w:qFormat/>
    <w:rsid w:val="009416BB"/>
    <w:pPr>
      <w:numPr>
        <w:numId w:val="1"/>
      </w:numPr>
      <w:spacing w:before="100" w:beforeAutospacing="1" w:after="100" w:afterAutospacing="1" w:line="240" w:lineRule="auto"/>
      <w:outlineLvl w:val="0"/>
    </w:pPr>
    <w:rPr>
      <w:rFonts w:ascii="Times New Roman" w:eastAsia="Times New Roman" w:hAnsi="Times New Roman" w:cs="Times New Roman"/>
      <w:b/>
      <w:bCs/>
      <w:kern w:val="36"/>
      <w:sz w:val="28"/>
      <w:szCs w:val="48"/>
      <w:lang w:eastAsia="en-IN"/>
    </w:rPr>
  </w:style>
  <w:style w:type="paragraph" w:styleId="Heading2">
    <w:name w:val="heading 2"/>
    <w:aliases w:val="PolicyHeading 2"/>
    <w:basedOn w:val="Normal"/>
    <w:link w:val="Heading2Char"/>
    <w:autoRedefine/>
    <w:uiPriority w:val="9"/>
    <w:qFormat/>
    <w:rsid w:val="009A557D"/>
    <w:pPr>
      <w:numPr>
        <w:ilvl w:val="1"/>
        <w:numId w:val="1"/>
      </w:numPr>
      <w:spacing w:before="100" w:beforeAutospacing="1" w:after="100" w:afterAutospacing="1" w:line="240" w:lineRule="auto"/>
      <w:outlineLvl w:val="1"/>
    </w:pPr>
    <w:rPr>
      <w:rFonts w:ascii="Times New Roman" w:eastAsiaTheme="majorEastAsia" w:hAnsi="Times New Roman" w:cs="Times New Roman"/>
      <w:b/>
      <w:bCs/>
      <w:sz w:val="28"/>
      <w:szCs w:val="28"/>
      <w:lang w:eastAsia="en-IN"/>
    </w:rPr>
  </w:style>
  <w:style w:type="paragraph" w:styleId="Heading3">
    <w:name w:val="heading 3"/>
    <w:basedOn w:val="Heading4"/>
    <w:link w:val="Heading3Char"/>
    <w:autoRedefine/>
    <w:uiPriority w:val="9"/>
    <w:qFormat/>
    <w:rsid w:val="00CA3A2B"/>
    <w:pPr>
      <w:numPr>
        <w:ilvl w:val="2"/>
      </w:numPr>
      <w:spacing w:before="120" w:beforeAutospacing="0" w:after="120" w:afterAutospacing="0"/>
      <w:outlineLvl w:val="2"/>
    </w:pPr>
    <w:rPr>
      <w:bCs w:val="0"/>
      <w:szCs w:val="40"/>
    </w:rPr>
  </w:style>
  <w:style w:type="paragraph" w:styleId="Heading4">
    <w:name w:val="heading 4"/>
    <w:basedOn w:val="Normal"/>
    <w:link w:val="Heading4Char"/>
    <w:uiPriority w:val="9"/>
    <w:qFormat/>
    <w:rsid w:val="004A2E2F"/>
    <w:pPr>
      <w:numPr>
        <w:ilvl w:val="3"/>
        <w:numId w:val="1"/>
      </w:numPr>
      <w:spacing w:before="100" w:beforeAutospacing="1" w:after="100" w:afterAutospacing="1" w:line="240" w:lineRule="auto"/>
      <w:ind w:left="1584"/>
      <w:outlineLvl w:val="3"/>
    </w:pPr>
    <w:rPr>
      <w:rFonts w:eastAsia="Times New Roman" w:cs="Times New Roman"/>
      <w:b/>
      <w:bCs/>
      <w:szCs w:val="24"/>
      <w:lang w:eastAsia="en-IN"/>
    </w:rPr>
  </w:style>
  <w:style w:type="paragraph" w:styleId="Heading5">
    <w:name w:val="heading 5"/>
    <w:basedOn w:val="Normal"/>
    <w:next w:val="Normal"/>
    <w:link w:val="Heading5Char"/>
    <w:uiPriority w:val="9"/>
    <w:unhideWhenUsed/>
    <w:qFormat/>
    <w:rsid w:val="007F79F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F79F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79F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79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79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BB"/>
    <w:rPr>
      <w:rFonts w:ascii="Times New Roman" w:eastAsia="Times New Roman" w:hAnsi="Times New Roman" w:cs="Times New Roman"/>
      <w:b/>
      <w:bCs/>
      <w:kern w:val="36"/>
      <w:sz w:val="28"/>
      <w:szCs w:val="48"/>
      <w:lang w:eastAsia="en-IN"/>
    </w:rPr>
  </w:style>
  <w:style w:type="character" w:customStyle="1" w:styleId="Heading2Char">
    <w:name w:val="Heading 2 Char"/>
    <w:aliases w:val="PolicyHeading 2 Char"/>
    <w:basedOn w:val="DefaultParagraphFont"/>
    <w:link w:val="Heading2"/>
    <w:uiPriority w:val="9"/>
    <w:rsid w:val="009A557D"/>
    <w:rPr>
      <w:rFonts w:ascii="Times New Roman" w:eastAsiaTheme="majorEastAsia" w:hAnsi="Times New Roman" w:cs="Times New Roman"/>
      <w:b/>
      <w:bCs/>
      <w:sz w:val="28"/>
      <w:szCs w:val="28"/>
      <w:lang w:eastAsia="en-IN"/>
    </w:rPr>
  </w:style>
  <w:style w:type="character" w:customStyle="1" w:styleId="Heading3Char">
    <w:name w:val="Heading 3 Char"/>
    <w:basedOn w:val="DefaultParagraphFont"/>
    <w:link w:val="Heading3"/>
    <w:uiPriority w:val="9"/>
    <w:rsid w:val="00CA3A2B"/>
    <w:rPr>
      <w:rFonts w:ascii="Verdana" w:eastAsia="Times New Roman" w:hAnsi="Verdana" w:cs="Times New Roman"/>
      <w:b/>
      <w:sz w:val="18"/>
      <w:szCs w:val="40"/>
      <w:lang w:eastAsia="en-IN"/>
    </w:rPr>
  </w:style>
  <w:style w:type="character" w:customStyle="1" w:styleId="Heading4Char">
    <w:name w:val="Heading 4 Char"/>
    <w:basedOn w:val="DefaultParagraphFont"/>
    <w:link w:val="Heading4"/>
    <w:uiPriority w:val="9"/>
    <w:rsid w:val="004A2E2F"/>
    <w:rPr>
      <w:rFonts w:ascii="Verdana" w:eastAsia="Times New Roman" w:hAnsi="Verdana" w:cs="Times New Roman"/>
      <w:b/>
      <w:bCs/>
      <w:sz w:val="18"/>
      <w:szCs w:val="24"/>
      <w:lang w:eastAsia="en-IN"/>
    </w:rPr>
  </w:style>
  <w:style w:type="paragraph" w:styleId="NormalWeb">
    <w:name w:val="Normal (Web)"/>
    <w:basedOn w:val="Normal"/>
    <w:uiPriority w:val="99"/>
    <w:semiHidden/>
    <w:unhideWhenUsed/>
    <w:rsid w:val="006624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6248A"/>
    <w:rPr>
      <w:color w:val="0000FF"/>
      <w:u w:val="single"/>
    </w:rPr>
  </w:style>
  <w:style w:type="character" w:customStyle="1" w:styleId="superscripttext">
    <w:name w:val="superscript_text"/>
    <w:basedOn w:val="DefaultParagraphFont"/>
    <w:rsid w:val="0066248A"/>
  </w:style>
  <w:style w:type="character" w:styleId="Strong">
    <w:name w:val="Strong"/>
    <w:basedOn w:val="DefaultParagraphFont"/>
    <w:uiPriority w:val="22"/>
    <w:qFormat/>
    <w:rsid w:val="0066248A"/>
    <w:rPr>
      <w:b/>
      <w:bCs/>
    </w:rPr>
  </w:style>
  <w:style w:type="character" w:styleId="UnresolvedMention">
    <w:name w:val="Unresolved Mention"/>
    <w:basedOn w:val="DefaultParagraphFont"/>
    <w:uiPriority w:val="99"/>
    <w:unhideWhenUsed/>
    <w:rsid w:val="002E270E"/>
    <w:rPr>
      <w:color w:val="605E5C"/>
      <w:shd w:val="clear" w:color="auto" w:fill="E1DFDD"/>
    </w:rPr>
  </w:style>
  <w:style w:type="paragraph" w:styleId="ListParagraph">
    <w:name w:val="List Paragraph"/>
    <w:basedOn w:val="Normal"/>
    <w:uiPriority w:val="34"/>
    <w:qFormat/>
    <w:rsid w:val="00F223B2"/>
    <w:pPr>
      <w:ind w:left="720"/>
      <w:contextualSpacing/>
    </w:pPr>
  </w:style>
  <w:style w:type="paragraph" w:styleId="Header">
    <w:name w:val="header"/>
    <w:basedOn w:val="Normal"/>
    <w:link w:val="HeaderChar"/>
    <w:uiPriority w:val="99"/>
    <w:unhideWhenUsed/>
    <w:rsid w:val="00566B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B19"/>
  </w:style>
  <w:style w:type="paragraph" w:styleId="Footer">
    <w:name w:val="footer"/>
    <w:basedOn w:val="Normal"/>
    <w:link w:val="FooterChar"/>
    <w:uiPriority w:val="99"/>
    <w:unhideWhenUsed/>
    <w:rsid w:val="00566B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B19"/>
  </w:style>
  <w:style w:type="paragraph" w:styleId="Revision">
    <w:name w:val="Revision"/>
    <w:hidden/>
    <w:uiPriority w:val="99"/>
    <w:semiHidden/>
    <w:rsid w:val="00941332"/>
    <w:pPr>
      <w:spacing w:after="0" w:line="240" w:lineRule="auto"/>
    </w:pPr>
  </w:style>
  <w:style w:type="character" w:styleId="FollowedHyperlink">
    <w:name w:val="FollowedHyperlink"/>
    <w:basedOn w:val="DefaultParagraphFont"/>
    <w:uiPriority w:val="99"/>
    <w:semiHidden/>
    <w:unhideWhenUsed/>
    <w:rsid w:val="00941332"/>
    <w:rPr>
      <w:color w:val="954F72" w:themeColor="followedHyperlink"/>
      <w:u w:val="single"/>
    </w:rPr>
  </w:style>
  <w:style w:type="paragraph" w:styleId="Title">
    <w:name w:val="Title"/>
    <w:basedOn w:val="Normal"/>
    <w:next w:val="Normal"/>
    <w:link w:val="TitleChar"/>
    <w:autoRedefine/>
    <w:uiPriority w:val="10"/>
    <w:qFormat/>
    <w:rsid w:val="009416BB"/>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9416BB"/>
    <w:rPr>
      <w:rFonts w:ascii="Verdana" w:eastAsiaTheme="majorEastAsia" w:hAnsi="Verdana" w:cstheme="majorBidi"/>
      <w:spacing w:val="-10"/>
      <w:kern w:val="28"/>
      <w:sz w:val="36"/>
      <w:szCs w:val="56"/>
    </w:rPr>
  </w:style>
  <w:style w:type="paragraph" w:customStyle="1" w:styleId="MainHeading">
    <w:name w:val="MainHeading"/>
    <w:basedOn w:val="Heading2"/>
    <w:link w:val="MainHeadingChar"/>
    <w:qFormat/>
    <w:rsid w:val="00A10DAC"/>
    <w:pPr>
      <w:keepNext/>
      <w:keepLines/>
      <w:spacing w:before="0" w:beforeAutospacing="0" w:after="240" w:afterAutospacing="0"/>
    </w:pPr>
    <w:rPr>
      <w:rFonts w:ascii="Arial" w:hAnsi="Arial" w:cs="Arial"/>
      <w:sz w:val="24"/>
      <w:szCs w:val="24"/>
      <w:lang w:val="en-US" w:eastAsia="en-US"/>
    </w:rPr>
  </w:style>
  <w:style w:type="table" w:styleId="TableGrid">
    <w:name w:val="Table Grid"/>
    <w:basedOn w:val="TableNormal"/>
    <w:uiPriority w:val="59"/>
    <w:rsid w:val="007F7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inHeadingChar">
    <w:name w:val="MainHeading Char"/>
    <w:basedOn w:val="Heading2Char"/>
    <w:link w:val="MainHeading"/>
    <w:rsid w:val="00A10DAC"/>
    <w:rPr>
      <w:rFonts w:ascii="Arial" w:eastAsiaTheme="majorEastAsia" w:hAnsi="Arial" w:cs="Arial"/>
      <w:b/>
      <w:bCs/>
      <w:sz w:val="24"/>
      <w:szCs w:val="24"/>
      <w:lang w:val="en-US" w:eastAsia="en-IN"/>
    </w:rPr>
  </w:style>
  <w:style w:type="table" w:styleId="PlainTable2">
    <w:name w:val="Plain Table 2"/>
    <w:basedOn w:val="TableNormal"/>
    <w:uiPriority w:val="42"/>
    <w:rsid w:val="007F79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
    <w:name w:val="Grid Table 5 Dark"/>
    <w:basedOn w:val="TableProfessional"/>
    <w:uiPriority w:val="50"/>
    <w:rsid w:val="007F79FF"/>
    <w:pPr>
      <w:spacing w:after="0" w:line="240" w:lineRule="auto"/>
    </w:pPr>
    <w:rPr>
      <w:rFonts w:asciiTheme="majorHAnsi" w:hAnsiTheme="majorHAnsi"/>
      <w:sz w:val="18"/>
      <w:szCs w:val="20"/>
      <w:lang w:val="en-US"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rful">
    <w:name w:val="List Table 6 Colorful"/>
    <w:basedOn w:val="TableProfessional"/>
    <w:uiPriority w:val="51"/>
    <w:rsid w:val="007F79FF"/>
    <w:pPr>
      <w:spacing w:after="0" w:line="240" w:lineRule="auto"/>
    </w:pPr>
    <w:rPr>
      <w:color w:val="000000" w:themeColor="text1"/>
      <w:sz w:val="20"/>
      <w:szCs w:val="20"/>
      <w:lang w:val="en-US" w:eastAsia="ja-JP"/>
    </w:rPr>
    <w:tblPr>
      <w:tblStyleRowBandSize w:val="1"/>
      <w:tblStyleColBandSize w:val="1"/>
      <w:tblBorders>
        <w:top w:val="single" w:sz="4" w:space="0" w:color="000000" w:themeColor="text1"/>
        <w:left w:val="none" w:sz="0" w:space="0" w:color="auto"/>
        <w:bottom w:val="single" w:sz="4" w:space="0" w:color="000000" w:themeColor="text1"/>
        <w:right w:val="none" w:sz="0" w:space="0" w:color="auto"/>
        <w:insideH w:val="none" w:sz="0" w:space="0" w:color="auto"/>
        <w:insideV w:val="none" w:sz="0" w:space="0" w:color="auto"/>
      </w:tblBorders>
    </w:tblPr>
    <w:tblStylePr w:type="firstRow">
      <w:rPr>
        <w:b/>
        <w:bCs/>
        <w:color w:val="auto"/>
      </w:rPr>
      <w:tblPr/>
      <w:tcPr>
        <w:tcBorders>
          <w:bottom w:val="single" w:sz="4" w:space="0" w:color="000000" w:themeColor="text1"/>
          <w:tl2br w:val="none" w:sz="0" w:space="0" w:color="auto"/>
          <w:tr2bl w:val="none" w:sz="0" w:space="0" w:color="auto"/>
        </w:tcBorders>
        <w:shd w:val="solid" w:color="000000" w:fill="FFFFFF"/>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4">
    <w:name w:val="List Table 6 Colorful Accent 4"/>
    <w:basedOn w:val="TableNormal"/>
    <w:uiPriority w:val="51"/>
    <w:rsid w:val="007F79FF"/>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Professional">
    <w:name w:val="Table Professional"/>
    <w:basedOn w:val="TableNormal"/>
    <w:uiPriority w:val="99"/>
    <w:semiHidden/>
    <w:unhideWhenUsed/>
    <w:rsid w:val="007F79F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PlainTable3">
    <w:name w:val="Plain Table 3"/>
    <w:basedOn w:val="TableNormal"/>
    <w:uiPriority w:val="43"/>
    <w:rsid w:val="007F79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F79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7F79F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5Char">
    <w:name w:val="Heading 5 Char"/>
    <w:basedOn w:val="DefaultParagraphFont"/>
    <w:link w:val="Heading5"/>
    <w:uiPriority w:val="9"/>
    <w:rsid w:val="007F79FF"/>
    <w:rPr>
      <w:rFonts w:asciiTheme="majorHAnsi" w:eastAsiaTheme="majorEastAsia" w:hAnsiTheme="majorHAnsi" w:cstheme="majorBidi"/>
      <w:color w:val="2F5496" w:themeColor="accent1" w:themeShade="BF"/>
      <w:sz w:val="18"/>
    </w:rPr>
  </w:style>
  <w:style w:type="character" w:customStyle="1" w:styleId="Heading6Char">
    <w:name w:val="Heading 6 Char"/>
    <w:basedOn w:val="DefaultParagraphFont"/>
    <w:link w:val="Heading6"/>
    <w:uiPriority w:val="9"/>
    <w:rsid w:val="007F79FF"/>
    <w:rPr>
      <w:rFonts w:asciiTheme="majorHAnsi" w:eastAsiaTheme="majorEastAsia" w:hAnsiTheme="majorHAnsi" w:cstheme="majorBidi"/>
      <w:color w:val="1F3763" w:themeColor="accent1" w:themeShade="7F"/>
      <w:sz w:val="18"/>
    </w:rPr>
  </w:style>
  <w:style w:type="character" w:customStyle="1" w:styleId="Heading7Char">
    <w:name w:val="Heading 7 Char"/>
    <w:basedOn w:val="DefaultParagraphFont"/>
    <w:link w:val="Heading7"/>
    <w:uiPriority w:val="9"/>
    <w:semiHidden/>
    <w:rsid w:val="007F79FF"/>
    <w:rPr>
      <w:rFonts w:asciiTheme="majorHAnsi" w:eastAsiaTheme="majorEastAsia" w:hAnsiTheme="majorHAnsi" w:cstheme="majorBidi"/>
      <w:i/>
      <w:iCs/>
      <w:color w:val="1F3763" w:themeColor="accent1" w:themeShade="7F"/>
      <w:sz w:val="18"/>
    </w:rPr>
  </w:style>
  <w:style w:type="character" w:customStyle="1" w:styleId="Heading8Char">
    <w:name w:val="Heading 8 Char"/>
    <w:basedOn w:val="DefaultParagraphFont"/>
    <w:link w:val="Heading8"/>
    <w:uiPriority w:val="9"/>
    <w:semiHidden/>
    <w:rsid w:val="007F79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79FF"/>
    <w:rPr>
      <w:rFonts w:asciiTheme="majorHAnsi" w:eastAsiaTheme="majorEastAsia" w:hAnsiTheme="majorHAnsi" w:cstheme="majorBidi"/>
      <w:i/>
      <w:iCs/>
      <w:color w:val="272727" w:themeColor="text1" w:themeTint="D8"/>
      <w:sz w:val="21"/>
      <w:szCs w:val="21"/>
    </w:rPr>
  </w:style>
  <w:style w:type="paragraph" w:customStyle="1" w:styleId="Commented">
    <w:name w:val="Commented"/>
    <w:basedOn w:val="Normal"/>
    <w:link w:val="CommentedChar"/>
    <w:autoRedefine/>
    <w:qFormat/>
    <w:rsid w:val="00E261FE"/>
    <w:pPr>
      <w:spacing w:after="0"/>
    </w:pPr>
    <w:rPr>
      <w:i/>
      <w:color w:val="C45911" w:themeColor="accent2" w:themeShade="BF"/>
    </w:rPr>
  </w:style>
  <w:style w:type="character" w:styleId="CommentReference">
    <w:name w:val="annotation reference"/>
    <w:basedOn w:val="DefaultParagraphFont"/>
    <w:uiPriority w:val="99"/>
    <w:semiHidden/>
    <w:unhideWhenUsed/>
    <w:qFormat/>
    <w:rsid w:val="00527A00"/>
    <w:rPr>
      <w:sz w:val="16"/>
      <w:szCs w:val="16"/>
    </w:rPr>
  </w:style>
  <w:style w:type="character" w:customStyle="1" w:styleId="CommentedChar">
    <w:name w:val="Commented Char"/>
    <w:basedOn w:val="DefaultParagraphFont"/>
    <w:link w:val="Commented"/>
    <w:rsid w:val="00E261FE"/>
    <w:rPr>
      <w:rFonts w:ascii="Verdana" w:hAnsi="Verdana"/>
      <w:i/>
      <w:color w:val="C45911" w:themeColor="accent2" w:themeShade="BF"/>
      <w:sz w:val="18"/>
    </w:rPr>
  </w:style>
  <w:style w:type="paragraph" w:styleId="CommentText">
    <w:name w:val="annotation text"/>
    <w:basedOn w:val="Normal"/>
    <w:link w:val="CommentTextChar"/>
    <w:uiPriority w:val="99"/>
    <w:unhideWhenUsed/>
    <w:qFormat/>
    <w:rsid w:val="00527A00"/>
    <w:pPr>
      <w:spacing w:line="240" w:lineRule="auto"/>
    </w:pPr>
    <w:rPr>
      <w:sz w:val="20"/>
      <w:szCs w:val="20"/>
    </w:rPr>
  </w:style>
  <w:style w:type="character" w:customStyle="1" w:styleId="CommentTextChar">
    <w:name w:val="Comment Text Char"/>
    <w:basedOn w:val="DefaultParagraphFont"/>
    <w:link w:val="CommentText"/>
    <w:uiPriority w:val="99"/>
    <w:rsid w:val="00527A0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527A00"/>
    <w:rPr>
      <w:b/>
      <w:bCs/>
    </w:rPr>
  </w:style>
  <w:style w:type="character" w:customStyle="1" w:styleId="CommentSubjectChar">
    <w:name w:val="Comment Subject Char"/>
    <w:basedOn w:val="CommentTextChar"/>
    <w:link w:val="CommentSubject"/>
    <w:uiPriority w:val="99"/>
    <w:semiHidden/>
    <w:rsid w:val="00527A00"/>
    <w:rPr>
      <w:rFonts w:ascii="Verdana" w:hAnsi="Verdana"/>
      <w:b/>
      <w:bCs/>
      <w:sz w:val="20"/>
      <w:szCs w:val="20"/>
    </w:rPr>
  </w:style>
  <w:style w:type="paragraph" w:styleId="TOC1">
    <w:name w:val="toc 1"/>
    <w:basedOn w:val="Normal"/>
    <w:next w:val="Normal"/>
    <w:autoRedefine/>
    <w:uiPriority w:val="39"/>
    <w:unhideWhenUsed/>
    <w:rsid w:val="00AD0865"/>
    <w:pPr>
      <w:tabs>
        <w:tab w:val="left" w:pos="360"/>
        <w:tab w:val="right" w:leader="dot" w:pos="9016"/>
      </w:tabs>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FE3158"/>
    <w:pPr>
      <w:spacing w:after="0"/>
      <w:ind w:left="180"/>
    </w:pPr>
    <w:rPr>
      <w:rFonts w:asciiTheme="minorHAnsi" w:hAnsiTheme="minorHAnsi"/>
      <w:smallCaps/>
      <w:sz w:val="20"/>
      <w:szCs w:val="20"/>
    </w:rPr>
  </w:style>
  <w:style w:type="paragraph" w:styleId="TOC3">
    <w:name w:val="toc 3"/>
    <w:basedOn w:val="Normal"/>
    <w:next w:val="Normal"/>
    <w:autoRedefine/>
    <w:uiPriority w:val="39"/>
    <w:unhideWhenUsed/>
    <w:rsid w:val="00AB53B6"/>
    <w:pPr>
      <w:tabs>
        <w:tab w:val="left" w:pos="1260"/>
        <w:tab w:val="right" w:leader="dot" w:pos="9016"/>
      </w:tabs>
      <w:spacing w:after="0"/>
      <w:ind w:left="360"/>
    </w:pPr>
    <w:rPr>
      <w:rFonts w:asciiTheme="minorHAnsi" w:hAnsiTheme="minorHAnsi"/>
      <w:i/>
      <w:iCs/>
      <w:sz w:val="20"/>
      <w:szCs w:val="20"/>
    </w:rPr>
  </w:style>
  <w:style w:type="paragraph" w:styleId="TOC4">
    <w:name w:val="toc 4"/>
    <w:basedOn w:val="Normal"/>
    <w:next w:val="Normal"/>
    <w:autoRedefine/>
    <w:uiPriority w:val="39"/>
    <w:unhideWhenUsed/>
    <w:rsid w:val="00FE3158"/>
    <w:pPr>
      <w:spacing w:after="0"/>
      <w:ind w:left="540"/>
    </w:pPr>
    <w:rPr>
      <w:rFonts w:asciiTheme="minorHAnsi" w:hAnsiTheme="minorHAnsi"/>
      <w:szCs w:val="18"/>
    </w:rPr>
  </w:style>
  <w:style w:type="paragraph" w:styleId="TOC5">
    <w:name w:val="toc 5"/>
    <w:basedOn w:val="Normal"/>
    <w:next w:val="Normal"/>
    <w:autoRedefine/>
    <w:uiPriority w:val="39"/>
    <w:unhideWhenUsed/>
    <w:rsid w:val="00FE3158"/>
    <w:pPr>
      <w:spacing w:after="0"/>
      <w:ind w:left="720"/>
    </w:pPr>
    <w:rPr>
      <w:rFonts w:asciiTheme="minorHAnsi" w:hAnsiTheme="minorHAnsi"/>
      <w:szCs w:val="18"/>
    </w:rPr>
  </w:style>
  <w:style w:type="paragraph" w:styleId="TOC6">
    <w:name w:val="toc 6"/>
    <w:basedOn w:val="Normal"/>
    <w:next w:val="Normal"/>
    <w:autoRedefine/>
    <w:uiPriority w:val="39"/>
    <w:unhideWhenUsed/>
    <w:rsid w:val="00FE3158"/>
    <w:pPr>
      <w:spacing w:after="0"/>
      <w:ind w:left="900"/>
    </w:pPr>
    <w:rPr>
      <w:rFonts w:asciiTheme="minorHAnsi" w:hAnsiTheme="minorHAnsi"/>
      <w:szCs w:val="18"/>
    </w:rPr>
  </w:style>
  <w:style w:type="paragraph" w:styleId="TOC7">
    <w:name w:val="toc 7"/>
    <w:basedOn w:val="Normal"/>
    <w:next w:val="Normal"/>
    <w:autoRedefine/>
    <w:uiPriority w:val="39"/>
    <w:unhideWhenUsed/>
    <w:rsid w:val="00FE3158"/>
    <w:pPr>
      <w:spacing w:after="0"/>
      <w:ind w:left="1080"/>
    </w:pPr>
    <w:rPr>
      <w:rFonts w:asciiTheme="minorHAnsi" w:hAnsiTheme="minorHAnsi"/>
      <w:szCs w:val="18"/>
    </w:rPr>
  </w:style>
  <w:style w:type="paragraph" w:styleId="TOC8">
    <w:name w:val="toc 8"/>
    <w:basedOn w:val="Normal"/>
    <w:next w:val="Normal"/>
    <w:autoRedefine/>
    <w:uiPriority w:val="39"/>
    <w:unhideWhenUsed/>
    <w:rsid w:val="00FE3158"/>
    <w:pPr>
      <w:spacing w:after="0"/>
      <w:ind w:left="1260"/>
    </w:pPr>
    <w:rPr>
      <w:rFonts w:asciiTheme="minorHAnsi" w:hAnsiTheme="minorHAnsi"/>
      <w:szCs w:val="18"/>
    </w:rPr>
  </w:style>
  <w:style w:type="paragraph" w:styleId="TOC9">
    <w:name w:val="toc 9"/>
    <w:basedOn w:val="Normal"/>
    <w:next w:val="Normal"/>
    <w:autoRedefine/>
    <w:uiPriority w:val="39"/>
    <w:unhideWhenUsed/>
    <w:rsid w:val="00FE3158"/>
    <w:pPr>
      <w:spacing w:after="0"/>
      <w:ind w:left="1440"/>
    </w:pPr>
    <w:rPr>
      <w:rFonts w:asciiTheme="minorHAnsi" w:hAnsiTheme="minorHAnsi"/>
      <w:szCs w:val="18"/>
    </w:rPr>
  </w:style>
  <w:style w:type="character" w:styleId="Mention">
    <w:name w:val="Mention"/>
    <w:basedOn w:val="DefaultParagraphFont"/>
    <w:uiPriority w:val="99"/>
    <w:unhideWhenUsed/>
    <w:rsid w:val="00F16998"/>
    <w:rPr>
      <w:color w:val="2B579A"/>
      <w:shd w:val="clear" w:color="auto" w:fill="E1DFDD"/>
    </w:rPr>
  </w:style>
  <w:style w:type="paragraph" w:styleId="NoSpacing">
    <w:name w:val="No Spacing"/>
    <w:link w:val="NoSpacingChar"/>
    <w:uiPriority w:val="1"/>
    <w:qFormat/>
    <w:rsid w:val="001860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6010"/>
    <w:rPr>
      <w:rFonts w:eastAsiaTheme="minorEastAsia"/>
      <w:lang w:val="en-US"/>
    </w:rPr>
  </w:style>
  <w:style w:type="paragraph" w:styleId="IntenseQuote">
    <w:name w:val="Intense Quote"/>
    <w:basedOn w:val="Normal"/>
    <w:next w:val="Normal"/>
    <w:link w:val="IntenseQuoteChar"/>
    <w:uiPriority w:val="30"/>
    <w:qFormat/>
    <w:rsid w:val="00650B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50B52"/>
    <w:rPr>
      <w:rFonts w:ascii="Verdana" w:hAnsi="Verdana"/>
      <w:i/>
      <w:iCs/>
      <w:color w:val="4472C4" w:themeColor="accent1"/>
      <w:sz w:val="18"/>
    </w:rPr>
  </w:style>
  <w:style w:type="character" w:styleId="IntenseReference">
    <w:name w:val="Intense Reference"/>
    <w:basedOn w:val="DefaultParagraphFont"/>
    <w:uiPriority w:val="32"/>
    <w:qFormat/>
    <w:rsid w:val="005F6750"/>
    <w:rPr>
      <w:b/>
      <w:bCs/>
      <w:smallCaps/>
      <w:color w:val="4472C4" w:themeColor="accent1"/>
      <w:spacing w:val="5"/>
    </w:rPr>
  </w:style>
  <w:style w:type="table" w:customStyle="1" w:styleId="TableGrid1">
    <w:name w:val="Table Grid1"/>
    <w:rsid w:val="00AC3AD7"/>
    <w:pPr>
      <w:spacing w:after="0" w:line="240" w:lineRule="auto"/>
    </w:pPr>
    <w:rPr>
      <w:rFonts w:eastAsiaTheme="minorEastAsia"/>
      <w:lang w:eastAsia="en-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E6D86"/>
    <w:pPr>
      <w:spacing w:after="0" w:line="240" w:lineRule="auto"/>
      <w:ind w:left="884" w:right="207" w:firstLine="5"/>
    </w:pPr>
    <w:rPr>
      <w:rFonts w:ascii="Times New Roman" w:eastAsia="Tahoma" w:hAnsi="Times New Roman" w:cs="Times New Roman"/>
      <w:color w:val="000000"/>
      <w:szCs w:val="18"/>
      <w:lang w:eastAsia="en-IN"/>
    </w:rPr>
  </w:style>
  <w:style w:type="character" w:customStyle="1" w:styleId="BalloonTextChar">
    <w:name w:val="Balloon Text Char"/>
    <w:basedOn w:val="DefaultParagraphFont"/>
    <w:link w:val="BalloonText"/>
    <w:uiPriority w:val="99"/>
    <w:semiHidden/>
    <w:rsid w:val="008E6D86"/>
    <w:rPr>
      <w:rFonts w:ascii="Times New Roman" w:eastAsia="Tahoma" w:hAnsi="Times New Roman" w:cs="Times New Roman"/>
      <w:color w:val="000000"/>
      <w:sz w:val="18"/>
      <w:szCs w:val="18"/>
      <w:lang w:eastAsia="en-IN"/>
    </w:rPr>
  </w:style>
  <w:style w:type="character" w:styleId="IntenseEmphasis">
    <w:name w:val="Intense Emphasis"/>
    <w:basedOn w:val="DefaultParagraphFont"/>
    <w:uiPriority w:val="21"/>
    <w:qFormat/>
    <w:rsid w:val="00EC7215"/>
    <w:rPr>
      <w:i/>
      <w:iCs/>
      <w:color w:val="4472C4" w:themeColor="accent1"/>
    </w:rPr>
  </w:style>
  <w:style w:type="paragraph" w:customStyle="1" w:styleId="paragraph">
    <w:name w:val="paragraph"/>
    <w:basedOn w:val="Normal"/>
    <w:rsid w:val="00FD7A57"/>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D7A57"/>
  </w:style>
  <w:style w:type="character" w:customStyle="1" w:styleId="eop">
    <w:name w:val="eop"/>
    <w:basedOn w:val="DefaultParagraphFont"/>
    <w:rsid w:val="00FD7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71968">
      <w:bodyDiv w:val="1"/>
      <w:marLeft w:val="0"/>
      <w:marRight w:val="0"/>
      <w:marTop w:val="0"/>
      <w:marBottom w:val="0"/>
      <w:divBdr>
        <w:top w:val="none" w:sz="0" w:space="0" w:color="auto"/>
        <w:left w:val="none" w:sz="0" w:space="0" w:color="auto"/>
        <w:bottom w:val="none" w:sz="0" w:space="0" w:color="auto"/>
        <w:right w:val="none" w:sz="0" w:space="0" w:color="auto"/>
      </w:divBdr>
    </w:div>
    <w:div w:id="360978664">
      <w:bodyDiv w:val="1"/>
      <w:marLeft w:val="0"/>
      <w:marRight w:val="0"/>
      <w:marTop w:val="0"/>
      <w:marBottom w:val="0"/>
      <w:divBdr>
        <w:top w:val="none" w:sz="0" w:space="0" w:color="auto"/>
        <w:left w:val="none" w:sz="0" w:space="0" w:color="auto"/>
        <w:bottom w:val="none" w:sz="0" w:space="0" w:color="auto"/>
        <w:right w:val="none" w:sz="0" w:space="0" w:color="auto"/>
      </w:divBdr>
    </w:div>
    <w:div w:id="423040154">
      <w:bodyDiv w:val="1"/>
      <w:marLeft w:val="0"/>
      <w:marRight w:val="0"/>
      <w:marTop w:val="0"/>
      <w:marBottom w:val="0"/>
      <w:divBdr>
        <w:top w:val="none" w:sz="0" w:space="0" w:color="auto"/>
        <w:left w:val="none" w:sz="0" w:space="0" w:color="auto"/>
        <w:bottom w:val="none" w:sz="0" w:space="0" w:color="auto"/>
        <w:right w:val="none" w:sz="0" w:space="0" w:color="auto"/>
      </w:divBdr>
      <w:divsChild>
        <w:div w:id="1858613452">
          <w:marLeft w:val="-225"/>
          <w:marRight w:val="-225"/>
          <w:marTop w:val="0"/>
          <w:marBottom w:val="0"/>
          <w:divBdr>
            <w:top w:val="none" w:sz="0" w:space="0" w:color="auto"/>
            <w:left w:val="none" w:sz="0" w:space="0" w:color="auto"/>
            <w:bottom w:val="none" w:sz="0" w:space="0" w:color="auto"/>
            <w:right w:val="none" w:sz="0" w:space="0" w:color="auto"/>
          </w:divBdr>
          <w:divsChild>
            <w:div w:id="1601987440">
              <w:marLeft w:val="0"/>
              <w:marRight w:val="-60"/>
              <w:marTop w:val="0"/>
              <w:marBottom w:val="0"/>
              <w:divBdr>
                <w:top w:val="none" w:sz="0" w:space="0" w:color="auto"/>
                <w:left w:val="none" w:sz="0" w:space="0" w:color="auto"/>
                <w:bottom w:val="none" w:sz="0" w:space="0" w:color="auto"/>
                <w:right w:val="none" w:sz="0" w:space="0" w:color="auto"/>
              </w:divBdr>
              <w:divsChild>
                <w:div w:id="1254630648">
                  <w:marLeft w:val="0"/>
                  <w:marRight w:val="0"/>
                  <w:marTop w:val="300"/>
                  <w:marBottom w:val="300"/>
                  <w:divBdr>
                    <w:top w:val="none" w:sz="0" w:space="0" w:color="auto"/>
                    <w:left w:val="none" w:sz="0" w:space="0" w:color="auto"/>
                    <w:bottom w:val="none" w:sz="0" w:space="0" w:color="auto"/>
                    <w:right w:val="none" w:sz="0" w:space="0" w:color="auto"/>
                  </w:divBdr>
                  <w:divsChild>
                    <w:div w:id="1459490722">
                      <w:marLeft w:val="0"/>
                      <w:marRight w:val="0"/>
                      <w:marTop w:val="0"/>
                      <w:marBottom w:val="0"/>
                      <w:divBdr>
                        <w:top w:val="none" w:sz="0" w:space="0" w:color="auto"/>
                        <w:left w:val="none" w:sz="0" w:space="0" w:color="auto"/>
                        <w:bottom w:val="none" w:sz="0" w:space="0" w:color="auto"/>
                        <w:right w:val="none" w:sz="0" w:space="0" w:color="auto"/>
                      </w:divBdr>
                      <w:divsChild>
                        <w:div w:id="30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730951">
      <w:bodyDiv w:val="1"/>
      <w:marLeft w:val="0"/>
      <w:marRight w:val="0"/>
      <w:marTop w:val="0"/>
      <w:marBottom w:val="0"/>
      <w:divBdr>
        <w:top w:val="none" w:sz="0" w:space="0" w:color="auto"/>
        <w:left w:val="none" w:sz="0" w:space="0" w:color="auto"/>
        <w:bottom w:val="none" w:sz="0" w:space="0" w:color="auto"/>
        <w:right w:val="none" w:sz="0" w:space="0" w:color="auto"/>
      </w:divBdr>
      <w:divsChild>
        <w:div w:id="244922820">
          <w:marLeft w:val="0"/>
          <w:marRight w:val="0"/>
          <w:marTop w:val="0"/>
          <w:marBottom w:val="0"/>
          <w:divBdr>
            <w:top w:val="none" w:sz="0" w:space="0" w:color="auto"/>
            <w:left w:val="none" w:sz="0" w:space="0" w:color="auto"/>
            <w:bottom w:val="none" w:sz="0" w:space="0" w:color="auto"/>
            <w:right w:val="none" w:sz="0" w:space="0" w:color="auto"/>
          </w:divBdr>
        </w:div>
        <w:div w:id="1846093049">
          <w:marLeft w:val="0"/>
          <w:marRight w:val="0"/>
          <w:marTop w:val="0"/>
          <w:marBottom w:val="0"/>
          <w:divBdr>
            <w:top w:val="none" w:sz="0" w:space="0" w:color="auto"/>
            <w:left w:val="none" w:sz="0" w:space="0" w:color="auto"/>
            <w:bottom w:val="none" w:sz="0" w:space="0" w:color="auto"/>
            <w:right w:val="none" w:sz="0" w:space="0" w:color="auto"/>
          </w:divBdr>
        </w:div>
        <w:div w:id="1988897638">
          <w:marLeft w:val="0"/>
          <w:marRight w:val="0"/>
          <w:marTop w:val="0"/>
          <w:marBottom w:val="0"/>
          <w:divBdr>
            <w:top w:val="none" w:sz="0" w:space="0" w:color="auto"/>
            <w:left w:val="none" w:sz="0" w:space="0" w:color="auto"/>
            <w:bottom w:val="none" w:sz="0" w:space="0" w:color="auto"/>
            <w:right w:val="none" w:sz="0" w:space="0" w:color="auto"/>
          </w:divBdr>
        </w:div>
      </w:divsChild>
    </w:div>
    <w:div w:id="1037975849">
      <w:bodyDiv w:val="1"/>
      <w:marLeft w:val="0"/>
      <w:marRight w:val="0"/>
      <w:marTop w:val="0"/>
      <w:marBottom w:val="0"/>
      <w:divBdr>
        <w:top w:val="none" w:sz="0" w:space="0" w:color="auto"/>
        <w:left w:val="none" w:sz="0" w:space="0" w:color="auto"/>
        <w:bottom w:val="none" w:sz="0" w:space="0" w:color="auto"/>
        <w:right w:val="none" w:sz="0" w:space="0" w:color="auto"/>
      </w:divBdr>
    </w:div>
    <w:div w:id="1506288282">
      <w:bodyDiv w:val="1"/>
      <w:marLeft w:val="0"/>
      <w:marRight w:val="0"/>
      <w:marTop w:val="0"/>
      <w:marBottom w:val="0"/>
      <w:divBdr>
        <w:top w:val="none" w:sz="0" w:space="0" w:color="auto"/>
        <w:left w:val="none" w:sz="0" w:space="0" w:color="auto"/>
        <w:bottom w:val="none" w:sz="0" w:space="0" w:color="auto"/>
        <w:right w:val="none" w:sz="0" w:space="0" w:color="auto"/>
      </w:divBdr>
    </w:div>
    <w:div w:id="1582644320">
      <w:bodyDiv w:val="1"/>
      <w:marLeft w:val="0"/>
      <w:marRight w:val="0"/>
      <w:marTop w:val="0"/>
      <w:marBottom w:val="0"/>
      <w:divBdr>
        <w:top w:val="none" w:sz="0" w:space="0" w:color="auto"/>
        <w:left w:val="none" w:sz="0" w:space="0" w:color="auto"/>
        <w:bottom w:val="none" w:sz="0" w:space="0" w:color="auto"/>
        <w:right w:val="none" w:sz="0" w:space="0" w:color="auto"/>
      </w:divBdr>
    </w:div>
    <w:div w:id="1759595915">
      <w:bodyDiv w:val="1"/>
      <w:marLeft w:val="0"/>
      <w:marRight w:val="0"/>
      <w:marTop w:val="0"/>
      <w:marBottom w:val="0"/>
      <w:divBdr>
        <w:top w:val="none" w:sz="0" w:space="0" w:color="auto"/>
        <w:left w:val="none" w:sz="0" w:space="0" w:color="auto"/>
        <w:bottom w:val="none" w:sz="0" w:space="0" w:color="auto"/>
        <w:right w:val="none" w:sz="0" w:space="0" w:color="auto"/>
      </w:divBdr>
      <w:divsChild>
        <w:div w:id="306277039">
          <w:marLeft w:val="-225"/>
          <w:marRight w:val="-225"/>
          <w:marTop w:val="0"/>
          <w:marBottom w:val="0"/>
          <w:divBdr>
            <w:top w:val="none" w:sz="0" w:space="0" w:color="auto"/>
            <w:left w:val="none" w:sz="0" w:space="0" w:color="auto"/>
            <w:bottom w:val="none" w:sz="0" w:space="0" w:color="auto"/>
            <w:right w:val="none" w:sz="0" w:space="0" w:color="auto"/>
          </w:divBdr>
          <w:divsChild>
            <w:div w:id="733697394">
              <w:marLeft w:val="0"/>
              <w:marRight w:val="-60"/>
              <w:marTop w:val="0"/>
              <w:marBottom w:val="0"/>
              <w:divBdr>
                <w:top w:val="none" w:sz="0" w:space="0" w:color="auto"/>
                <w:left w:val="none" w:sz="0" w:space="0" w:color="auto"/>
                <w:bottom w:val="none" w:sz="0" w:space="0" w:color="auto"/>
                <w:right w:val="none" w:sz="0" w:space="0" w:color="auto"/>
              </w:divBdr>
              <w:divsChild>
                <w:div w:id="222985913">
                  <w:marLeft w:val="0"/>
                  <w:marRight w:val="0"/>
                  <w:marTop w:val="300"/>
                  <w:marBottom w:val="300"/>
                  <w:divBdr>
                    <w:top w:val="none" w:sz="0" w:space="0" w:color="auto"/>
                    <w:left w:val="none" w:sz="0" w:space="0" w:color="auto"/>
                    <w:bottom w:val="none" w:sz="0" w:space="0" w:color="auto"/>
                    <w:right w:val="none" w:sz="0" w:space="0" w:color="auto"/>
                  </w:divBdr>
                  <w:divsChild>
                    <w:div w:id="1055930359">
                      <w:marLeft w:val="0"/>
                      <w:marRight w:val="0"/>
                      <w:marTop w:val="0"/>
                      <w:marBottom w:val="0"/>
                      <w:divBdr>
                        <w:top w:val="none" w:sz="0" w:space="0" w:color="auto"/>
                        <w:left w:val="none" w:sz="0" w:space="0" w:color="auto"/>
                        <w:bottom w:val="none" w:sz="0" w:space="0" w:color="auto"/>
                        <w:right w:val="none" w:sz="0" w:space="0" w:color="auto"/>
                      </w:divBdr>
                      <w:divsChild>
                        <w:div w:id="1289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netradyne.com/privacy-policy" TargetMode="External"/><Relationship Id="rId17" Type="http://schemas.openxmlformats.org/officeDocument/2006/relationships/hyperlink" Target="https://netorg726775.sharepoint.com/:f:/s/Privacy/EvecpKEhrflBhAAgbFzpLm0BeMalOYY1LD1AubnRQBp41Q?e=7LfL5u" TargetMode="External"/><Relationship Id="rId2" Type="http://schemas.openxmlformats.org/officeDocument/2006/relationships/customXml" Target="../customXml/item2.xml"/><Relationship Id="rId16" Type="http://schemas.openxmlformats.org/officeDocument/2006/relationships/hyperlink" Target="https://netorg726775.sharepoint.com/sites/Privacy/Third%20Party/Forms/AllItems.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netorg726775.sharepoint.com/:f:/s/Privacy/Eh2G44C9WctIhECE4oiAZbkB3FxBQ-PjhySCtcNh7tT16g?e=N6PeYN" TargetMode="External"/><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torg726775.sharepoint.com/:f:/s/Privacy/Esc-MCLY1OZPgAJ1HArAgZUB4I0nHt1o2aHSmrVGWD3fKg?e=QHOLRO" TargetMode="External"/><Relationship Id="rId22" Type="http://schemas.microsoft.com/office/2019/05/relationships/documenttasks" Target="documenttasks/documenttasks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Netradyne-mywork\Netradyne-New-Security-policy-and-procedure.dotx" TargetMode="External"/></Relationships>
</file>

<file path=word/documenttasks/documenttasks1.xml><?xml version="1.0" encoding="utf-8"?>
<t:Tasks xmlns:t="http://schemas.microsoft.com/office/tasks/2019/documenttasks" xmlns:oel="http://schemas.microsoft.com/office/2019/extlst">
  <t:Task id="{FD911E2B-97CE-46CB-90B7-F68A78FA093D}">
    <t:Anchor>
      <t:Comment id="479366903"/>
    </t:Anchor>
    <t:History>
      <t:Event id="{87755C66-689E-489D-99D0-0473B6A2C027}" time="2024-04-16T14:08:08.506Z">
        <t:Attribution userId="S::sudhansu.kumar@netradyne.com::f8b320e9-7a15-49cd-88f1-7c71e1e26e19" userProvider="AD" userName="Sudhansu Kumar"/>
        <t:Anchor>
          <t:Comment id="479366903"/>
        </t:Anchor>
        <t:Create/>
      </t:Event>
      <t:Event id="{D2554914-91F0-437A-8CF6-B40DC3F93CA8}" time="2024-04-16T14:08:08.506Z">
        <t:Attribution userId="S::sudhansu.kumar@netradyne.com::f8b320e9-7a15-49cd-88f1-7c71e1e26e19" userProvider="AD" userName="Sudhansu Kumar"/>
        <t:Anchor>
          <t:Comment id="479366903"/>
        </t:Anchor>
        <t:Assign userId="S::shivesh.ranjan@netradyne.com::ca798200-3dda-40a6-b5ab-dd9bf623d214" userProvider="AD" userName="Shivesh Ranjan"/>
      </t:Event>
      <t:Event id="{575CAB7A-2B91-42B6-9D79-D387864269FA}" time="2024-04-16T14:08:08.506Z">
        <t:Attribution userId="S::sudhansu.kumar@netradyne.com::f8b320e9-7a15-49cd-88f1-7c71e1e26e19" userProvider="AD" userName="Sudhansu Kumar"/>
        <t:Anchor>
          <t:Comment id="479366903"/>
        </t:Anchor>
        <t:SetTitle title="@Shivesh Ranjan just make sure that author and approver can’t be the same person."/>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b415eba-e95e-415c-8eaf-40b5b4ad0f84">
      <Terms xmlns="http://schemas.microsoft.com/office/infopath/2007/PartnerControls"/>
    </lcf76f155ced4ddcb4097134ff3c332f>
    <TaxCatchAll xmlns="86c93658-3e86-4f8b-89f3-61afe5bfc4aa" xsi:nil="true"/>
    <SharedWithUsers xmlns="86c93658-3e86-4f8b-89f3-61afe5bfc4aa">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D4800-42B6-430B-A6EF-0BCD98F95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9F7A30-9F76-4C18-9100-FCEFA94CB15D}">
  <ds:schemaRefs>
    <ds:schemaRef ds:uri="http://schemas.microsoft.com/office/2006/metadata/properties"/>
    <ds:schemaRef ds:uri="http://schemas.microsoft.com/office/infopath/2007/PartnerControls"/>
    <ds:schemaRef ds:uri="fb415eba-e95e-415c-8eaf-40b5b4ad0f84"/>
    <ds:schemaRef ds:uri="86c93658-3e86-4f8b-89f3-61afe5bfc4aa"/>
  </ds:schemaRefs>
</ds:datastoreItem>
</file>

<file path=customXml/itemProps3.xml><?xml version="1.0" encoding="utf-8"?>
<ds:datastoreItem xmlns:ds="http://schemas.openxmlformats.org/officeDocument/2006/customXml" ds:itemID="{631FC846-6EB6-483F-B62A-EECBDA1DB434}">
  <ds:schemaRefs>
    <ds:schemaRef ds:uri="http://schemas.microsoft.com/sharepoint/v3/contenttype/forms"/>
  </ds:schemaRefs>
</ds:datastoreItem>
</file>

<file path=customXml/itemProps4.xml><?xml version="1.0" encoding="utf-8"?>
<ds:datastoreItem xmlns:ds="http://schemas.openxmlformats.org/officeDocument/2006/customXml" ds:itemID="{8B6B4950-6106-4F75-BAC8-DE9A0E0A1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Netradyne-New-Security-policy-and-procedure.dotx</Template>
  <TotalTime>3</TotalTime>
  <Pages>1</Pages>
  <Words>4929</Words>
  <Characters>28099</Characters>
  <Application>Microsoft Office Word</Application>
  <DocSecurity>4</DocSecurity>
  <Lines>234</Lines>
  <Paragraphs>65</Paragraphs>
  <ScaleCrop>false</ScaleCrop>
  <Company/>
  <LinksUpToDate>false</LinksUpToDate>
  <CharactersWithSpaces>32963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Netradyne Personal Data Protection Policy</dc:title>
  <dc:subject/>
  <dc:creator>Melwin Prabu</dc:creator>
  <cp:keywords>InfoSec; Vulnerability Management</cp:keywords>
  <dc:description/>
  <cp:lastModifiedBy>Kavitha Shetty</cp:lastModifiedBy>
  <cp:revision>3</cp:revision>
  <cp:lastPrinted>2025-07-29T01:13:00Z</cp:lastPrinted>
  <dcterms:created xsi:type="dcterms:W3CDTF">2025-07-29T01:13:00Z</dcterms:created>
  <dcterms:modified xsi:type="dcterms:W3CDTF">2025-07-28T12:43:00Z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ediaServiceImageTags">
    <vt:lpwstr/>
  </property>
  <property fmtid="{D5CDD505-2E9C-101B-9397-08002B2CF9AE}" pid="4" name="MSIP_Label_c82d1495-f368-494b-8696-ae3e76786b05_Enabled">
    <vt:lpwstr>true</vt:lpwstr>
  </property>
  <property fmtid="{D5CDD505-2E9C-101B-9397-08002B2CF9AE}" pid="5" name="MSIP_Label_c82d1495-f368-494b-8696-ae3e76786b05_SetDate">
    <vt:lpwstr>2023-05-12T10:42:44Z</vt:lpwstr>
  </property>
  <property fmtid="{D5CDD505-2E9C-101B-9397-08002B2CF9AE}" pid="6" name="MSIP_Label_c82d1495-f368-494b-8696-ae3e76786b05_Method">
    <vt:lpwstr>Standard</vt:lpwstr>
  </property>
  <property fmtid="{D5CDD505-2E9C-101B-9397-08002B2CF9AE}" pid="7" name="MSIP_Label_c82d1495-f368-494b-8696-ae3e76786b05_Name">
    <vt:lpwstr>defa4170-0d19-0005-0004-bc88714345d2</vt:lpwstr>
  </property>
  <property fmtid="{D5CDD505-2E9C-101B-9397-08002B2CF9AE}" pid="8" name="MSIP_Label_c82d1495-f368-494b-8696-ae3e76786b05_SiteId">
    <vt:lpwstr>b84f219a-0fcd-4dfa-8476-edcc96f3324c</vt:lpwstr>
  </property>
  <property fmtid="{D5CDD505-2E9C-101B-9397-08002B2CF9AE}" pid="9" name="MSIP_Label_c82d1495-f368-494b-8696-ae3e76786b05_ActionId">
    <vt:lpwstr>60669848-afbc-431e-a1d3-d062786cff66</vt:lpwstr>
  </property>
  <property fmtid="{D5CDD505-2E9C-101B-9397-08002B2CF9AE}" pid="10" name="MSIP_Label_c82d1495-f368-494b-8696-ae3e76786b05_ContentBits">
    <vt:lpwstr>0</vt:lpwstr>
  </property>
  <property fmtid="{D5CDD505-2E9C-101B-9397-08002B2CF9AE}" pid="11" name="Order">
    <vt:r8>79500</vt:r8>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ies>
</file>