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204176324"/>
        <w:docPartObj>
          <w:docPartGallery w:val="Cover Pages"/>
          <w:docPartUnique/>
        </w:docPartObj>
      </w:sdtPr>
      <w:sdtContent>
        <w:p w:rsidR="00650B52" w:rsidP="00CF5210" w:rsidRDefault="00B23147" w14:paraId="3D93F117" w14:textId="4063DFBD">
          <w:r>
            <w:rPr>
              <w:noProof/>
            </w:rPr>
            <w:drawing>
              <wp:inline distT="0" distB="0" distL="0" distR="0" wp14:anchorId="3F99ECF1" wp14:editId="528B2DDA">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6CCEAA35" wp14:editId="4A64834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6EBE4B74">
                  <v:shapetype id="_x0000_t202" coordsize="21600,21600" o:spt="202" path="m,l,21600r21600,l21600,xe" w14:anchorId="6CCEAA35">
                    <v:stroke joinstyle="miter"/>
                    <v:path gradientshapeok="t" o:connecttype="rect"/>
                  </v:shapetype>
                  <v:shape id="Text Box 7"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3E56AC" w:rsidRDefault="003E56AC" w14:paraId="0C63C5CF"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61518EC6" wp14:editId="6390F06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name="_Toc158641203" w:id="0"/>
                              <w:p w:rsidR="003E56AC" w:rsidRDefault="001910C3" w14:paraId="078D9CB2" w14:textId="7EEDF1D3">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Pr="006555C5" w:rsidR="005E2B3C">
                                      <w:rPr>
                                        <w:rStyle w:val="Heading2Char"/>
                                        <w:rFonts w:eastAsiaTheme="majorEastAsia" w:cstheme="majorBidi"/>
                                        <w:b w:val="0"/>
                                        <w:bCs w:val="0"/>
                                        <w:spacing w:val="-10"/>
                                        <w:kern w:val="28"/>
                                        <w:sz w:val="36"/>
                                        <w:szCs w:val="56"/>
                                      </w:rPr>
                                      <w:t xml:space="preserve">Netradyne </w:t>
                                    </w:r>
                                    <w:r w:rsidR="005433B3">
                                      <w:rPr>
                                        <w:rStyle w:val="Heading2Char"/>
                                        <w:rFonts w:eastAsiaTheme="majorEastAsia" w:cstheme="majorBidi"/>
                                        <w:b w:val="0"/>
                                        <w:bCs w:val="0"/>
                                        <w:spacing w:val="-10"/>
                                        <w:kern w:val="28"/>
                                        <w:sz w:val="36"/>
                                        <w:szCs w:val="56"/>
                                      </w:rPr>
                                      <w:t>Vulnerability Response Playbook</w:t>
                                    </w:r>
                                  </w:sdtContent>
                                </w:sdt>
                                <w:bookmarkEnd w:id="0"/>
                              </w:p>
                              <w:p w:rsidR="003E56AC" w:rsidRDefault="001910C3" w14:paraId="5EC1150E" w14:textId="62A2A1A6">
                                <w:pPr>
                                  <w:jc w:val="right"/>
                                  <w:rPr>
                                    <w:smallCaps/>
                                    <w:color w:val="404040" w:themeColor="text1" w:themeTint="BF"/>
                                    <w:sz w:val="36"/>
                                    <w:szCs w:val="36"/>
                                  </w:rPr>
                                </w:pPr>
                                <w:sdt>
                                  <w:sdtPr>
                                    <w:rPr>
                                      <w:color w:val="404040" w:themeColor="text1" w:themeTint="BF"/>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rPr>
                                      <w:t xml:space="preserve">     </w:t>
                                    </w:r>
                                  </w:sdtContent>
                                </w:sdt>
                                <w:r w:rsidR="00D373CA">
                                  <w:rPr>
                                    <w:color w:val="404040" w:themeColor="text1" w:themeTint="BF"/>
                                  </w:rPr>
                                  <w:t>V3</w:t>
                                </w:r>
                                <w:r w:rsidR="00B22AB2">
                                  <w:rPr>
                                    <w:color w:val="404040" w:themeColor="text1" w:themeTint="BF"/>
                                  </w:rPr>
                                  <w:t>.0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23A5117C">
                  <v:shape id="Text Box 8"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61518EC6">
                    <v:textbox inset="126pt,0,54pt,0">
                      <w:txbxContent>
                        <w:p w:rsidR="003E56AC" w:rsidRDefault="001910C3" w14:paraId="7A47939A" w14:textId="7EEDF1D3">
                          <w:pPr>
                            <w:jc w:val="right"/>
                            <w:rPr>
                              <w:color w:val="4472C4" w:themeColor="accent1"/>
                              <w:sz w:val="64"/>
                              <w:szCs w:val="64"/>
                            </w:rPr>
                          </w:pPr>
                          <w:sdt>
                            <w:sdtPr>
                              <w:id w:val="1853791132"/>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Pr="006555C5" w:rsidR="005E2B3C">
                                <w:rPr>
                                  <w:rStyle w:val="Heading2Char"/>
                                  <w:rFonts w:eastAsiaTheme="majorEastAsia" w:cstheme="majorBidi"/>
                                  <w:b w:val="0"/>
                                  <w:bCs w:val="0"/>
                                  <w:spacing w:val="-10"/>
                                  <w:kern w:val="28"/>
                                  <w:sz w:val="36"/>
                                  <w:szCs w:val="56"/>
                                </w:rPr>
                                <w:t xml:space="preserve">Netradyne </w:t>
                              </w:r>
                              <w:r w:rsidR="005433B3">
                                <w:rPr>
                                  <w:rStyle w:val="Heading2Char"/>
                                  <w:rFonts w:eastAsiaTheme="majorEastAsia" w:cstheme="majorBidi"/>
                                  <w:b w:val="0"/>
                                  <w:bCs w:val="0"/>
                                  <w:spacing w:val="-10"/>
                                  <w:kern w:val="28"/>
                                  <w:sz w:val="36"/>
                                  <w:szCs w:val="56"/>
                                </w:rPr>
                                <w:t>Vulnerability Response Playbook</w:t>
                              </w:r>
                            </w:sdtContent>
                          </w:sdt>
                        </w:p>
                        <w:p w:rsidR="003E56AC" w:rsidRDefault="001910C3" w14:paraId="67F7AF21" w14:textId="62A2A1A6">
                          <w:pPr>
                            <w:jc w:val="right"/>
                            <w:rPr>
                              <w:smallCaps/>
                              <w:color w:val="404040" w:themeColor="text1" w:themeTint="BF"/>
                              <w:sz w:val="36"/>
                              <w:szCs w:val="36"/>
                            </w:rPr>
                          </w:pPr>
                          <w:sdt>
                            <w:sdtPr>
                              <w:id w:val="1857049695"/>
                              <w:rPr>
                                <w:color w:val="404040" w:themeColor="text1" w:themeTint="BF"/>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rPr>
                                <w:t xml:space="preserve">     </w:t>
                              </w:r>
                            </w:sdtContent>
                          </w:sdt>
                          <w:r w:rsidR="00D373CA">
                            <w:rPr>
                              <w:color w:val="404040" w:themeColor="text1" w:themeTint="BF"/>
                            </w:rPr>
                            <w:t>V3</w:t>
                          </w:r>
                          <w:r w:rsidR="00B22AB2">
                            <w:rPr>
                              <w:color w:val="404040" w:themeColor="text1" w:themeTint="BF"/>
                            </w:rPr>
                            <w:t>.0</w:t>
                          </w:r>
                        </w:p>
                      </w:txbxContent>
                    </v:textbox>
                    <w10:wrap type="square" anchorx="page" anchory="page"/>
                  </v:shape>
                </w:pict>
              </mc:Fallback>
            </mc:AlternateContent>
          </w:r>
          <w:r w:rsidR="003E56AC">
            <w:br w:type="page"/>
          </w:r>
        </w:p>
      </w:sdtContent>
    </w:sdt>
    <w:p w:rsidRPr="005F6750" w:rsidR="006E7FF5" w:rsidP="00650B52" w:rsidRDefault="008B3BF0" w14:paraId="3CD9221E" w14:textId="3EAAE806">
      <w:pPr>
        <w:pStyle w:val="IntenseQuote"/>
        <w:rPr>
          <w:rStyle w:val="IntenseReference"/>
        </w:rPr>
      </w:pPr>
      <w:r w:rsidRPr="005F6750">
        <w:rPr>
          <w:rStyle w:val="IntenseReference"/>
        </w:rPr>
        <w:t>Table of Contents</w:t>
      </w:r>
    </w:p>
    <w:p w:rsidR="00650B52" w:rsidRDefault="00650B52" w14:paraId="6A2FBBF7" w14:textId="77777777">
      <w:pPr>
        <w:pStyle w:val="TOC3"/>
        <w:tabs>
          <w:tab w:val="right" w:leader="dot" w:pos="9016"/>
        </w:tabs>
      </w:pPr>
    </w:p>
    <w:p w:rsidR="00E53304" w:rsidRDefault="00FE3158" w14:paraId="1BFB455B" w14:textId="75CD496E">
      <w:pPr>
        <w:pStyle w:val="TOC2"/>
        <w:tabs>
          <w:tab w:val="right" w:leader="dot" w:pos="9016"/>
        </w:tabs>
        <w:rPr>
          <w:rFonts w:eastAsiaTheme="minorEastAsia"/>
          <w:smallCaps w:val="0"/>
          <w:noProof/>
          <w:kern w:val="2"/>
          <w:sz w:val="22"/>
          <w:szCs w:val="22"/>
          <w:lang w:val="en-US"/>
          <w14:ligatures w14:val="standardContextual"/>
        </w:rPr>
      </w:pPr>
      <w:r>
        <w:rPr>
          <w:i/>
          <w:iCs/>
        </w:rPr>
        <w:fldChar w:fldCharType="begin"/>
      </w:r>
      <w:r>
        <w:instrText xml:space="preserve"> TOC \o "1-3" \h \z \u </w:instrText>
      </w:r>
      <w:r>
        <w:rPr>
          <w:i/>
          <w:iCs/>
        </w:rPr>
        <w:fldChar w:fldCharType="separate"/>
      </w:r>
      <w:hyperlink w:history="1" w:anchor="_Toc158641203" r:id="rId12">
        <w:r w:rsidRPr="009E2E64" w:rsidR="00E53304">
          <w:rPr>
            <w:rStyle w:val="Hyperlink"/>
            <w:rFonts w:eastAsiaTheme="majorEastAsia" w:cstheme="majorBidi"/>
            <w:noProof/>
            <w:spacing w:val="-10"/>
            <w:kern w:val="28"/>
          </w:rPr>
          <w:t>Netradyne Vulnerability Response Playbook</w:t>
        </w:r>
        <w:r w:rsidR="00E53304">
          <w:rPr>
            <w:noProof/>
            <w:webHidden/>
          </w:rPr>
          <w:tab/>
        </w:r>
        <w:r w:rsidR="00E53304">
          <w:rPr>
            <w:noProof/>
            <w:webHidden/>
          </w:rPr>
          <w:fldChar w:fldCharType="begin"/>
        </w:r>
        <w:r w:rsidR="00E53304">
          <w:rPr>
            <w:noProof/>
            <w:webHidden/>
          </w:rPr>
          <w:instrText xml:space="preserve"> PAGEREF _Toc158641203 \h </w:instrText>
        </w:r>
        <w:r w:rsidR="00E53304">
          <w:rPr>
            <w:noProof/>
            <w:webHidden/>
          </w:rPr>
        </w:r>
        <w:r w:rsidR="00E53304">
          <w:rPr>
            <w:noProof/>
            <w:webHidden/>
          </w:rPr>
          <w:fldChar w:fldCharType="separate"/>
        </w:r>
        <w:r w:rsidR="003C62F3">
          <w:rPr>
            <w:noProof/>
            <w:webHidden/>
          </w:rPr>
          <w:t>0</w:t>
        </w:r>
        <w:r w:rsidR="00E53304">
          <w:rPr>
            <w:noProof/>
            <w:webHidden/>
          </w:rPr>
          <w:fldChar w:fldCharType="end"/>
        </w:r>
      </w:hyperlink>
    </w:p>
    <w:p w:rsidR="00E53304" w:rsidRDefault="00E53304" w14:paraId="11A0752D" w14:textId="04FE2C55">
      <w:pPr>
        <w:pStyle w:val="TOC3"/>
        <w:tabs>
          <w:tab w:val="right" w:leader="dot" w:pos="9016"/>
        </w:tabs>
        <w:rPr>
          <w:rFonts w:eastAsiaTheme="minorEastAsia"/>
          <w:i w:val="0"/>
          <w:iCs w:val="0"/>
          <w:noProof/>
          <w:kern w:val="2"/>
          <w:sz w:val="22"/>
          <w:szCs w:val="22"/>
          <w:lang w:val="en-US"/>
          <w14:ligatures w14:val="standardContextual"/>
        </w:rPr>
      </w:pPr>
      <w:hyperlink w:history="1" w:anchor="_Toc158641204">
        <w:r w:rsidRPr="009E2E64">
          <w:rPr>
            <w:rStyle w:val="Hyperlink"/>
            <w:noProof/>
          </w:rPr>
          <w:t>Document Control</w:t>
        </w:r>
        <w:r>
          <w:rPr>
            <w:noProof/>
            <w:webHidden/>
          </w:rPr>
          <w:tab/>
        </w:r>
        <w:r>
          <w:rPr>
            <w:noProof/>
            <w:webHidden/>
          </w:rPr>
          <w:fldChar w:fldCharType="begin"/>
        </w:r>
        <w:r>
          <w:rPr>
            <w:noProof/>
            <w:webHidden/>
          </w:rPr>
          <w:instrText xml:space="preserve"> PAGEREF _Toc158641204 \h </w:instrText>
        </w:r>
        <w:r>
          <w:rPr>
            <w:noProof/>
            <w:webHidden/>
          </w:rPr>
        </w:r>
        <w:r>
          <w:rPr>
            <w:noProof/>
            <w:webHidden/>
          </w:rPr>
          <w:fldChar w:fldCharType="separate"/>
        </w:r>
        <w:r w:rsidR="003C62F3">
          <w:rPr>
            <w:noProof/>
            <w:webHidden/>
          </w:rPr>
          <w:t>2</w:t>
        </w:r>
        <w:r>
          <w:rPr>
            <w:noProof/>
            <w:webHidden/>
          </w:rPr>
          <w:fldChar w:fldCharType="end"/>
        </w:r>
      </w:hyperlink>
    </w:p>
    <w:p w:rsidR="00E53304" w:rsidRDefault="00E53304" w14:paraId="53BBECE7" w14:textId="206C2C14">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641205">
        <w:r w:rsidRPr="009E2E64">
          <w:rPr>
            <w:rStyle w:val="Hyperlink"/>
            <w:rFonts w:eastAsiaTheme="majorEastAsia"/>
            <w:noProof/>
            <w:lang w:val="en-US"/>
          </w:rPr>
          <w:t>1</w:t>
        </w:r>
        <w:r>
          <w:rPr>
            <w:rFonts w:eastAsiaTheme="minorEastAsia"/>
            <w:b w:val="0"/>
            <w:bCs w:val="0"/>
            <w:caps w:val="0"/>
            <w:noProof/>
            <w:kern w:val="2"/>
            <w:sz w:val="22"/>
            <w:szCs w:val="22"/>
            <w:lang w:val="en-US"/>
            <w14:ligatures w14:val="standardContextual"/>
          </w:rPr>
          <w:tab/>
        </w:r>
        <w:r w:rsidRPr="009E2E64">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_Toc158641205 \h </w:instrText>
        </w:r>
        <w:r>
          <w:rPr>
            <w:noProof/>
            <w:webHidden/>
          </w:rPr>
        </w:r>
        <w:r>
          <w:rPr>
            <w:noProof/>
            <w:webHidden/>
          </w:rPr>
          <w:fldChar w:fldCharType="separate"/>
        </w:r>
        <w:r w:rsidR="003C62F3">
          <w:rPr>
            <w:noProof/>
            <w:webHidden/>
          </w:rPr>
          <w:t>3</w:t>
        </w:r>
        <w:r>
          <w:rPr>
            <w:noProof/>
            <w:webHidden/>
          </w:rPr>
          <w:fldChar w:fldCharType="end"/>
        </w:r>
      </w:hyperlink>
    </w:p>
    <w:p w:rsidR="00E53304" w:rsidRDefault="00E53304" w14:paraId="6B7C448A" w14:textId="6A65B8AD">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641206">
        <w:r w:rsidRPr="009E2E64">
          <w:rPr>
            <w:rStyle w:val="Hyperlink"/>
            <w:rFonts w:eastAsiaTheme="majorEastAsia"/>
            <w:noProof/>
          </w:rPr>
          <w:t>2</w:t>
        </w:r>
        <w:r>
          <w:rPr>
            <w:rFonts w:eastAsiaTheme="minorEastAsia"/>
            <w:b w:val="0"/>
            <w:bCs w:val="0"/>
            <w:caps w:val="0"/>
            <w:noProof/>
            <w:kern w:val="2"/>
            <w:sz w:val="22"/>
            <w:szCs w:val="22"/>
            <w:lang w:val="en-US"/>
            <w14:ligatures w14:val="standardContextual"/>
          </w:rPr>
          <w:tab/>
        </w:r>
        <w:r w:rsidRPr="009E2E64">
          <w:rPr>
            <w:rStyle w:val="Hyperlink"/>
            <w:rFonts w:eastAsiaTheme="majorEastAsia"/>
            <w:noProof/>
          </w:rPr>
          <w:t>Scope</w:t>
        </w:r>
        <w:r>
          <w:rPr>
            <w:noProof/>
            <w:webHidden/>
          </w:rPr>
          <w:tab/>
        </w:r>
        <w:r>
          <w:rPr>
            <w:noProof/>
            <w:webHidden/>
          </w:rPr>
          <w:fldChar w:fldCharType="begin"/>
        </w:r>
        <w:r>
          <w:rPr>
            <w:noProof/>
            <w:webHidden/>
          </w:rPr>
          <w:instrText xml:space="preserve"> PAGEREF _Toc158641206 \h </w:instrText>
        </w:r>
        <w:r>
          <w:rPr>
            <w:noProof/>
            <w:webHidden/>
          </w:rPr>
        </w:r>
        <w:r>
          <w:rPr>
            <w:noProof/>
            <w:webHidden/>
          </w:rPr>
          <w:fldChar w:fldCharType="separate"/>
        </w:r>
        <w:r w:rsidR="003C62F3">
          <w:rPr>
            <w:noProof/>
            <w:webHidden/>
          </w:rPr>
          <w:t>3</w:t>
        </w:r>
        <w:r>
          <w:rPr>
            <w:noProof/>
            <w:webHidden/>
          </w:rPr>
          <w:fldChar w:fldCharType="end"/>
        </w:r>
      </w:hyperlink>
    </w:p>
    <w:p w:rsidR="00E53304" w:rsidRDefault="00E53304" w14:paraId="195E4E2F" w14:textId="263981E2">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641207">
        <w:r w:rsidRPr="009E2E64">
          <w:rPr>
            <w:rStyle w:val="Hyperlink"/>
            <w:rFonts w:eastAsiaTheme="majorEastAsia"/>
            <w:noProof/>
          </w:rPr>
          <w:t>3</w:t>
        </w:r>
        <w:r>
          <w:rPr>
            <w:rFonts w:eastAsiaTheme="minorEastAsia"/>
            <w:b w:val="0"/>
            <w:bCs w:val="0"/>
            <w:caps w:val="0"/>
            <w:noProof/>
            <w:kern w:val="2"/>
            <w:sz w:val="22"/>
            <w:szCs w:val="22"/>
            <w:lang w:val="en-US"/>
            <w14:ligatures w14:val="standardContextual"/>
          </w:rPr>
          <w:tab/>
        </w:r>
        <w:r w:rsidRPr="009E2E64">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_Toc158641207 \h </w:instrText>
        </w:r>
        <w:r>
          <w:rPr>
            <w:noProof/>
            <w:webHidden/>
          </w:rPr>
        </w:r>
        <w:r>
          <w:rPr>
            <w:noProof/>
            <w:webHidden/>
          </w:rPr>
          <w:fldChar w:fldCharType="separate"/>
        </w:r>
        <w:r w:rsidR="003C62F3">
          <w:rPr>
            <w:noProof/>
            <w:webHidden/>
          </w:rPr>
          <w:t>3</w:t>
        </w:r>
        <w:r>
          <w:rPr>
            <w:noProof/>
            <w:webHidden/>
          </w:rPr>
          <w:fldChar w:fldCharType="end"/>
        </w:r>
      </w:hyperlink>
    </w:p>
    <w:p w:rsidR="00E53304" w:rsidRDefault="00E53304" w14:paraId="51EA11DA" w14:textId="2060771B">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641208">
        <w:r w:rsidRPr="009E2E64">
          <w:rPr>
            <w:rStyle w:val="Hyperlink"/>
            <w:rFonts w:eastAsiaTheme="majorEastAsia"/>
            <w:noProof/>
            <w:lang w:val="en-US"/>
          </w:rPr>
          <w:t>4</w:t>
        </w:r>
        <w:r>
          <w:rPr>
            <w:rFonts w:eastAsiaTheme="minorEastAsia"/>
            <w:b w:val="0"/>
            <w:bCs w:val="0"/>
            <w:caps w:val="0"/>
            <w:noProof/>
            <w:kern w:val="2"/>
            <w:sz w:val="22"/>
            <w:szCs w:val="22"/>
            <w:lang w:val="en-US"/>
            <w14:ligatures w14:val="standardContextual"/>
          </w:rPr>
          <w:tab/>
        </w:r>
        <w:r w:rsidRPr="009E2E64">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_Toc158641208 \h </w:instrText>
        </w:r>
        <w:r>
          <w:rPr>
            <w:noProof/>
            <w:webHidden/>
          </w:rPr>
        </w:r>
        <w:r>
          <w:rPr>
            <w:noProof/>
            <w:webHidden/>
          </w:rPr>
          <w:fldChar w:fldCharType="separate"/>
        </w:r>
        <w:r w:rsidR="003C62F3">
          <w:rPr>
            <w:noProof/>
            <w:webHidden/>
          </w:rPr>
          <w:t>3</w:t>
        </w:r>
        <w:r>
          <w:rPr>
            <w:noProof/>
            <w:webHidden/>
          </w:rPr>
          <w:fldChar w:fldCharType="end"/>
        </w:r>
      </w:hyperlink>
    </w:p>
    <w:p w:rsidR="00E53304" w:rsidRDefault="00E53304" w14:paraId="1BBBBB8E" w14:textId="5A560639">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58641209">
        <w:r w:rsidRPr="009E2E64">
          <w:rPr>
            <w:rStyle w:val="Hyperlink"/>
            <w:noProof/>
          </w:rPr>
          <w:t>4.1</w:t>
        </w:r>
        <w:r>
          <w:rPr>
            <w:rFonts w:eastAsiaTheme="minorEastAsia"/>
            <w:smallCaps w:val="0"/>
            <w:noProof/>
            <w:kern w:val="2"/>
            <w:sz w:val="22"/>
            <w:szCs w:val="22"/>
            <w:lang w:val="en-US"/>
            <w14:ligatures w14:val="standardContextual"/>
          </w:rPr>
          <w:tab/>
        </w:r>
        <w:r w:rsidRPr="009E2E64">
          <w:rPr>
            <w:rStyle w:val="Hyperlink"/>
            <w:noProof/>
          </w:rPr>
          <w:t>Preparation</w:t>
        </w:r>
        <w:r>
          <w:rPr>
            <w:noProof/>
            <w:webHidden/>
          </w:rPr>
          <w:tab/>
        </w:r>
        <w:r>
          <w:rPr>
            <w:noProof/>
            <w:webHidden/>
          </w:rPr>
          <w:fldChar w:fldCharType="begin"/>
        </w:r>
        <w:r>
          <w:rPr>
            <w:noProof/>
            <w:webHidden/>
          </w:rPr>
          <w:instrText xml:space="preserve"> PAGEREF _Toc158641209 \h </w:instrText>
        </w:r>
        <w:r>
          <w:rPr>
            <w:noProof/>
            <w:webHidden/>
          </w:rPr>
        </w:r>
        <w:r>
          <w:rPr>
            <w:noProof/>
            <w:webHidden/>
          </w:rPr>
          <w:fldChar w:fldCharType="separate"/>
        </w:r>
        <w:r w:rsidR="003C62F3">
          <w:rPr>
            <w:noProof/>
            <w:webHidden/>
          </w:rPr>
          <w:t>4</w:t>
        </w:r>
        <w:r>
          <w:rPr>
            <w:noProof/>
            <w:webHidden/>
          </w:rPr>
          <w:fldChar w:fldCharType="end"/>
        </w:r>
      </w:hyperlink>
    </w:p>
    <w:p w:rsidR="00E53304" w:rsidRDefault="00E53304" w14:paraId="0C16E485" w14:textId="0AF0FCEE">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58641210">
        <w:r w:rsidRPr="009E2E64">
          <w:rPr>
            <w:rStyle w:val="Hyperlink"/>
            <w:rFonts w:eastAsiaTheme="majorEastAsia"/>
            <w:noProof/>
          </w:rPr>
          <w:t>4.2</w:t>
        </w:r>
        <w:r>
          <w:rPr>
            <w:rFonts w:eastAsiaTheme="minorEastAsia"/>
            <w:smallCaps w:val="0"/>
            <w:noProof/>
            <w:kern w:val="2"/>
            <w:sz w:val="22"/>
            <w:szCs w:val="22"/>
            <w:lang w:val="en-US"/>
            <w14:ligatures w14:val="standardContextual"/>
          </w:rPr>
          <w:tab/>
        </w:r>
        <w:r w:rsidRPr="009E2E64">
          <w:rPr>
            <w:rStyle w:val="Hyperlink"/>
            <w:noProof/>
          </w:rPr>
          <w:t>Vulnerability Response Process</w:t>
        </w:r>
        <w:r>
          <w:rPr>
            <w:noProof/>
            <w:webHidden/>
          </w:rPr>
          <w:tab/>
        </w:r>
        <w:r>
          <w:rPr>
            <w:noProof/>
            <w:webHidden/>
          </w:rPr>
          <w:fldChar w:fldCharType="begin"/>
        </w:r>
        <w:r>
          <w:rPr>
            <w:noProof/>
            <w:webHidden/>
          </w:rPr>
          <w:instrText xml:space="preserve"> PAGEREF _Toc158641210 \h </w:instrText>
        </w:r>
        <w:r>
          <w:rPr>
            <w:noProof/>
            <w:webHidden/>
          </w:rPr>
        </w:r>
        <w:r>
          <w:rPr>
            <w:noProof/>
            <w:webHidden/>
          </w:rPr>
          <w:fldChar w:fldCharType="separate"/>
        </w:r>
        <w:r w:rsidR="003C62F3">
          <w:rPr>
            <w:noProof/>
            <w:webHidden/>
          </w:rPr>
          <w:t>4</w:t>
        </w:r>
        <w:r>
          <w:rPr>
            <w:noProof/>
            <w:webHidden/>
          </w:rPr>
          <w:fldChar w:fldCharType="end"/>
        </w:r>
      </w:hyperlink>
    </w:p>
    <w:p w:rsidR="00E53304" w:rsidRDefault="00E53304" w14:paraId="6549830D" w14:textId="2D34807C">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58641211">
        <w:r w:rsidRPr="009E2E64">
          <w:rPr>
            <w:rStyle w:val="Hyperlink"/>
            <w:noProof/>
          </w:rPr>
          <w:t>4.2.1</w:t>
        </w:r>
        <w:r>
          <w:rPr>
            <w:rFonts w:eastAsiaTheme="minorEastAsia"/>
            <w:i w:val="0"/>
            <w:iCs w:val="0"/>
            <w:noProof/>
            <w:kern w:val="2"/>
            <w:sz w:val="22"/>
            <w:szCs w:val="22"/>
            <w:lang w:val="en-US"/>
            <w14:ligatures w14:val="standardContextual"/>
          </w:rPr>
          <w:tab/>
        </w:r>
        <w:r w:rsidRPr="009E2E64">
          <w:rPr>
            <w:rStyle w:val="Hyperlink"/>
            <w:noProof/>
          </w:rPr>
          <w:t>Identification</w:t>
        </w:r>
        <w:r>
          <w:rPr>
            <w:noProof/>
            <w:webHidden/>
          </w:rPr>
          <w:tab/>
        </w:r>
        <w:r>
          <w:rPr>
            <w:noProof/>
            <w:webHidden/>
          </w:rPr>
          <w:fldChar w:fldCharType="begin"/>
        </w:r>
        <w:r>
          <w:rPr>
            <w:noProof/>
            <w:webHidden/>
          </w:rPr>
          <w:instrText xml:space="preserve"> PAGEREF _Toc158641211 \h </w:instrText>
        </w:r>
        <w:r>
          <w:rPr>
            <w:noProof/>
            <w:webHidden/>
          </w:rPr>
        </w:r>
        <w:r>
          <w:rPr>
            <w:noProof/>
            <w:webHidden/>
          </w:rPr>
          <w:fldChar w:fldCharType="separate"/>
        </w:r>
        <w:r w:rsidR="003C62F3">
          <w:rPr>
            <w:noProof/>
            <w:webHidden/>
          </w:rPr>
          <w:t>4</w:t>
        </w:r>
        <w:r>
          <w:rPr>
            <w:noProof/>
            <w:webHidden/>
          </w:rPr>
          <w:fldChar w:fldCharType="end"/>
        </w:r>
      </w:hyperlink>
    </w:p>
    <w:p w:rsidR="00E53304" w:rsidRDefault="00E53304" w14:paraId="50358787" w14:textId="5D873016">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58641212">
        <w:r w:rsidRPr="009E2E64">
          <w:rPr>
            <w:rStyle w:val="Hyperlink"/>
            <w:noProof/>
          </w:rPr>
          <w:t>4.2.2</w:t>
        </w:r>
        <w:r>
          <w:rPr>
            <w:rFonts w:eastAsiaTheme="minorEastAsia"/>
            <w:i w:val="0"/>
            <w:iCs w:val="0"/>
            <w:noProof/>
            <w:kern w:val="2"/>
            <w:sz w:val="22"/>
            <w:szCs w:val="22"/>
            <w:lang w:val="en-US"/>
            <w14:ligatures w14:val="standardContextual"/>
          </w:rPr>
          <w:tab/>
        </w:r>
        <w:r w:rsidRPr="009E2E64">
          <w:rPr>
            <w:rStyle w:val="Hyperlink"/>
            <w:noProof/>
          </w:rPr>
          <w:t>Evaluation</w:t>
        </w:r>
        <w:r>
          <w:rPr>
            <w:noProof/>
            <w:webHidden/>
          </w:rPr>
          <w:tab/>
        </w:r>
        <w:r>
          <w:rPr>
            <w:noProof/>
            <w:webHidden/>
          </w:rPr>
          <w:fldChar w:fldCharType="begin"/>
        </w:r>
        <w:r>
          <w:rPr>
            <w:noProof/>
            <w:webHidden/>
          </w:rPr>
          <w:instrText xml:space="preserve"> PAGEREF _Toc158641212 \h </w:instrText>
        </w:r>
        <w:r>
          <w:rPr>
            <w:noProof/>
            <w:webHidden/>
          </w:rPr>
        </w:r>
        <w:r>
          <w:rPr>
            <w:noProof/>
            <w:webHidden/>
          </w:rPr>
          <w:fldChar w:fldCharType="separate"/>
        </w:r>
        <w:r w:rsidR="003C62F3">
          <w:rPr>
            <w:noProof/>
            <w:webHidden/>
          </w:rPr>
          <w:t>5</w:t>
        </w:r>
        <w:r>
          <w:rPr>
            <w:noProof/>
            <w:webHidden/>
          </w:rPr>
          <w:fldChar w:fldCharType="end"/>
        </w:r>
      </w:hyperlink>
    </w:p>
    <w:p w:rsidR="00E53304" w:rsidRDefault="00E53304" w14:paraId="309D1EE9" w14:textId="680225AA">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58641213">
        <w:r w:rsidRPr="009E2E64">
          <w:rPr>
            <w:rStyle w:val="Hyperlink"/>
            <w:rFonts w:cs="Arial"/>
            <w:noProof/>
          </w:rPr>
          <w:t>4.2.3</w:t>
        </w:r>
        <w:r>
          <w:rPr>
            <w:rFonts w:eastAsiaTheme="minorEastAsia"/>
            <w:i w:val="0"/>
            <w:iCs w:val="0"/>
            <w:noProof/>
            <w:kern w:val="2"/>
            <w:sz w:val="22"/>
            <w:szCs w:val="22"/>
            <w:lang w:val="en-US"/>
            <w14:ligatures w14:val="standardContextual"/>
          </w:rPr>
          <w:tab/>
        </w:r>
        <w:r w:rsidRPr="009E2E64">
          <w:rPr>
            <w:rStyle w:val="Hyperlink"/>
            <w:noProof/>
          </w:rPr>
          <w:t>Remediation</w:t>
        </w:r>
        <w:r>
          <w:rPr>
            <w:noProof/>
            <w:webHidden/>
          </w:rPr>
          <w:tab/>
        </w:r>
        <w:r>
          <w:rPr>
            <w:noProof/>
            <w:webHidden/>
          </w:rPr>
          <w:fldChar w:fldCharType="begin"/>
        </w:r>
        <w:r>
          <w:rPr>
            <w:noProof/>
            <w:webHidden/>
          </w:rPr>
          <w:instrText xml:space="preserve"> PAGEREF _Toc158641213 \h </w:instrText>
        </w:r>
        <w:r>
          <w:rPr>
            <w:noProof/>
            <w:webHidden/>
          </w:rPr>
        </w:r>
        <w:r>
          <w:rPr>
            <w:noProof/>
            <w:webHidden/>
          </w:rPr>
          <w:fldChar w:fldCharType="separate"/>
        </w:r>
        <w:r w:rsidR="003C62F3">
          <w:rPr>
            <w:noProof/>
            <w:webHidden/>
          </w:rPr>
          <w:t>6</w:t>
        </w:r>
        <w:r>
          <w:rPr>
            <w:noProof/>
            <w:webHidden/>
          </w:rPr>
          <w:fldChar w:fldCharType="end"/>
        </w:r>
      </w:hyperlink>
    </w:p>
    <w:p w:rsidR="00E53304" w:rsidRDefault="00E53304" w14:paraId="16B79475" w14:textId="0342292C">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58641214">
        <w:r w:rsidRPr="009E2E64">
          <w:rPr>
            <w:rStyle w:val="Hyperlink"/>
            <w:noProof/>
          </w:rPr>
          <w:t>4.3</w:t>
        </w:r>
        <w:r>
          <w:rPr>
            <w:rFonts w:eastAsiaTheme="minorEastAsia"/>
            <w:smallCaps w:val="0"/>
            <w:noProof/>
            <w:kern w:val="2"/>
            <w:sz w:val="22"/>
            <w:szCs w:val="22"/>
            <w:lang w:val="en-US"/>
            <w14:ligatures w14:val="standardContextual"/>
          </w:rPr>
          <w:tab/>
        </w:r>
        <w:r w:rsidRPr="009E2E64">
          <w:rPr>
            <w:rStyle w:val="Hyperlink"/>
            <w:noProof/>
          </w:rPr>
          <w:t>Incident Response Checklist</w:t>
        </w:r>
        <w:r>
          <w:rPr>
            <w:noProof/>
            <w:webHidden/>
          </w:rPr>
          <w:tab/>
        </w:r>
        <w:r>
          <w:rPr>
            <w:noProof/>
            <w:webHidden/>
          </w:rPr>
          <w:fldChar w:fldCharType="begin"/>
        </w:r>
        <w:r>
          <w:rPr>
            <w:noProof/>
            <w:webHidden/>
          </w:rPr>
          <w:instrText xml:space="preserve"> PAGEREF _Toc158641214 \h </w:instrText>
        </w:r>
        <w:r>
          <w:rPr>
            <w:noProof/>
            <w:webHidden/>
          </w:rPr>
        </w:r>
        <w:r>
          <w:rPr>
            <w:noProof/>
            <w:webHidden/>
          </w:rPr>
          <w:fldChar w:fldCharType="separate"/>
        </w:r>
        <w:r w:rsidR="003C62F3">
          <w:rPr>
            <w:noProof/>
            <w:webHidden/>
          </w:rPr>
          <w:t>7</w:t>
        </w:r>
        <w:r>
          <w:rPr>
            <w:noProof/>
            <w:webHidden/>
          </w:rPr>
          <w:fldChar w:fldCharType="end"/>
        </w:r>
      </w:hyperlink>
    </w:p>
    <w:p w:rsidR="00E53304" w:rsidRDefault="00E53304" w14:paraId="1BC70EBE" w14:textId="4A3B0A68">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58641215">
        <w:r w:rsidRPr="009E2E64">
          <w:rPr>
            <w:rStyle w:val="Hyperlink"/>
            <w:rFonts w:ascii="Verdana" w:hAnsi="Verdana"/>
            <w:noProof/>
          </w:rPr>
          <w:t>4.4</w:t>
        </w:r>
        <w:r>
          <w:rPr>
            <w:rFonts w:eastAsiaTheme="minorEastAsia"/>
            <w:smallCaps w:val="0"/>
            <w:noProof/>
            <w:kern w:val="2"/>
            <w:sz w:val="22"/>
            <w:szCs w:val="22"/>
            <w:lang w:val="en-US"/>
            <w14:ligatures w14:val="standardContextual"/>
          </w:rPr>
          <w:tab/>
        </w:r>
        <w:r w:rsidRPr="009E2E64">
          <w:rPr>
            <w:rStyle w:val="Hyperlink"/>
            <w:noProof/>
          </w:rPr>
          <w:t>Incident Response Preparation Checklist</w:t>
        </w:r>
        <w:r>
          <w:rPr>
            <w:noProof/>
            <w:webHidden/>
          </w:rPr>
          <w:tab/>
        </w:r>
        <w:r>
          <w:rPr>
            <w:noProof/>
            <w:webHidden/>
          </w:rPr>
          <w:fldChar w:fldCharType="begin"/>
        </w:r>
        <w:r>
          <w:rPr>
            <w:noProof/>
            <w:webHidden/>
          </w:rPr>
          <w:instrText xml:space="preserve"> PAGEREF _Toc158641215 \h </w:instrText>
        </w:r>
        <w:r>
          <w:rPr>
            <w:noProof/>
            <w:webHidden/>
          </w:rPr>
        </w:r>
        <w:r>
          <w:rPr>
            <w:noProof/>
            <w:webHidden/>
          </w:rPr>
          <w:fldChar w:fldCharType="separate"/>
        </w:r>
        <w:r w:rsidR="003C62F3">
          <w:rPr>
            <w:noProof/>
            <w:webHidden/>
          </w:rPr>
          <w:t>11</w:t>
        </w:r>
        <w:r>
          <w:rPr>
            <w:noProof/>
            <w:webHidden/>
          </w:rPr>
          <w:fldChar w:fldCharType="end"/>
        </w:r>
      </w:hyperlink>
    </w:p>
    <w:p w:rsidR="00E53304" w:rsidRDefault="00E53304" w14:paraId="3E8D5861" w14:textId="021A2DA7">
      <w:pPr>
        <w:pStyle w:val="TOC3"/>
        <w:tabs>
          <w:tab w:val="right" w:leader="dot" w:pos="9016"/>
        </w:tabs>
        <w:rPr>
          <w:rFonts w:eastAsiaTheme="minorEastAsia"/>
          <w:i w:val="0"/>
          <w:iCs w:val="0"/>
          <w:noProof/>
          <w:kern w:val="2"/>
          <w:sz w:val="22"/>
          <w:szCs w:val="22"/>
          <w:lang w:val="en-US"/>
          <w14:ligatures w14:val="standardContextual"/>
        </w:rPr>
      </w:pPr>
      <w:hyperlink w:history="1" w:anchor="_Toc158641216">
        <w:r w:rsidRPr="009E2E64">
          <w:rPr>
            <w:rStyle w:val="Hyperlink"/>
            <w:noProof/>
          </w:rPr>
          <w:t>VULNERABILITY AND INCIDENT CATEGORIES</w:t>
        </w:r>
        <w:r>
          <w:rPr>
            <w:noProof/>
            <w:webHidden/>
          </w:rPr>
          <w:tab/>
        </w:r>
        <w:r>
          <w:rPr>
            <w:noProof/>
            <w:webHidden/>
          </w:rPr>
          <w:fldChar w:fldCharType="begin"/>
        </w:r>
        <w:r>
          <w:rPr>
            <w:noProof/>
            <w:webHidden/>
          </w:rPr>
          <w:instrText xml:space="preserve"> PAGEREF _Toc158641216 \h </w:instrText>
        </w:r>
        <w:r>
          <w:rPr>
            <w:noProof/>
            <w:webHidden/>
          </w:rPr>
        </w:r>
        <w:r>
          <w:rPr>
            <w:noProof/>
            <w:webHidden/>
          </w:rPr>
          <w:fldChar w:fldCharType="separate"/>
        </w:r>
        <w:r w:rsidR="003C62F3">
          <w:rPr>
            <w:noProof/>
            <w:webHidden/>
          </w:rPr>
          <w:t>12</w:t>
        </w:r>
        <w:r>
          <w:rPr>
            <w:noProof/>
            <w:webHidden/>
          </w:rPr>
          <w:fldChar w:fldCharType="end"/>
        </w:r>
      </w:hyperlink>
    </w:p>
    <w:p w:rsidR="00E53304" w:rsidRDefault="00E53304" w14:paraId="4F845468" w14:textId="1E3D6336">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641217">
        <w:r w:rsidRPr="009E2E64">
          <w:rPr>
            <w:rStyle w:val="Hyperlink"/>
            <w:noProof/>
          </w:rPr>
          <w:t>5</w:t>
        </w:r>
        <w:r>
          <w:rPr>
            <w:rFonts w:eastAsiaTheme="minorEastAsia"/>
            <w:b w:val="0"/>
            <w:bCs w:val="0"/>
            <w:caps w:val="0"/>
            <w:noProof/>
            <w:kern w:val="2"/>
            <w:sz w:val="22"/>
            <w:szCs w:val="22"/>
            <w:lang w:val="en-US"/>
            <w14:ligatures w14:val="standardContextual"/>
          </w:rPr>
          <w:tab/>
        </w:r>
        <w:r w:rsidRPr="009E2E64">
          <w:rPr>
            <w:rStyle w:val="Hyperlink"/>
            <w:rFonts w:eastAsiaTheme="majorEastAsia"/>
            <w:noProof/>
          </w:rPr>
          <w:t>Conduct</w:t>
        </w:r>
        <w:r>
          <w:rPr>
            <w:noProof/>
            <w:webHidden/>
          </w:rPr>
          <w:tab/>
        </w:r>
        <w:r>
          <w:rPr>
            <w:noProof/>
            <w:webHidden/>
          </w:rPr>
          <w:fldChar w:fldCharType="begin"/>
        </w:r>
        <w:r>
          <w:rPr>
            <w:noProof/>
            <w:webHidden/>
          </w:rPr>
          <w:instrText xml:space="preserve"> PAGEREF _Toc158641217 \h </w:instrText>
        </w:r>
        <w:r>
          <w:rPr>
            <w:noProof/>
            <w:webHidden/>
          </w:rPr>
        </w:r>
        <w:r>
          <w:rPr>
            <w:noProof/>
            <w:webHidden/>
          </w:rPr>
          <w:fldChar w:fldCharType="separate"/>
        </w:r>
        <w:r w:rsidR="003C62F3">
          <w:rPr>
            <w:noProof/>
            <w:webHidden/>
          </w:rPr>
          <w:t>13</w:t>
        </w:r>
        <w:r>
          <w:rPr>
            <w:noProof/>
            <w:webHidden/>
          </w:rPr>
          <w:fldChar w:fldCharType="end"/>
        </w:r>
      </w:hyperlink>
    </w:p>
    <w:p w:rsidR="00E53304" w:rsidRDefault="00E53304" w14:paraId="22A70B73" w14:textId="79D82D09">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641218">
        <w:r w:rsidRPr="009E2E64">
          <w:rPr>
            <w:rStyle w:val="Hyperlink"/>
            <w:noProof/>
          </w:rPr>
          <w:t>6</w:t>
        </w:r>
        <w:r>
          <w:rPr>
            <w:rFonts w:eastAsiaTheme="minorEastAsia"/>
            <w:b w:val="0"/>
            <w:bCs w:val="0"/>
            <w:caps w:val="0"/>
            <w:noProof/>
            <w:kern w:val="2"/>
            <w:sz w:val="22"/>
            <w:szCs w:val="22"/>
            <w:lang w:val="en-US"/>
            <w14:ligatures w14:val="standardContextual"/>
          </w:rPr>
          <w:tab/>
        </w:r>
        <w:r w:rsidRPr="009E2E64">
          <w:rPr>
            <w:rStyle w:val="Hyperlink"/>
            <w:noProof/>
          </w:rPr>
          <w:t>Exception</w:t>
        </w:r>
        <w:r>
          <w:rPr>
            <w:noProof/>
            <w:webHidden/>
          </w:rPr>
          <w:tab/>
        </w:r>
        <w:r>
          <w:rPr>
            <w:noProof/>
            <w:webHidden/>
          </w:rPr>
          <w:fldChar w:fldCharType="begin"/>
        </w:r>
        <w:r>
          <w:rPr>
            <w:noProof/>
            <w:webHidden/>
          </w:rPr>
          <w:instrText xml:space="preserve"> PAGEREF _Toc158641218 \h </w:instrText>
        </w:r>
        <w:r>
          <w:rPr>
            <w:noProof/>
            <w:webHidden/>
          </w:rPr>
        </w:r>
        <w:r>
          <w:rPr>
            <w:noProof/>
            <w:webHidden/>
          </w:rPr>
          <w:fldChar w:fldCharType="separate"/>
        </w:r>
        <w:r w:rsidR="003C62F3">
          <w:rPr>
            <w:noProof/>
            <w:webHidden/>
          </w:rPr>
          <w:t>13</w:t>
        </w:r>
        <w:r>
          <w:rPr>
            <w:noProof/>
            <w:webHidden/>
          </w:rPr>
          <w:fldChar w:fldCharType="end"/>
        </w:r>
      </w:hyperlink>
    </w:p>
    <w:p w:rsidR="00E53304" w:rsidRDefault="00E53304" w14:paraId="7D6F034E" w14:textId="6790DCED">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641219">
        <w:r w:rsidRPr="009E2E64">
          <w:rPr>
            <w:rStyle w:val="Hyperlink"/>
            <w:noProof/>
          </w:rPr>
          <w:t>7</w:t>
        </w:r>
        <w:r>
          <w:rPr>
            <w:rFonts w:eastAsiaTheme="minorEastAsia"/>
            <w:b w:val="0"/>
            <w:bCs w:val="0"/>
            <w:caps w:val="0"/>
            <w:noProof/>
            <w:kern w:val="2"/>
            <w:sz w:val="22"/>
            <w:szCs w:val="22"/>
            <w:lang w:val="en-US"/>
            <w14:ligatures w14:val="standardContextual"/>
          </w:rPr>
          <w:tab/>
        </w:r>
        <w:r w:rsidRPr="009E2E64">
          <w:rPr>
            <w:rStyle w:val="Hyperlink"/>
            <w:noProof/>
          </w:rPr>
          <w:t>Terms/Acronyms</w:t>
        </w:r>
        <w:r>
          <w:rPr>
            <w:noProof/>
            <w:webHidden/>
          </w:rPr>
          <w:tab/>
        </w:r>
        <w:r>
          <w:rPr>
            <w:noProof/>
            <w:webHidden/>
          </w:rPr>
          <w:fldChar w:fldCharType="begin"/>
        </w:r>
        <w:r>
          <w:rPr>
            <w:noProof/>
            <w:webHidden/>
          </w:rPr>
          <w:instrText xml:space="preserve"> PAGEREF _Toc158641219 \h </w:instrText>
        </w:r>
        <w:r>
          <w:rPr>
            <w:noProof/>
            <w:webHidden/>
          </w:rPr>
        </w:r>
        <w:r>
          <w:rPr>
            <w:noProof/>
            <w:webHidden/>
          </w:rPr>
          <w:fldChar w:fldCharType="separate"/>
        </w:r>
        <w:r w:rsidR="003C62F3">
          <w:rPr>
            <w:noProof/>
            <w:webHidden/>
          </w:rPr>
          <w:t>14</w:t>
        </w:r>
        <w:r>
          <w:rPr>
            <w:noProof/>
            <w:webHidden/>
          </w:rPr>
          <w:fldChar w:fldCharType="end"/>
        </w:r>
      </w:hyperlink>
    </w:p>
    <w:p w:rsidR="00E53304" w:rsidRDefault="00E53304" w14:paraId="26DEC0F2" w14:textId="13C16AF2">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641220">
        <w:r w:rsidRPr="009E2E64">
          <w:rPr>
            <w:rStyle w:val="Hyperlink"/>
            <w:noProof/>
          </w:rPr>
          <w:t>8</w:t>
        </w:r>
        <w:r>
          <w:rPr>
            <w:rFonts w:eastAsiaTheme="minorEastAsia"/>
            <w:b w:val="0"/>
            <w:bCs w:val="0"/>
            <w:caps w:val="0"/>
            <w:noProof/>
            <w:kern w:val="2"/>
            <w:sz w:val="22"/>
            <w:szCs w:val="22"/>
            <w:lang w:val="en-US"/>
            <w14:ligatures w14:val="standardContextual"/>
          </w:rPr>
          <w:tab/>
        </w:r>
        <w:r w:rsidRPr="009E2E64">
          <w:rPr>
            <w:rStyle w:val="Hyperlink"/>
            <w:noProof/>
          </w:rPr>
          <w:t>References</w:t>
        </w:r>
        <w:r>
          <w:rPr>
            <w:noProof/>
            <w:webHidden/>
          </w:rPr>
          <w:tab/>
        </w:r>
        <w:r>
          <w:rPr>
            <w:noProof/>
            <w:webHidden/>
          </w:rPr>
          <w:fldChar w:fldCharType="begin"/>
        </w:r>
        <w:r>
          <w:rPr>
            <w:noProof/>
            <w:webHidden/>
          </w:rPr>
          <w:instrText xml:space="preserve"> PAGEREF _Toc158641220 \h </w:instrText>
        </w:r>
        <w:r>
          <w:rPr>
            <w:noProof/>
            <w:webHidden/>
          </w:rPr>
        </w:r>
        <w:r>
          <w:rPr>
            <w:noProof/>
            <w:webHidden/>
          </w:rPr>
          <w:fldChar w:fldCharType="separate"/>
        </w:r>
        <w:r w:rsidR="003C62F3">
          <w:rPr>
            <w:noProof/>
            <w:webHidden/>
          </w:rPr>
          <w:t>14</w:t>
        </w:r>
        <w:r>
          <w:rPr>
            <w:noProof/>
            <w:webHidden/>
          </w:rPr>
          <w:fldChar w:fldCharType="end"/>
        </w:r>
      </w:hyperlink>
    </w:p>
    <w:p w:rsidR="00E53304" w:rsidRDefault="00E53304" w14:paraId="4A9CD643" w14:textId="2496C409">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58641221">
        <w:r w:rsidRPr="009E2E64">
          <w:rPr>
            <w:rStyle w:val="Hyperlink"/>
            <w:noProof/>
          </w:rPr>
          <w:t>8.1</w:t>
        </w:r>
        <w:r>
          <w:rPr>
            <w:rFonts w:eastAsiaTheme="minorEastAsia"/>
            <w:smallCaps w:val="0"/>
            <w:noProof/>
            <w:kern w:val="2"/>
            <w:sz w:val="22"/>
            <w:szCs w:val="22"/>
            <w:lang w:val="en-US"/>
            <w14:ligatures w14:val="standardContextual"/>
          </w:rPr>
          <w:tab/>
        </w:r>
        <w:r w:rsidRPr="009E2E64">
          <w:rPr>
            <w:rStyle w:val="Hyperlink"/>
            <w:noProof/>
          </w:rPr>
          <w:t>Templates</w:t>
        </w:r>
        <w:r>
          <w:rPr>
            <w:noProof/>
            <w:webHidden/>
          </w:rPr>
          <w:tab/>
        </w:r>
        <w:r>
          <w:rPr>
            <w:noProof/>
            <w:webHidden/>
          </w:rPr>
          <w:fldChar w:fldCharType="begin"/>
        </w:r>
        <w:r>
          <w:rPr>
            <w:noProof/>
            <w:webHidden/>
          </w:rPr>
          <w:instrText xml:space="preserve"> PAGEREF _Toc158641221 \h </w:instrText>
        </w:r>
        <w:r>
          <w:rPr>
            <w:noProof/>
            <w:webHidden/>
          </w:rPr>
        </w:r>
        <w:r>
          <w:rPr>
            <w:noProof/>
            <w:webHidden/>
          </w:rPr>
          <w:fldChar w:fldCharType="separate"/>
        </w:r>
        <w:r w:rsidR="003C62F3">
          <w:rPr>
            <w:noProof/>
            <w:webHidden/>
          </w:rPr>
          <w:t>14</w:t>
        </w:r>
        <w:r>
          <w:rPr>
            <w:noProof/>
            <w:webHidden/>
          </w:rPr>
          <w:fldChar w:fldCharType="end"/>
        </w:r>
      </w:hyperlink>
    </w:p>
    <w:p w:rsidR="00E53304" w:rsidRDefault="00E53304" w14:paraId="7DD493B7" w14:textId="4EFF38EE">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58641222">
        <w:r w:rsidRPr="009E2E64">
          <w:rPr>
            <w:rStyle w:val="Hyperlink"/>
            <w:noProof/>
          </w:rPr>
          <w:t>8.2</w:t>
        </w:r>
        <w:r>
          <w:rPr>
            <w:rFonts w:eastAsiaTheme="minorEastAsia"/>
            <w:smallCaps w:val="0"/>
            <w:noProof/>
            <w:kern w:val="2"/>
            <w:sz w:val="22"/>
            <w:szCs w:val="22"/>
            <w:lang w:val="en-US"/>
            <w14:ligatures w14:val="standardContextual"/>
          </w:rPr>
          <w:tab/>
        </w:r>
        <w:r w:rsidRPr="009E2E64">
          <w:rPr>
            <w:rStyle w:val="Hyperlink"/>
            <w:noProof/>
          </w:rPr>
          <w:t>Policies</w:t>
        </w:r>
        <w:r>
          <w:rPr>
            <w:noProof/>
            <w:webHidden/>
          </w:rPr>
          <w:tab/>
        </w:r>
        <w:r>
          <w:rPr>
            <w:noProof/>
            <w:webHidden/>
          </w:rPr>
          <w:fldChar w:fldCharType="begin"/>
        </w:r>
        <w:r>
          <w:rPr>
            <w:noProof/>
            <w:webHidden/>
          </w:rPr>
          <w:instrText xml:space="preserve"> PAGEREF _Toc158641222 \h </w:instrText>
        </w:r>
        <w:r>
          <w:rPr>
            <w:noProof/>
            <w:webHidden/>
          </w:rPr>
        </w:r>
        <w:r>
          <w:rPr>
            <w:noProof/>
            <w:webHidden/>
          </w:rPr>
          <w:fldChar w:fldCharType="separate"/>
        </w:r>
        <w:r w:rsidR="003C62F3">
          <w:rPr>
            <w:noProof/>
            <w:webHidden/>
          </w:rPr>
          <w:t>14</w:t>
        </w:r>
        <w:r>
          <w:rPr>
            <w:noProof/>
            <w:webHidden/>
          </w:rPr>
          <w:fldChar w:fldCharType="end"/>
        </w:r>
      </w:hyperlink>
    </w:p>
    <w:p w:rsidR="00E53304" w:rsidRDefault="00E53304" w14:paraId="5F33C957" w14:textId="6C27AF54">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58641223">
        <w:r w:rsidRPr="009E2E64">
          <w:rPr>
            <w:rStyle w:val="Hyperlink"/>
            <w:noProof/>
          </w:rPr>
          <w:t>8.3</w:t>
        </w:r>
        <w:r>
          <w:rPr>
            <w:rFonts w:eastAsiaTheme="minorEastAsia"/>
            <w:smallCaps w:val="0"/>
            <w:noProof/>
            <w:kern w:val="2"/>
            <w:sz w:val="22"/>
            <w:szCs w:val="22"/>
            <w:lang w:val="en-US"/>
            <w14:ligatures w14:val="standardContextual"/>
          </w:rPr>
          <w:tab/>
        </w:r>
        <w:r w:rsidRPr="009E2E64">
          <w:rPr>
            <w:rStyle w:val="Hyperlink"/>
            <w:noProof/>
          </w:rPr>
          <w:t>Process/Procedures</w:t>
        </w:r>
        <w:r>
          <w:rPr>
            <w:noProof/>
            <w:webHidden/>
          </w:rPr>
          <w:tab/>
        </w:r>
        <w:r>
          <w:rPr>
            <w:noProof/>
            <w:webHidden/>
          </w:rPr>
          <w:fldChar w:fldCharType="begin"/>
        </w:r>
        <w:r>
          <w:rPr>
            <w:noProof/>
            <w:webHidden/>
          </w:rPr>
          <w:instrText xml:space="preserve"> PAGEREF _Toc158641223 \h </w:instrText>
        </w:r>
        <w:r>
          <w:rPr>
            <w:noProof/>
            <w:webHidden/>
          </w:rPr>
        </w:r>
        <w:r>
          <w:rPr>
            <w:noProof/>
            <w:webHidden/>
          </w:rPr>
          <w:fldChar w:fldCharType="separate"/>
        </w:r>
        <w:r w:rsidR="003C62F3">
          <w:rPr>
            <w:noProof/>
            <w:webHidden/>
          </w:rPr>
          <w:t>14</w:t>
        </w:r>
        <w:r>
          <w:rPr>
            <w:noProof/>
            <w:webHidden/>
          </w:rPr>
          <w:fldChar w:fldCharType="end"/>
        </w:r>
      </w:hyperlink>
    </w:p>
    <w:p w:rsidR="00E53304" w:rsidRDefault="00E53304" w14:paraId="60C0042B" w14:textId="06E2974E">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58641224">
        <w:r w:rsidRPr="009E2E64">
          <w:rPr>
            <w:rStyle w:val="Hyperlink"/>
            <w:noProof/>
          </w:rPr>
          <w:t>8.4</w:t>
        </w:r>
        <w:r>
          <w:rPr>
            <w:rFonts w:eastAsiaTheme="minorEastAsia"/>
            <w:smallCaps w:val="0"/>
            <w:noProof/>
            <w:kern w:val="2"/>
            <w:sz w:val="22"/>
            <w:szCs w:val="22"/>
            <w:lang w:val="en-US"/>
            <w14:ligatures w14:val="standardContextual"/>
          </w:rPr>
          <w:tab/>
        </w:r>
        <w:r w:rsidRPr="009E2E64">
          <w:rPr>
            <w:rStyle w:val="Hyperlink"/>
            <w:noProof/>
          </w:rPr>
          <w:t>Standards</w:t>
        </w:r>
        <w:r>
          <w:rPr>
            <w:noProof/>
            <w:webHidden/>
          </w:rPr>
          <w:tab/>
        </w:r>
        <w:r>
          <w:rPr>
            <w:noProof/>
            <w:webHidden/>
          </w:rPr>
          <w:fldChar w:fldCharType="begin"/>
        </w:r>
        <w:r>
          <w:rPr>
            <w:noProof/>
            <w:webHidden/>
          </w:rPr>
          <w:instrText xml:space="preserve"> PAGEREF _Toc158641224 \h </w:instrText>
        </w:r>
        <w:r>
          <w:rPr>
            <w:noProof/>
            <w:webHidden/>
          </w:rPr>
        </w:r>
        <w:r>
          <w:rPr>
            <w:noProof/>
            <w:webHidden/>
          </w:rPr>
          <w:fldChar w:fldCharType="separate"/>
        </w:r>
        <w:r w:rsidR="003C62F3">
          <w:rPr>
            <w:noProof/>
            <w:webHidden/>
          </w:rPr>
          <w:t>14</w:t>
        </w:r>
        <w:r>
          <w:rPr>
            <w:noProof/>
            <w:webHidden/>
          </w:rPr>
          <w:fldChar w:fldCharType="end"/>
        </w:r>
      </w:hyperlink>
    </w:p>
    <w:p w:rsidR="00E53304" w:rsidRDefault="00E53304" w14:paraId="416CBF3C" w14:textId="69910097">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58641225">
        <w:r w:rsidRPr="009E2E64">
          <w:rPr>
            <w:rStyle w:val="Hyperlink"/>
            <w:noProof/>
          </w:rPr>
          <w:t>8.5</w:t>
        </w:r>
        <w:r>
          <w:rPr>
            <w:rFonts w:eastAsiaTheme="minorEastAsia"/>
            <w:smallCaps w:val="0"/>
            <w:noProof/>
            <w:kern w:val="2"/>
            <w:sz w:val="22"/>
            <w:szCs w:val="22"/>
            <w:lang w:val="en-US"/>
            <w14:ligatures w14:val="standardContextual"/>
          </w:rPr>
          <w:tab/>
        </w:r>
        <w:r w:rsidRPr="009E2E64">
          <w:rPr>
            <w:rStyle w:val="Hyperlink"/>
            <w:noProof/>
          </w:rPr>
          <w:t>Miscellaneous</w:t>
        </w:r>
        <w:r>
          <w:rPr>
            <w:noProof/>
            <w:webHidden/>
          </w:rPr>
          <w:tab/>
        </w:r>
        <w:r>
          <w:rPr>
            <w:noProof/>
            <w:webHidden/>
          </w:rPr>
          <w:fldChar w:fldCharType="begin"/>
        </w:r>
        <w:r>
          <w:rPr>
            <w:noProof/>
            <w:webHidden/>
          </w:rPr>
          <w:instrText xml:space="preserve"> PAGEREF _Toc158641225 \h </w:instrText>
        </w:r>
        <w:r>
          <w:rPr>
            <w:noProof/>
            <w:webHidden/>
          </w:rPr>
        </w:r>
        <w:r>
          <w:rPr>
            <w:noProof/>
            <w:webHidden/>
          </w:rPr>
          <w:fldChar w:fldCharType="separate"/>
        </w:r>
        <w:r w:rsidR="003C62F3">
          <w:rPr>
            <w:noProof/>
            <w:webHidden/>
          </w:rPr>
          <w:t>14</w:t>
        </w:r>
        <w:r>
          <w:rPr>
            <w:noProof/>
            <w:webHidden/>
          </w:rPr>
          <w:fldChar w:fldCharType="end"/>
        </w:r>
      </w:hyperlink>
    </w:p>
    <w:p w:rsidR="00E53304" w:rsidRDefault="00E53304" w14:paraId="03F143EE" w14:textId="2D24D7A3">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641226">
        <w:r w:rsidRPr="009E2E64">
          <w:rPr>
            <w:rStyle w:val="Hyperlink"/>
            <w:noProof/>
          </w:rPr>
          <w:t>9</w:t>
        </w:r>
        <w:r>
          <w:rPr>
            <w:rFonts w:eastAsiaTheme="minorEastAsia"/>
            <w:b w:val="0"/>
            <w:bCs w:val="0"/>
            <w:caps w:val="0"/>
            <w:noProof/>
            <w:kern w:val="2"/>
            <w:sz w:val="22"/>
            <w:szCs w:val="22"/>
            <w:lang w:val="en-US"/>
            <w14:ligatures w14:val="standardContextual"/>
          </w:rPr>
          <w:tab/>
        </w:r>
        <w:r w:rsidRPr="009E2E64">
          <w:rPr>
            <w:rStyle w:val="Hyperlink"/>
            <w:noProof/>
          </w:rPr>
          <w:t>Appendix A: Document RACI Matrix</w:t>
        </w:r>
        <w:r>
          <w:rPr>
            <w:noProof/>
            <w:webHidden/>
          </w:rPr>
          <w:tab/>
        </w:r>
        <w:r>
          <w:rPr>
            <w:noProof/>
            <w:webHidden/>
          </w:rPr>
          <w:fldChar w:fldCharType="begin"/>
        </w:r>
        <w:r>
          <w:rPr>
            <w:noProof/>
            <w:webHidden/>
          </w:rPr>
          <w:instrText xml:space="preserve"> PAGEREF _Toc158641226 \h </w:instrText>
        </w:r>
        <w:r>
          <w:rPr>
            <w:noProof/>
            <w:webHidden/>
          </w:rPr>
        </w:r>
        <w:r>
          <w:rPr>
            <w:noProof/>
            <w:webHidden/>
          </w:rPr>
          <w:fldChar w:fldCharType="separate"/>
        </w:r>
        <w:r w:rsidR="003C62F3">
          <w:rPr>
            <w:noProof/>
            <w:webHidden/>
          </w:rPr>
          <w:t>14</w:t>
        </w:r>
        <w:r>
          <w:rPr>
            <w:noProof/>
            <w:webHidden/>
          </w:rPr>
          <w:fldChar w:fldCharType="end"/>
        </w:r>
      </w:hyperlink>
    </w:p>
    <w:p w:rsidR="00C54BA5" w:rsidP="00C54BA5" w:rsidRDefault="00FE3158" w14:paraId="29C00E8A" w14:textId="59C7C0D9">
      <w:r>
        <w:fldChar w:fldCharType="end"/>
      </w:r>
    </w:p>
    <w:p w:rsidR="004A7248" w:rsidP="00C54BA5" w:rsidRDefault="004A7248" w14:paraId="7FF25E97" w14:textId="3B0183E5"/>
    <w:p w:rsidR="004A7248" w:rsidP="00C54BA5" w:rsidRDefault="004A7248" w14:paraId="442DB6CB" w14:textId="48894757"/>
    <w:p w:rsidR="004A7248" w:rsidP="00C54BA5" w:rsidRDefault="004A7248" w14:paraId="5582BE07" w14:textId="67FADE00"/>
    <w:p w:rsidR="004A7248" w:rsidP="00C54BA5" w:rsidRDefault="004A7248" w14:paraId="1E239486" w14:textId="293A2AC4"/>
    <w:p w:rsidR="004A7248" w:rsidP="00C54BA5" w:rsidRDefault="004A7248" w14:paraId="37876012" w14:textId="0EB371D3"/>
    <w:p w:rsidR="004A7248" w:rsidP="00C54BA5" w:rsidRDefault="004A7248" w14:paraId="152252D8" w14:textId="717A7DFD"/>
    <w:p w:rsidR="004A7248" w:rsidP="00C54BA5" w:rsidRDefault="004A7248" w14:paraId="03404721" w14:textId="4B3FE167"/>
    <w:p w:rsidR="005F6750" w:rsidP="00C54BA5" w:rsidRDefault="005F6750" w14:paraId="6CB70056" w14:textId="4394CDDE"/>
    <w:p w:rsidR="005F6750" w:rsidP="00C54BA5" w:rsidRDefault="005F6750" w14:paraId="3EAA8368" w14:textId="19FEE2B4"/>
    <w:p w:rsidR="005F6750" w:rsidP="00C54BA5" w:rsidRDefault="005F6750" w14:paraId="624BCFDB" w14:textId="70FC348C"/>
    <w:p w:rsidR="005F6750" w:rsidP="00C54BA5" w:rsidRDefault="005F6750" w14:paraId="1678D267" w14:textId="7E29F86C"/>
    <w:p w:rsidR="005F6750" w:rsidP="00C54BA5" w:rsidRDefault="005F6750" w14:paraId="2B2C4DCF" w14:textId="7F80C205"/>
    <w:p w:rsidR="005F6750" w:rsidP="00C54BA5" w:rsidRDefault="005F6750" w14:paraId="09A03381" w14:textId="22D2040F"/>
    <w:p w:rsidR="005F6750" w:rsidP="00C54BA5" w:rsidRDefault="005F6750" w14:paraId="6DF27EAD" w14:textId="632B9660"/>
    <w:p w:rsidR="005F6750" w:rsidP="00C54BA5" w:rsidRDefault="005F6750" w14:paraId="1A34CB0D" w14:textId="77777777"/>
    <w:p w:rsidRPr="009416BB" w:rsidR="005433B3" w:rsidP="00E475E8" w:rsidRDefault="005433B3" w14:paraId="51D90947" w14:textId="77777777">
      <w:pPr>
        <w:pStyle w:val="Heading3"/>
        <w:numPr>
          <w:ilvl w:val="0"/>
          <w:numId w:val="0"/>
        </w:numPr>
        <w:rPr>
          <w:rFonts w:eastAsiaTheme="majorEastAsia"/>
        </w:rPr>
      </w:pPr>
      <w:bookmarkStart w:name="_Toc158641204" w:id="2"/>
      <w:r>
        <w:t>Document Control</w:t>
      </w:r>
      <w:bookmarkEnd w:id="2"/>
    </w:p>
    <w:tbl>
      <w:tblPr>
        <w:tblW w:w="9429" w:type="dxa"/>
        <w:tblLayout w:type="fixed"/>
        <w:tblLook w:val="04A0" w:firstRow="1" w:lastRow="0" w:firstColumn="1" w:lastColumn="0" w:noHBand="0" w:noVBand="1"/>
      </w:tblPr>
      <w:tblGrid>
        <w:gridCol w:w="4498"/>
        <w:gridCol w:w="4931"/>
      </w:tblGrid>
      <w:tr w:rsidRPr="00E1700A" w:rsidR="005433B3" w:rsidTr="6D7EDD93" w14:paraId="0719A9AB" w14:textId="77777777">
        <w:trPr>
          <w:trHeight w:val="333"/>
        </w:trPr>
        <w:tc>
          <w:tcPr>
            <w:tcW w:w="4498" w:type="dxa"/>
            <w:tcBorders>
              <w:top w:val="single" w:color="auto" w:sz="6" w:space="0"/>
              <w:left w:val="single" w:color="auto" w:sz="6" w:space="0"/>
              <w:bottom w:val="single" w:color="auto" w:sz="6" w:space="0"/>
              <w:right w:val="single" w:color="auto" w:sz="6" w:space="0"/>
            </w:tcBorders>
            <w:vAlign w:val="center"/>
          </w:tcPr>
          <w:p w:rsidRPr="00373998" w:rsidR="005433B3" w:rsidRDefault="005433B3" w14:paraId="0E45DC39" w14:textId="77777777">
            <w:pPr>
              <w:spacing w:after="117"/>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color="auto" w:sz="6" w:space="0"/>
              <w:left w:val="single" w:color="auto" w:sz="6" w:space="0"/>
              <w:bottom w:val="single" w:color="auto" w:sz="6" w:space="0"/>
              <w:right w:val="single" w:color="auto" w:sz="6" w:space="0"/>
            </w:tcBorders>
            <w:vAlign w:val="center"/>
          </w:tcPr>
          <w:p w:rsidRPr="00366992" w:rsidR="005433B3" w:rsidRDefault="005433B3" w14:paraId="291E3666" w14:textId="77777777">
            <w:pPr>
              <w:pStyle w:val="paragraph"/>
              <w:jc w:val="both"/>
              <w:textAlignment w:val="baseline"/>
            </w:pPr>
            <w:r>
              <w:rPr>
                <w:rStyle w:val="normaltextrun"/>
                <w:rFonts w:ascii="Verdana" w:hAnsi="Verdana" w:eastAsiaTheme="majorEastAsia"/>
                <w:color w:val="000000"/>
                <w:sz w:val="18"/>
                <w:szCs w:val="18"/>
                <w:lang w:val="en-IN"/>
              </w:rPr>
              <w:t>NDSDT2021001</w:t>
            </w:r>
            <w:r>
              <w:rPr>
                <w:rStyle w:val="eop"/>
                <w:rFonts w:ascii="Verdana" w:hAnsi="Verdana"/>
                <w:color w:val="000000"/>
                <w:sz w:val="18"/>
                <w:szCs w:val="18"/>
              </w:rPr>
              <w:t> </w:t>
            </w:r>
          </w:p>
        </w:tc>
      </w:tr>
      <w:tr w:rsidRPr="00E1700A" w:rsidR="005433B3" w:rsidTr="6D7EDD93" w14:paraId="52B6C94A"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5433B3" w:rsidRDefault="005433B3" w14:paraId="7E8ECAF3" w14:textId="77777777">
            <w:pPr>
              <w:spacing w:after="117"/>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5433B3" w:rsidRDefault="0048521D" w14:paraId="470CD792" w14:textId="5809F40D">
            <w:pPr>
              <w:spacing w:after="117"/>
              <w:ind w:left="10" w:hanging="10"/>
              <w:rPr>
                <w:rFonts w:eastAsia="Bookman Old Style" w:cs="Bookman Old Style"/>
                <w:color w:val="000000" w:themeColor="text1"/>
              </w:rPr>
            </w:pPr>
            <w:r>
              <w:rPr>
                <w:rFonts w:eastAsia="Bookman Old Style" w:cs="Bookman Old Style"/>
                <w:color w:val="000000" w:themeColor="text1"/>
              </w:rPr>
              <w:t xml:space="preserve">Netradyne </w:t>
            </w:r>
            <w:r w:rsidRPr="00000886">
              <w:rPr>
                <w:rFonts w:eastAsia="Bookman Old Style" w:cs="Bookman Old Style"/>
                <w:color w:val="000000" w:themeColor="text1"/>
              </w:rPr>
              <w:t xml:space="preserve">Vulnerability Response Playbook     </w:t>
            </w:r>
          </w:p>
        </w:tc>
      </w:tr>
      <w:tr w:rsidRPr="00E1700A" w:rsidR="005433B3" w:rsidTr="6D7EDD93" w14:paraId="75358EED"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5433B3" w:rsidRDefault="005433B3" w14:paraId="49550023" w14:textId="77777777">
            <w:pPr>
              <w:spacing w:after="117"/>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color="auto" w:sz="6" w:space="0"/>
              <w:left w:val="single" w:color="auto" w:sz="6" w:space="0"/>
              <w:bottom w:val="single" w:color="auto" w:sz="6" w:space="0"/>
              <w:right w:val="single" w:color="auto" w:sz="6" w:space="0"/>
            </w:tcBorders>
            <w:vAlign w:val="center"/>
          </w:tcPr>
          <w:p w:rsidRPr="00366992" w:rsidR="005433B3" w:rsidRDefault="005433B3" w14:paraId="5CF319E7" w14:textId="77777777">
            <w:pPr>
              <w:pStyle w:val="paragraph"/>
              <w:jc w:val="both"/>
              <w:textAlignment w:val="baseline"/>
            </w:pPr>
            <w:r>
              <w:rPr>
                <w:rStyle w:val="normaltextrun"/>
                <w:rFonts w:ascii="Verdana" w:hAnsi="Verdana" w:eastAsiaTheme="majorEastAsia"/>
                <w:color w:val="000000"/>
                <w:sz w:val="18"/>
                <w:szCs w:val="18"/>
                <w:lang w:val="en-IN"/>
              </w:rPr>
              <w:t>Released</w:t>
            </w:r>
            <w:r>
              <w:rPr>
                <w:rStyle w:val="eop"/>
                <w:rFonts w:ascii="Verdana" w:hAnsi="Verdana"/>
                <w:color w:val="000000"/>
                <w:sz w:val="18"/>
                <w:szCs w:val="18"/>
              </w:rPr>
              <w:t> </w:t>
            </w:r>
          </w:p>
        </w:tc>
      </w:tr>
      <w:tr w:rsidRPr="00E1700A" w:rsidR="005433B3" w:rsidTr="6D7EDD93" w14:paraId="71BE8123"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5433B3" w:rsidRDefault="005433B3" w14:paraId="22B91C66" w14:textId="77777777">
            <w:pPr>
              <w:spacing w:after="117"/>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5433B3" w:rsidRDefault="005433B3" w14:paraId="32834A19" w14:textId="77777777">
            <w:pPr>
              <w:spacing w:after="117"/>
              <w:ind w:left="10" w:hanging="10"/>
              <w:rPr>
                <w:rFonts w:eastAsia="Bookman Old Style" w:cs="Bookman Old Style"/>
                <w:color w:val="000000" w:themeColor="text1"/>
              </w:rPr>
            </w:pPr>
            <w:r w:rsidRPr="3B7A074D">
              <w:rPr>
                <w:rFonts w:eastAsia="Bookman Old Style" w:cs="Bookman Old Style"/>
                <w:color w:val="000000" w:themeColor="text1"/>
              </w:rPr>
              <w:t>28-04-2023</w:t>
            </w:r>
          </w:p>
        </w:tc>
      </w:tr>
      <w:tr w:rsidRPr="00E1700A" w:rsidR="005433B3" w:rsidTr="6D7EDD93" w14:paraId="5132E2E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5433B3" w:rsidRDefault="005433B3" w14:paraId="346D16AC" w14:textId="77777777">
            <w:pPr>
              <w:spacing w:after="117"/>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5433B3" w:rsidRDefault="005433B3" w14:paraId="580BA12B" w14:textId="77777777">
            <w:pPr>
              <w:spacing w:after="117"/>
              <w:ind w:left="10" w:hanging="10"/>
              <w:rPr>
                <w:rFonts w:eastAsia="Bookman Old Style" w:cs="Bookman Old Style"/>
                <w:color w:val="000000" w:themeColor="text1"/>
              </w:rPr>
            </w:pPr>
            <w:r>
              <w:rPr>
                <w:rFonts w:eastAsia="Bookman Old Style" w:cs="Bookman Old Style"/>
                <w:color w:val="000000" w:themeColor="text1"/>
              </w:rPr>
              <w:t>Rajeev Ghosh Rajeev.ghosh@netradyne.com</w:t>
            </w:r>
          </w:p>
        </w:tc>
      </w:tr>
      <w:tr w:rsidRPr="00E1700A" w:rsidR="005433B3" w:rsidTr="6D7EDD93" w14:paraId="6643ED7B"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5433B3" w:rsidRDefault="005433B3" w14:paraId="2837DAE4" w14:textId="77777777">
            <w:pPr>
              <w:spacing w:after="117"/>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5433B3" w:rsidRDefault="005433B3" w14:paraId="01D512EE" w14:textId="77777777">
            <w:pPr>
              <w:spacing w:after="117"/>
              <w:ind w:left="10" w:hanging="10"/>
              <w:rPr>
                <w:rFonts w:eastAsia="Bookman Old Style" w:cs="Bookman Old Style"/>
                <w:color w:val="000000" w:themeColor="text1"/>
              </w:rPr>
            </w:pPr>
            <w:r w:rsidRPr="00C833B0">
              <w:rPr>
                <w:rFonts w:eastAsia="Bookman Old Style" w:cs="Bookman Old Style"/>
                <w:color w:val="000000" w:themeColor="text1"/>
              </w:rPr>
              <w:t>Rajeev Ghosh Rajeev.ghosh@netradyne.com</w:t>
            </w:r>
          </w:p>
        </w:tc>
      </w:tr>
      <w:tr w:rsidRPr="00E1700A" w:rsidR="005433B3" w:rsidTr="6D7EDD93" w14:paraId="4505EA97"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5433B3" w:rsidRDefault="005433B3" w14:paraId="56FA6A4A" w14:textId="77777777">
            <w:pPr>
              <w:spacing w:after="117"/>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5433B3" w:rsidRDefault="005433B3" w14:paraId="5FCC8B39" w14:textId="3BDF3F64">
            <w:pPr>
              <w:spacing w:after="117"/>
              <w:ind w:left="10" w:hanging="10"/>
              <w:rPr>
                <w:rFonts w:eastAsia="Bookman Old Style" w:cs="Bookman Old Style"/>
                <w:color w:val="000000" w:themeColor="text1"/>
              </w:rPr>
            </w:pPr>
            <w:r w:rsidRPr="6D7EDD93">
              <w:rPr>
                <w:rFonts w:eastAsia="Bookman Old Style" w:cs="Bookman Old Style"/>
                <w:color w:val="000000" w:themeColor="text1"/>
              </w:rPr>
              <w:t>S</w:t>
            </w:r>
            <w:r w:rsidRPr="6D7EDD93" w:rsidR="0CA71DD8">
              <w:rPr>
                <w:rFonts w:eastAsia="Bookman Old Style" w:cs="Bookman Old Style"/>
                <w:color w:val="000000" w:themeColor="text1"/>
              </w:rPr>
              <w:t xml:space="preserve">aravanan Sankaran </w:t>
            </w:r>
          </w:p>
        </w:tc>
      </w:tr>
      <w:tr w:rsidRPr="00E1700A" w:rsidR="005433B3" w:rsidTr="6D7EDD93" w14:paraId="1F3F7CAF"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5433B3" w:rsidRDefault="005433B3" w14:paraId="0F057761" w14:textId="77777777">
            <w:pPr>
              <w:spacing w:after="117"/>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color="auto" w:sz="6" w:space="0"/>
              <w:left w:val="single" w:color="auto" w:sz="6" w:space="0"/>
              <w:bottom w:val="single" w:color="auto" w:sz="6" w:space="0"/>
              <w:right w:val="single" w:color="auto" w:sz="6" w:space="0"/>
            </w:tcBorders>
            <w:vAlign w:val="center"/>
          </w:tcPr>
          <w:p w:rsidRPr="005433B3" w:rsidR="005433B3" w:rsidP="005433B3" w:rsidRDefault="005433B3" w14:paraId="1B798066" w14:textId="52718876">
            <w:pPr>
              <w:pStyle w:val="paragraph"/>
              <w:jc w:val="both"/>
              <w:textAlignment w:val="baseline"/>
            </w:pPr>
            <w:r w:rsidRPr="00D3708B">
              <w:rPr>
                <w:rFonts w:eastAsia="Bookman Old Style" w:cs="Bookman Old Style"/>
                <w:color w:val="000000" w:themeColor="text1"/>
              </w:rPr>
              <w:t>Rajeev Ghosh</w:t>
            </w:r>
            <w:r>
              <w:rPr>
                <w:rFonts w:ascii="Verdana" w:hAnsi="Verdana"/>
                <w:color w:val="000000"/>
                <w:sz w:val="18"/>
                <w:szCs w:val="18"/>
                <w:lang w:val="en-IN"/>
              </w:rPr>
              <w:t xml:space="preserve"> </w:t>
            </w:r>
          </w:p>
        </w:tc>
      </w:tr>
      <w:tr w:rsidRPr="00E1700A" w:rsidR="005433B3" w:rsidTr="6D7EDD93" w14:paraId="50856077"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5433B3" w:rsidRDefault="005433B3" w14:paraId="619EFED1" w14:textId="77777777">
            <w:pPr>
              <w:spacing w:after="117"/>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color="auto" w:sz="6" w:space="0"/>
              <w:left w:val="single" w:color="auto" w:sz="6" w:space="0"/>
              <w:bottom w:val="single" w:color="auto" w:sz="6" w:space="0"/>
              <w:right w:val="single" w:color="auto" w:sz="6" w:space="0"/>
            </w:tcBorders>
            <w:vAlign w:val="center"/>
          </w:tcPr>
          <w:p w:rsidRPr="005433B3" w:rsidR="005433B3" w:rsidP="6D7EDD93" w:rsidRDefault="00780F42" w14:paraId="16658AAA" w14:textId="63C59DEE">
            <w:pPr>
              <w:pStyle w:val="paragraph"/>
              <w:jc w:val="both"/>
              <w:textAlignment w:val="baseline"/>
              <w:rPr>
                <w:rFonts w:ascii="Verdana" w:hAnsi="Verdana" w:eastAsiaTheme="majorEastAsia"/>
                <w:color w:val="000000" w:themeColor="text1"/>
                <w:sz w:val="18"/>
                <w:szCs w:val="18"/>
                <w:lang w:val="en-IN"/>
              </w:rPr>
            </w:pPr>
            <w:r w:rsidRPr="6D7EDD93">
              <w:rPr>
                <w:rStyle w:val="normaltextrun"/>
                <w:rFonts w:ascii="Verdana" w:hAnsi="Verdana" w:eastAsiaTheme="majorEastAsia"/>
                <w:color w:val="000000" w:themeColor="text1"/>
                <w:sz w:val="18"/>
                <w:szCs w:val="18"/>
                <w:lang w:val="en-IN"/>
              </w:rPr>
              <w:t>v</w:t>
            </w:r>
            <w:r w:rsidRPr="6D7EDD93" w:rsidR="577F3808">
              <w:rPr>
                <w:rStyle w:val="normaltextrun"/>
                <w:rFonts w:ascii="Verdana" w:hAnsi="Verdana" w:eastAsiaTheme="majorEastAsia"/>
                <w:color w:val="000000" w:themeColor="text1"/>
                <w:sz w:val="18"/>
                <w:szCs w:val="18"/>
                <w:lang w:val="en-IN"/>
              </w:rPr>
              <w:t>3</w:t>
            </w:r>
            <w:r w:rsidRPr="6D7EDD93" w:rsidR="005433B3">
              <w:rPr>
                <w:rStyle w:val="normaltextrun"/>
                <w:rFonts w:ascii="Verdana" w:hAnsi="Verdana" w:eastAsiaTheme="majorEastAsia"/>
                <w:color w:val="000000" w:themeColor="text1"/>
                <w:sz w:val="18"/>
                <w:szCs w:val="18"/>
                <w:lang w:val="en-IN"/>
              </w:rPr>
              <w:t>.0</w:t>
            </w:r>
          </w:p>
        </w:tc>
      </w:tr>
      <w:tr w:rsidRPr="00E1700A" w:rsidR="005433B3" w:rsidTr="6D7EDD93" w14:paraId="23B2B66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5433B3" w:rsidRDefault="005433B3" w14:paraId="27D2A4BA" w14:textId="77777777">
            <w:pPr>
              <w:spacing w:after="117"/>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5433B3" w:rsidRDefault="005433B3" w14:paraId="570631D6" w14:textId="77777777">
            <w:pPr>
              <w:spacing w:after="117"/>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rsidR="005433B3" w:rsidP="005433B3" w:rsidRDefault="005433B3" w14:paraId="1A0CA18E" w14:textId="77777777">
      <w:pPr>
        <w:rPr>
          <w:b/>
          <w:bCs/>
          <w:color w:val="000000" w:themeColor="text1"/>
        </w:rPr>
      </w:pPr>
    </w:p>
    <w:p w:rsidR="005433B3" w:rsidP="005433B3" w:rsidRDefault="005433B3" w14:paraId="719E7C08" w14:textId="77777777">
      <w:pPr>
        <w:rPr>
          <w:b/>
          <w:bCs/>
          <w:color w:val="000000" w:themeColor="text1"/>
        </w:rPr>
      </w:pPr>
      <w:r>
        <w:rPr>
          <w:b/>
          <w:bCs/>
          <w:color w:val="000000" w:themeColor="text1"/>
        </w:rPr>
        <w:t>Document Edit History</w:t>
      </w:r>
    </w:p>
    <w:tbl>
      <w:tblPr>
        <w:tblW w:w="943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02"/>
        <w:gridCol w:w="1442"/>
        <w:gridCol w:w="4352"/>
        <w:gridCol w:w="2642"/>
      </w:tblGrid>
      <w:tr w:rsidRPr="00E1700A" w:rsidR="005433B3" w:rsidTr="1D871E12" w14:paraId="18950610"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5433B3" w:rsidRDefault="005433B3" w14:paraId="680928A1" w14:textId="77777777">
            <w:pPr>
              <w:textAlignment w:val="baseline"/>
              <w:rPr>
                <w:rFonts w:cs="Segoe UI"/>
                <w:color w:val="0070C0"/>
                <w:szCs w:val="18"/>
              </w:rPr>
            </w:pPr>
            <w:r w:rsidRPr="00373998">
              <w:rPr>
                <w:rFonts w:cs="Arial"/>
                <w:b/>
                <w:bCs/>
                <w:color w:val="0070C0"/>
                <w:szCs w:val="18"/>
              </w:rPr>
              <w:t>Version</w:t>
            </w:r>
            <w:r w:rsidRPr="00373998">
              <w:rPr>
                <w:color w:val="0070C0"/>
                <w:szCs w:val="18"/>
              </w:rPr>
              <w:t>  </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5433B3" w:rsidRDefault="005433B3" w14:paraId="42688DB7" w14:textId="77777777">
            <w:pPr>
              <w:textAlignment w:val="baseline"/>
              <w:rPr>
                <w:rFonts w:cs="Segoe UI"/>
                <w:color w:val="0070C0"/>
                <w:szCs w:val="18"/>
              </w:rPr>
            </w:pPr>
            <w:r w:rsidRPr="00373998">
              <w:rPr>
                <w:rFonts w:cs="Arial"/>
                <w:b/>
                <w:bCs/>
                <w:color w:val="0070C0"/>
                <w:szCs w:val="18"/>
              </w:rPr>
              <w:t>Date</w:t>
            </w:r>
            <w:r w:rsidRPr="00373998">
              <w:rPr>
                <w:color w:val="0070C0"/>
                <w:szCs w:val="18"/>
              </w:rPr>
              <w:t>  </w:t>
            </w:r>
          </w:p>
        </w:tc>
        <w:tc>
          <w:tcPr>
            <w:tcW w:w="43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5433B3" w:rsidRDefault="005433B3" w14:paraId="40118E88" w14:textId="77777777">
            <w:pPr>
              <w:textAlignment w:val="baseline"/>
              <w:rPr>
                <w:rFonts w:cs="Segoe UI"/>
                <w:color w:val="0070C0"/>
                <w:szCs w:val="18"/>
              </w:rPr>
            </w:pPr>
            <w:r w:rsidRPr="00373998">
              <w:rPr>
                <w:rFonts w:cs="Arial"/>
                <w:b/>
                <w:bCs/>
                <w:color w:val="0070C0"/>
                <w:szCs w:val="18"/>
              </w:rPr>
              <w:t>Additions/Modifications</w:t>
            </w:r>
          </w:p>
        </w:tc>
        <w:tc>
          <w:tcPr>
            <w:tcW w:w="26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5433B3" w:rsidRDefault="005433B3" w14:paraId="7C95C434" w14:textId="77777777">
            <w:pPr>
              <w:textAlignment w:val="baseline"/>
              <w:rPr>
                <w:rFonts w:cs="Segoe UI"/>
                <w:color w:val="0070C0"/>
                <w:szCs w:val="18"/>
              </w:rPr>
            </w:pPr>
            <w:r w:rsidRPr="00373998">
              <w:rPr>
                <w:rFonts w:cs="Arial"/>
                <w:b/>
                <w:bCs/>
                <w:color w:val="0070C0"/>
                <w:szCs w:val="18"/>
              </w:rPr>
              <w:t>Prepared/Revised By</w:t>
            </w:r>
            <w:r w:rsidRPr="00373998">
              <w:rPr>
                <w:color w:val="0070C0"/>
                <w:szCs w:val="18"/>
              </w:rPr>
              <w:t>  </w:t>
            </w:r>
          </w:p>
        </w:tc>
      </w:tr>
      <w:tr w:rsidRPr="00E1700A" w:rsidR="005433B3" w:rsidTr="1D871E12" w14:paraId="521AEC64"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E1700A" w:rsidR="005433B3" w:rsidRDefault="00B57160" w14:paraId="2816615D" w14:textId="5BA51E58">
            <w:pPr>
              <w:textAlignment w:val="baseline"/>
              <w:rPr>
                <w:rFonts w:cs="Segoe UI"/>
              </w:rPr>
            </w:pPr>
            <w:r>
              <w:rPr>
                <w:rFonts w:cs="Segoe UI"/>
              </w:rPr>
              <w:t>v</w:t>
            </w:r>
            <w:r w:rsidRPr="3B7A074D" w:rsidR="005433B3">
              <w:rPr>
                <w:rFonts w:cs="Segoe UI"/>
              </w:rPr>
              <w:t>1.0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5433B3" w:rsidRDefault="005433B3" w14:paraId="7DA2068C" w14:textId="0C884F9B">
            <w:pPr>
              <w:textAlignment w:val="baseline"/>
              <w:rPr>
                <w:rFonts w:cs="Segoe UI"/>
              </w:rPr>
            </w:pPr>
            <w:r w:rsidRPr="3B7A074D">
              <w:rPr>
                <w:rFonts w:cs="Segoe UI"/>
              </w:rPr>
              <w:t>21-</w:t>
            </w:r>
            <w:r w:rsidR="00B57160">
              <w:rPr>
                <w:rFonts w:cs="Segoe UI"/>
              </w:rPr>
              <w:t>APR</w:t>
            </w:r>
            <w:r w:rsidRPr="3B7A074D">
              <w:rPr>
                <w:rFonts w:cs="Segoe UI"/>
              </w:rPr>
              <w:t>-2023</w:t>
            </w:r>
          </w:p>
        </w:tc>
        <w:tc>
          <w:tcPr>
            <w:tcW w:w="43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5433B3" w:rsidRDefault="005433B3" w14:paraId="4BE219ED" w14:textId="77777777">
            <w:pPr>
              <w:textAlignment w:val="baseline"/>
              <w:rPr>
                <w:rFonts w:cs="Segoe UI"/>
              </w:rPr>
            </w:pPr>
            <w:r w:rsidRPr="3B7A074D">
              <w:rPr>
                <w:rFonts w:cs="Segoe UI"/>
              </w:rPr>
              <w:t>Initial Version</w:t>
            </w:r>
          </w:p>
        </w:tc>
        <w:tc>
          <w:tcPr>
            <w:tcW w:w="26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5433B3" w:rsidRDefault="005433B3" w14:paraId="3C0976AF" w14:textId="77777777">
            <w:pPr>
              <w:textAlignment w:val="baseline"/>
              <w:rPr>
                <w:rFonts w:cs="Segoe UI"/>
              </w:rPr>
            </w:pPr>
            <w:r w:rsidRPr="3B7A074D">
              <w:rPr>
                <w:rFonts w:cs="Segoe UI"/>
              </w:rPr>
              <w:t>Rajeev Ghosh</w:t>
            </w:r>
          </w:p>
        </w:tc>
      </w:tr>
      <w:tr w:rsidRPr="00E1700A" w:rsidR="005433B3" w:rsidTr="1D871E12" w14:paraId="136C9D31"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5433B3" w:rsidRDefault="00B57160" w14:paraId="6DEBA9D8" w14:textId="0FB03F24">
            <w:pPr>
              <w:textAlignment w:val="baseline"/>
              <w:rPr>
                <w:rFonts w:cs="Segoe UI"/>
                <w:szCs w:val="18"/>
              </w:rPr>
            </w:pPr>
            <w:r>
              <w:rPr>
                <w:rFonts w:cs="Segoe UI"/>
                <w:szCs w:val="18"/>
              </w:rPr>
              <w:t>v2.0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5433B3" w:rsidP="1D871E12" w:rsidRDefault="00B57160" w14:paraId="04DFA46E" w14:textId="6DDDB9E8">
            <w:pPr>
              <w:textAlignment w:val="baseline"/>
              <w:rPr>
                <w:rFonts w:cs="Segoe UI"/>
              </w:rPr>
            </w:pPr>
            <w:r w:rsidRPr="1D871E12" w:rsidR="00B57160">
              <w:rPr>
                <w:rFonts w:cs="Segoe UI"/>
              </w:rPr>
              <w:t>09-F</w:t>
            </w:r>
            <w:r w:rsidRPr="1D871E12" w:rsidR="22EBE537">
              <w:rPr>
                <w:rFonts w:cs="Segoe UI"/>
              </w:rPr>
              <w:t>EB</w:t>
            </w:r>
            <w:r w:rsidRPr="1D871E12" w:rsidR="00B57160">
              <w:rPr>
                <w:rFonts w:cs="Segoe UI"/>
              </w:rPr>
              <w:t>-2024</w:t>
            </w:r>
          </w:p>
        </w:tc>
        <w:tc>
          <w:tcPr>
            <w:tcW w:w="43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5433B3" w:rsidRDefault="00040570" w14:paraId="12B3C53D" w14:textId="43FCA482">
            <w:pPr>
              <w:textAlignment w:val="baseline"/>
              <w:rPr>
                <w:rFonts w:cs="Segoe UI"/>
                <w:szCs w:val="18"/>
              </w:rPr>
            </w:pPr>
            <w:r w:rsidRPr="00040570">
              <w:rPr>
                <w:rFonts w:cs="Segoe UI"/>
                <w:szCs w:val="18"/>
              </w:rPr>
              <w:t>Refined to include more controls on data privacy/Data Protection</w:t>
            </w:r>
          </w:p>
        </w:tc>
        <w:tc>
          <w:tcPr>
            <w:tcW w:w="26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5433B3" w:rsidRDefault="00B57160" w14:paraId="15A26E42" w14:textId="1E3FBFFA">
            <w:pPr>
              <w:textAlignment w:val="baseline"/>
              <w:rPr>
                <w:rFonts w:cs="Segoe UI"/>
                <w:szCs w:val="18"/>
              </w:rPr>
            </w:pPr>
            <w:r>
              <w:rPr>
                <w:rFonts w:cs="Segoe UI"/>
                <w:szCs w:val="18"/>
              </w:rPr>
              <w:t>Hemchand</w:t>
            </w:r>
          </w:p>
        </w:tc>
      </w:tr>
      <w:tr w:rsidRPr="00E1700A" w:rsidR="00020FEF" w:rsidTr="1D871E12" w14:paraId="0D7CBB7E"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020FEF" w:rsidP="00020FEF" w:rsidRDefault="00020FEF" w14:paraId="48D711A7" w14:textId="6340A9E9">
            <w:pPr>
              <w:textAlignment w:val="baseline"/>
              <w:rPr>
                <w:rFonts w:cs="Segoe UI"/>
                <w:szCs w:val="18"/>
              </w:rPr>
            </w:pPr>
            <w:r>
              <w:rPr>
                <w:rFonts w:cs="Segoe UI"/>
                <w:szCs w:val="18"/>
              </w:rPr>
              <w:t>V3.0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020FEF" w:rsidP="6D7EDD93" w:rsidRDefault="42551BC2" w14:paraId="7DCD1DFD" w14:textId="61A9AC2E">
            <w:pPr>
              <w:textAlignment w:val="baseline"/>
              <w:rPr>
                <w:rFonts w:cs="Segoe UI"/>
              </w:rPr>
            </w:pPr>
            <w:r w:rsidRPr="1D871E12" w:rsidR="42551BC2">
              <w:rPr>
                <w:rFonts w:cs="Segoe UI"/>
              </w:rPr>
              <w:t>0</w:t>
            </w:r>
            <w:r w:rsidRPr="1D871E12" w:rsidR="16995EB2">
              <w:rPr>
                <w:rFonts w:cs="Segoe UI"/>
              </w:rPr>
              <w:t>3</w:t>
            </w:r>
            <w:r w:rsidRPr="1D871E12" w:rsidR="42551BC2">
              <w:rPr>
                <w:rFonts w:cs="Segoe UI"/>
              </w:rPr>
              <w:t>-</w:t>
            </w:r>
            <w:r w:rsidRPr="1D871E12" w:rsidR="68A8B3F9">
              <w:rPr>
                <w:rFonts w:cs="Segoe UI"/>
              </w:rPr>
              <w:t>FEB</w:t>
            </w:r>
            <w:r w:rsidRPr="1D871E12" w:rsidR="42551BC2">
              <w:rPr>
                <w:rFonts w:cs="Segoe UI"/>
              </w:rPr>
              <w:t>-202</w:t>
            </w:r>
            <w:r w:rsidRPr="1D871E12" w:rsidR="5EEBDFE9">
              <w:rPr>
                <w:rFonts w:cs="Segoe UI"/>
              </w:rPr>
              <w:t>5</w:t>
            </w:r>
          </w:p>
        </w:tc>
        <w:tc>
          <w:tcPr>
            <w:tcW w:w="43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020FEF" w:rsidP="00020FEF" w:rsidRDefault="00020FEF" w14:paraId="41046972" w14:textId="33D269D8">
            <w:pPr>
              <w:textAlignment w:val="baseline"/>
              <w:rPr>
                <w:rFonts w:cs="Segoe UI"/>
                <w:szCs w:val="18"/>
              </w:rPr>
            </w:pPr>
            <w:r w:rsidRPr="009D6DC2">
              <w:rPr>
                <w:rFonts w:cs="Segoe UI"/>
                <w:szCs w:val="18"/>
              </w:rPr>
              <w:t>Added Escalation Matrix</w:t>
            </w:r>
            <w:r w:rsidR="00556C86">
              <w:rPr>
                <w:rFonts w:cs="Segoe UI"/>
                <w:szCs w:val="18"/>
              </w:rPr>
              <w:t xml:space="preserve"> ,SAL &amp;</w:t>
            </w:r>
            <w:r w:rsidRPr="009D6DC2">
              <w:rPr>
                <w:rFonts w:cs="Segoe UI"/>
                <w:szCs w:val="18"/>
              </w:rPr>
              <w:t xml:space="preserve"> Annual Review Performed</w:t>
            </w:r>
          </w:p>
        </w:tc>
        <w:tc>
          <w:tcPr>
            <w:tcW w:w="26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E1700A" w:rsidR="00020FEF" w:rsidP="00020FEF" w:rsidRDefault="00020FEF" w14:paraId="614E220A" w14:textId="643C5BAD">
            <w:pPr>
              <w:textAlignment w:val="baseline"/>
              <w:rPr>
                <w:rFonts w:cs="Segoe UI"/>
                <w:szCs w:val="18"/>
              </w:rPr>
            </w:pPr>
            <w:r>
              <w:rPr>
                <w:rFonts w:cs="Segoe UI"/>
                <w:szCs w:val="18"/>
              </w:rPr>
              <w:t>Girithar N</w:t>
            </w:r>
          </w:p>
        </w:tc>
      </w:tr>
    </w:tbl>
    <w:p w:rsidR="005433B3" w:rsidP="005433B3" w:rsidRDefault="005433B3" w14:paraId="05318CCB" w14:textId="77777777">
      <w:pPr>
        <w:rPr>
          <w:b/>
          <w:bCs/>
          <w:color w:val="000000" w:themeColor="text1"/>
        </w:rPr>
      </w:pPr>
    </w:p>
    <w:p w:rsidR="005433B3" w:rsidP="005433B3" w:rsidRDefault="005433B3" w14:paraId="58F30E2D" w14:textId="77777777">
      <w:pPr>
        <w:rPr>
          <w:b/>
          <w:bCs/>
          <w:color w:val="000000" w:themeColor="text1"/>
        </w:rPr>
      </w:pPr>
      <w:r>
        <w:rPr>
          <w:b/>
          <w:bCs/>
          <w:color w:val="000000" w:themeColor="text1"/>
        </w:rPr>
        <w:t>Document Review/Approval</w:t>
      </w:r>
    </w:p>
    <w:tbl>
      <w:tblPr>
        <w:tblW w:w="945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586"/>
        <w:gridCol w:w="2552"/>
        <w:gridCol w:w="2942"/>
        <w:gridCol w:w="2374"/>
      </w:tblGrid>
      <w:tr w:rsidRPr="00527A00" w:rsidR="005433B3" w:rsidTr="1D871E12" w14:paraId="4A2757E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5433B3" w:rsidRDefault="005433B3" w14:paraId="7F73CAA8" w14:textId="77777777">
            <w:pPr>
              <w:textAlignment w:val="baseline"/>
              <w:rPr>
                <w:rFonts w:cs="Segoe UI"/>
                <w:color w:val="0070C0"/>
                <w:szCs w:val="18"/>
              </w:rPr>
            </w:pPr>
            <w:r w:rsidRPr="00373998">
              <w:rPr>
                <w:rFonts w:cs="Arial"/>
                <w:b/>
                <w:bCs/>
                <w:color w:val="0070C0"/>
                <w:szCs w:val="18"/>
              </w:rPr>
              <w:t>Date</w:t>
            </w:r>
            <w:r w:rsidRPr="00373998">
              <w:rPr>
                <w:color w:val="0070C0"/>
                <w:szCs w:val="18"/>
              </w:rPr>
              <w:t>  </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5433B3" w:rsidRDefault="005433B3" w14:paraId="183287F8" w14:textId="77777777">
            <w:pPr>
              <w:textAlignment w:val="baseline"/>
              <w:rPr>
                <w:rFonts w:cs="Segoe UI"/>
                <w:color w:val="0070C0"/>
                <w:szCs w:val="18"/>
              </w:rPr>
            </w:pPr>
            <w:r w:rsidRPr="00373998">
              <w:rPr>
                <w:rFonts w:cs="Arial"/>
                <w:b/>
                <w:bCs/>
                <w:color w:val="0070C0"/>
                <w:szCs w:val="18"/>
              </w:rPr>
              <w:t>Signatory Name</w:t>
            </w:r>
          </w:p>
        </w:tc>
        <w:tc>
          <w:tcPr>
            <w:tcW w:w="29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5433B3" w:rsidRDefault="005433B3" w14:paraId="6596EF29" w14:textId="77777777">
            <w:pPr>
              <w:textAlignment w:val="baseline"/>
              <w:rPr>
                <w:rFonts w:cs="Segoe UI"/>
                <w:color w:val="0070C0"/>
                <w:szCs w:val="18"/>
              </w:rPr>
            </w:pPr>
            <w:r w:rsidRPr="00373998">
              <w:rPr>
                <w:rFonts w:cs="Arial"/>
                <w:b/>
                <w:bCs/>
                <w:color w:val="0070C0"/>
                <w:szCs w:val="18"/>
              </w:rPr>
              <w:t>Organization/Signatory Title</w:t>
            </w:r>
          </w:p>
        </w:tc>
        <w:tc>
          <w:tcPr>
            <w:tcW w:w="237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5433B3" w:rsidRDefault="005433B3" w14:paraId="6A61EF54" w14:textId="77777777">
            <w:pPr>
              <w:textAlignment w:val="baseline"/>
              <w:rPr>
                <w:rFonts w:cs="Segoe UI"/>
                <w:color w:val="0070C0"/>
                <w:szCs w:val="18"/>
              </w:rPr>
            </w:pPr>
            <w:r w:rsidRPr="00373998">
              <w:rPr>
                <w:rFonts w:cs="Arial"/>
                <w:b/>
                <w:bCs/>
                <w:color w:val="0070C0"/>
                <w:szCs w:val="18"/>
              </w:rPr>
              <w:t>Comments</w:t>
            </w:r>
            <w:r w:rsidRPr="00373998">
              <w:rPr>
                <w:color w:val="0070C0"/>
                <w:szCs w:val="18"/>
              </w:rPr>
              <w:t> </w:t>
            </w:r>
          </w:p>
        </w:tc>
      </w:tr>
      <w:tr w:rsidRPr="00527A00" w:rsidR="00573D76" w:rsidTr="1D871E12" w14:paraId="3979C09E"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573D76" w:rsidR="00573D76" w:rsidP="1D871E12" w:rsidRDefault="00573D76" w14:paraId="6263684B" w14:textId="488752E3">
            <w:pPr>
              <w:textAlignment w:val="baseline"/>
              <w:rPr>
                <w:rFonts w:cs="Segoe UI"/>
              </w:rPr>
            </w:pPr>
            <w:r w:rsidRPr="1D871E12" w:rsidR="626CE975">
              <w:rPr>
                <w:rFonts w:cs="Segoe UI"/>
              </w:rPr>
              <w:t>25-</w:t>
            </w:r>
            <w:r w:rsidRPr="1D871E12" w:rsidR="545E5C6F">
              <w:rPr>
                <w:rFonts w:cs="Segoe UI"/>
              </w:rPr>
              <w:t>APR</w:t>
            </w:r>
            <w:r w:rsidRPr="1D871E12" w:rsidR="626CE975">
              <w:rPr>
                <w:rFonts w:cs="Segoe UI"/>
              </w:rPr>
              <w:t>-2023</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573D76" w:rsidP="00573D76" w:rsidRDefault="00573D76" w14:paraId="1AA4F45E" w14:textId="583E7D82">
            <w:pPr>
              <w:textAlignment w:val="baseline"/>
              <w:rPr>
                <w:rFonts w:cs="Segoe UI"/>
                <w:szCs w:val="18"/>
              </w:rPr>
            </w:pPr>
            <w:r>
              <w:rPr>
                <w:rFonts w:cs="Segoe UI"/>
                <w:szCs w:val="18"/>
              </w:rPr>
              <w:t>Saravanan Sankaran</w:t>
            </w:r>
          </w:p>
        </w:tc>
        <w:tc>
          <w:tcPr>
            <w:tcW w:w="29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73D76" w:rsidR="00573D76" w:rsidP="00573D76" w:rsidRDefault="006D79D6" w14:paraId="453F7BEF" w14:textId="77A61C8C">
            <w:pPr>
              <w:textAlignment w:val="baseline"/>
              <w:rPr>
                <w:rFonts w:cs="Segoe UI"/>
                <w:szCs w:val="18"/>
              </w:rPr>
            </w:pPr>
            <w:r w:rsidRPr="002349FE">
              <w:rPr>
                <w:rFonts w:cs="Segoe UI"/>
                <w:szCs w:val="18"/>
              </w:rPr>
              <w:t>Senior Director - Info Security &amp; IT</w:t>
            </w:r>
          </w:p>
        </w:tc>
        <w:tc>
          <w:tcPr>
            <w:tcW w:w="237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573D76" w:rsidP="2D521272" w:rsidRDefault="72ED0862" w14:paraId="2F826C19" w14:textId="164F1CCE">
            <w:pPr>
              <w:textAlignment w:val="baseline"/>
              <w:rPr>
                <w:rFonts w:cs="Segoe UI"/>
              </w:rPr>
            </w:pPr>
            <w:r w:rsidRPr="2D521272">
              <w:rPr>
                <w:rFonts w:cs="Segoe UI"/>
              </w:rPr>
              <w:t>Approved</w:t>
            </w:r>
          </w:p>
        </w:tc>
      </w:tr>
      <w:tr w:rsidRPr="00527A00" w:rsidR="00573D76" w:rsidTr="1D871E12" w14:paraId="0BAA8FD9"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573D76" w:rsidP="1D871E12" w:rsidRDefault="00573D76" w14:paraId="0EDF3675" w14:textId="0DF7D7BE">
            <w:pPr>
              <w:textAlignment w:val="baseline"/>
              <w:rPr>
                <w:rFonts w:cs="Segoe UI"/>
              </w:rPr>
            </w:pPr>
            <w:r w:rsidRPr="1D871E12" w:rsidR="626CE975">
              <w:rPr>
                <w:rFonts w:cs="Segoe UI"/>
              </w:rPr>
              <w:t>12-F</w:t>
            </w:r>
            <w:r w:rsidRPr="1D871E12" w:rsidR="59735681">
              <w:rPr>
                <w:rFonts w:cs="Segoe UI"/>
              </w:rPr>
              <w:t>EB</w:t>
            </w:r>
            <w:r w:rsidRPr="1D871E12" w:rsidR="626CE975">
              <w:rPr>
                <w:rFonts w:cs="Segoe UI"/>
              </w:rPr>
              <w:t>-2024</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573D76" w:rsidP="00573D76" w:rsidRDefault="00573D76" w14:paraId="2438DDCE" w14:textId="437E7F32">
            <w:pPr>
              <w:textAlignment w:val="baseline"/>
              <w:rPr>
                <w:rFonts w:cs="Segoe UI"/>
                <w:szCs w:val="18"/>
              </w:rPr>
            </w:pPr>
            <w:r>
              <w:rPr>
                <w:rFonts w:cs="Segoe UI"/>
                <w:szCs w:val="18"/>
              </w:rPr>
              <w:t>Saravanan Sankaran</w:t>
            </w:r>
          </w:p>
        </w:tc>
        <w:tc>
          <w:tcPr>
            <w:tcW w:w="29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573D76" w:rsidP="00573D76" w:rsidRDefault="006D79D6" w14:paraId="34A1DD43" w14:textId="3E843DAC">
            <w:pPr>
              <w:textAlignment w:val="baseline"/>
              <w:rPr>
                <w:rFonts w:cs="Segoe UI"/>
                <w:szCs w:val="18"/>
              </w:rPr>
            </w:pPr>
            <w:r w:rsidRPr="002349FE">
              <w:rPr>
                <w:rFonts w:cs="Segoe UI"/>
                <w:szCs w:val="18"/>
              </w:rPr>
              <w:t>Senior Director - Info Security &amp; IT</w:t>
            </w:r>
          </w:p>
        </w:tc>
        <w:tc>
          <w:tcPr>
            <w:tcW w:w="237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573D76" w:rsidP="2D521272" w:rsidRDefault="07D7DF5A" w14:paraId="40B21A5F" w14:textId="0F0D0933">
            <w:pPr>
              <w:textAlignment w:val="baseline"/>
              <w:rPr>
                <w:rFonts w:cs="Segoe UI"/>
              </w:rPr>
            </w:pPr>
            <w:r w:rsidRPr="2D521272">
              <w:rPr>
                <w:rFonts w:cs="Segoe UI"/>
              </w:rPr>
              <w:t>Approved</w:t>
            </w:r>
          </w:p>
        </w:tc>
      </w:tr>
      <w:tr w:rsidRPr="00527A00" w:rsidR="006D79D6" w:rsidTr="1D871E12" w14:paraId="357C6AF8"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6D79D6" w:rsidP="6D7EDD93" w:rsidRDefault="5A8E647B" w14:paraId="295D2970" w14:textId="6DFF6557">
            <w:pPr>
              <w:textAlignment w:val="baseline"/>
              <w:rPr>
                <w:rFonts w:cs="Segoe UI"/>
              </w:rPr>
            </w:pPr>
            <w:r w:rsidRPr="1D871E12" w:rsidR="616D8851">
              <w:rPr>
                <w:rFonts w:cs="Segoe UI"/>
              </w:rPr>
              <w:t>05-FEB</w:t>
            </w:r>
            <w:r w:rsidRPr="1D871E12" w:rsidR="7C453DDF">
              <w:rPr>
                <w:rFonts w:cs="Segoe UI"/>
              </w:rPr>
              <w:t>-2025</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527A00" w:rsidR="006D79D6" w:rsidP="006D79D6" w:rsidRDefault="006D79D6" w14:paraId="760B6A9A" w14:textId="28F1D151">
            <w:pPr>
              <w:textAlignment w:val="baseline"/>
              <w:rPr>
                <w:rFonts w:cs="Segoe UI"/>
                <w:szCs w:val="18"/>
              </w:rPr>
            </w:pPr>
            <w:r>
              <w:rPr>
                <w:rFonts w:cs="Segoe UI"/>
                <w:szCs w:val="18"/>
              </w:rPr>
              <w:t>Saravanan Sankaran</w:t>
            </w:r>
          </w:p>
        </w:tc>
        <w:tc>
          <w:tcPr>
            <w:tcW w:w="29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527A00" w:rsidR="006D79D6" w:rsidP="006D79D6" w:rsidRDefault="006D79D6" w14:paraId="2F0589A3" w14:textId="5A509568">
            <w:pPr>
              <w:textAlignment w:val="baseline"/>
              <w:rPr>
                <w:rFonts w:cs="Segoe UI"/>
                <w:szCs w:val="18"/>
              </w:rPr>
            </w:pPr>
            <w:r w:rsidRPr="00573D76">
              <w:rPr>
                <w:rFonts w:cs="Segoe UI"/>
                <w:szCs w:val="18"/>
              </w:rPr>
              <w:t>Vice</w:t>
            </w:r>
            <w:r>
              <w:rPr>
                <w:rFonts w:cs="Segoe UI"/>
                <w:szCs w:val="18"/>
              </w:rPr>
              <w:t>-</w:t>
            </w:r>
            <w:r w:rsidRPr="00573D76">
              <w:rPr>
                <w:rFonts w:cs="Segoe UI"/>
                <w:szCs w:val="18"/>
              </w:rPr>
              <w:t>President– Infosec &amp; IT</w:t>
            </w:r>
          </w:p>
        </w:tc>
        <w:tc>
          <w:tcPr>
            <w:tcW w:w="237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527A00" w:rsidR="006D79D6" w:rsidP="6D7EDD93" w:rsidRDefault="006D79D6" w14:paraId="027DF714" w14:textId="6E46BA53">
            <w:pPr>
              <w:textAlignment w:val="baseline"/>
              <w:rPr>
                <w:rFonts w:cs="Segoe UI"/>
              </w:rPr>
            </w:pPr>
            <w:r w:rsidRPr="2D521272">
              <w:rPr>
                <w:rFonts w:cs="Segoe UI"/>
              </w:rPr>
              <w:t> </w:t>
            </w:r>
            <w:r w:rsidRPr="2D521272" w:rsidR="08780550">
              <w:rPr>
                <w:rFonts w:cs="Segoe UI"/>
              </w:rPr>
              <w:t>Approved</w:t>
            </w:r>
          </w:p>
        </w:tc>
      </w:tr>
    </w:tbl>
    <w:p w:rsidR="005433B3" w:rsidP="005433B3" w:rsidRDefault="005433B3" w14:paraId="0120887D" w14:textId="77777777">
      <w:pPr>
        <w:rPr>
          <w:b/>
          <w:bCs/>
          <w:color w:val="000000" w:themeColor="text1"/>
        </w:rPr>
      </w:pPr>
    </w:p>
    <w:p w:rsidR="005433B3" w:rsidP="005433B3" w:rsidRDefault="005433B3" w14:paraId="5820C61A" w14:textId="77777777">
      <w:pPr>
        <w:rPr>
          <w:b/>
          <w:bCs/>
          <w:color w:val="000000" w:themeColor="text1"/>
        </w:rPr>
      </w:pPr>
      <w:r>
        <w:rPr>
          <w:b/>
          <w:bCs/>
          <w:color w:val="000000" w:themeColor="text1"/>
        </w:rPr>
        <w:t>Distribution of Final Document</w:t>
      </w:r>
    </w:p>
    <w:tbl>
      <w:tblPr>
        <w:tblW w:w="947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70"/>
        <w:gridCol w:w="4903"/>
      </w:tblGrid>
      <w:tr w:rsidRPr="00527A00" w:rsidR="005433B3" w:rsidTr="00847670" w14:paraId="16BD64FB"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5433B3" w:rsidRDefault="005433B3" w14:paraId="7C5CB11A" w14:textId="77777777">
            <w:pPr>
              <w:textAlignment w:val="baseline"/>
              <w:rPr>
                <w:rFonts w:cs="Segoe UI"/>
                <w:b/>
                <w:bCs/>
                <w:color w:val="0070C0"/>
                <w:szCs w:val="18"/>
              </w:rPr>
            </w:pPr>
            <w:r w:rsidRPr="00373998">
              <w:rPr>
                <w:rFonts w:cs="Segoe UI"/>
                <w:b/>
                <w:bCs/>
                <w:color w:val="0070C0"/>
                <w:szCs w:val="18"/>
              </w:rPr>
              <w:t>Name</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5433B3" w:rsidRDefault="005433B3" w14:paraId="0B034010" w14:textId="77777777">
            <w:pPr>
              <w:textAlignment w:val="baseline"/>
              <w:rPr>
                <w:rFonts w:cs="Segoe UI"/>
                <w:color w:val="0070C0"/>
                <w:szCs w:val="18"/>
              </w:rPr>
            </w:pPr>
            <w:r w:rsidRPr="00373998">
              <w:rPr>
                <w:rFonts w:cs="Arial"/>
                <w:b/>
                <w:bCs/>
                <w:color w:val="0070C0"/>
                <w:szCs w:val="18"/>
              </w:rPr>
              <w:t>Organization/Title</w:t>
            </w:r>
          </w:p>
        </w:tc>
      </w:tr>
      <w:tr w:rsidRPr="00527A00" w:rsidR="005433B3" w:rsidTr="00847670" w14:paraId="4820A9C0"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5433B3" w:rsidRDefault="005433B3" w14:paraId="7AD7A960" w14:textId="77777777">
            <w:pPr>
              <w:textAlignment w:val="baseline"/>
              <w:rPr>
                <w:rFonts w:cs="Segoe UI"/>
              </w:rPr>
            </w:pPr>
            <w:r w:rsidRPr="3B7A074D">
              <w:rPr>
                <w:rFonts w:cs="Segoe UI"/>
              </w:rPr>
              <w:t>All Stakeholders</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5433B3" w:rsidRDefault="005433B3" w14:paraId="3E89D0EB" w14:textId="77777777">
            <w:pPr>
              <w:textAlignment w:val="baseline"/>
              <w:rPr>
                <w:rFonts w:cs="Segoe UI"/>
              </w:rPr>
            </w:pPr>
            <w:r w:rsidRPr="3B7A074D">
              <w:rPr>
                <w:rFonts w:cs="Segoe UI"/>
              </w:rPr>
              <w:t>Netradyne Inc</w:t>
            </w:r>
          </w:p>
        </w:tc>
      </w:tr>
      <w:tr w:rsidRPr="00527A00" w:rsidR="005433B3" w:rsidTr="00847670" w14:paraId="1C4048C6"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5433B3" w:rsidRDefault="005433B3" w14:paraId="281D178C" w14:textId="77777777">
            <w:pPr>
              <w:textAlignment w:val="baseline"/>
              <w:rPr>
                <w:rFonts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5433B3" w:rsidRDefault="005433B3" w14:paraId="7F1D25CE" w14:textId="77777777">
            <w:pPr>
              <w:textAlignment w:val="baseline"/>
              <w:rPr>
                <w:rFonts w:cs="Segoe UI"/>
                <w:szCs w:val="18"/>
              </w:rPr>
            </w:pPr>
          </w:p>
        </w:tc>
      </w:tr>
      <w:tr w:rsidRPr="00527A00" w:rsidR="005433B3" w:rsidTr="00847670" w14:paraId="2ED70BE9"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5433B3" w:rsidRDefault="005433B3" w14:paraId="69348DFF" w14:textId="77777777">
            <w:pPr>
              <w:textAlignment w:val="baseline"/>
              <w:rPr>
                <w:rFonts w:cs="Segoe UI"/>
                <w:szCs w:val="18"/>
              </w:rPr>
            </w:pPr>
            <w:r w:rsidRPr="00527A00">
              <w:rPr>
                <w:szCs w:val="18"/>
              </w:rPr>
              <w:t>  </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5433B3" w:rsidRDefault="005433B3" w14:paraId="20386713" w14:textId="77777777">
            <w:pPr>
              <w:textAlignment w:val="baseline"/>
              <w:rPr>
                <w:rFonts w:cs="Segoe UI"/>
                <w:szCs w:val="18"/>
              </w:rPr>
            </w:pPr>
            <w:r w:rsidRPr="00527A00">
              <w:rPr>
                <w:szCs w:val="18"/>
              </w:rPr>
              <w:t>  </w:t>
            </w:r>
          </w:p>
        </w:tc>
      </w:tr>
    </w:tbl>
    <w:p w:rsidR="0039466B" w:rsidP="0039466B" w:rsidRDefault="0039466B" w14:paraId="248C81F3" w14:textId="3D61FBCD"/>
    <w:p w:rsidR="0039466B" w:rsidP="0039466B" w:rsidRDefault="0039466B" w14:paraId="7305CDF9" w14:textId="56A4544D"/>
    <w:p w:rsidR="0039466B" w:rsidP="0039466B" w:rsidRDefault="0039466B" w14:paraId="7942E868" w14:textId="16DAE734"/>
    <w:p w:rsidR="0039466B" w:rsidP="0039466B" w:rsidRDefault="0039466B" w14:paraId="66E46E76" w14:textId="646E8406"/>
    <w:p w:rsidR="0039466B" w:rsidP="0039466B" w:rsidRDefault="0039466B" w14:paraId="7ECBCE3D" w14:textId="6BB40839"/>
    <w:p w:rsidR="0039466B" w:rsidP="0039466B" w:rsidRDefault="0039466B" w14:paraId="74AC5B87" w14:textId="13404EBE"/>
    <w:p w:rsidR="0039466B" w:rsidP="0039466B" w:rsidRDefault="0039466B" w14:paraId="276DCFC3" w14:textId="5D96225B"/>
    <w:p w:rsidR="00F3765F" w:rsidP="0039466B" w:rsidRDefault="00F3765F" w14:paraId="63B0F577" w14:textId="77777777"/>
    <w:p w:rsidR="00596E2D" w:rsidP="0039466B" w:rsidRDefault="00596E2D" w14:paraId="3C547AA4" w14:textId="77777777"/>
    <w:p w:rsidR="00596E2D" w:rsidP="0039466B" w:rsidRDefault="00596E2D" w14:paraId="449A67F6" w14:textId="77777777"/>
    <w:p w:rsidR="005433B3" w:rsidP="0039466B" w:rsidRDefault="005433B3" w14:paraId="081E6DEC" w14:textId="77777777"/>
    <w:p w:rsidRPr="0066248A" w:rsidR="0066248A" w:rsidP="00575D8A" w:rsidRDefault="0066248A" w14:paraId="1554FF5F" w14:textId="25952FCA">
      <w:pPr>
        <w:pStyle w:val="Heading1"/>
        <w:rPr>
          <w:rFonts w:eastAsiaTheme="majorEastAsia"/>
          <w:lang w:val="en-US"/>
        </w:rPr>
      </w:pPr>
      <w:bookmarkStart w:name="_Toc158641205" w:id="3"/>
      <w:r w:rsidRPr="0066248A">
        <w:rPr>
          <w:rFonts w:eastAsiaTheme="majorEastAsia"/>
          <w:lang w:val="en-US"/>
        </w:rPr>
        <w:t>Purpose</w:t>
      </w:r>
      <w:bookmarkEnd w:id="3"/>
    </w:p>
    <w:p w:rsidR="00915CA2" w:rsidP="00242C48" w:rsidRDefault="00915CA2" w14:paraId="4B51528F" w14:textId="2299515C">
      <w:r>
        <w:t>This document is a Netradyne Policy/Process/Procedure document</w:t>
      </w:r>
      <w:r w:rsidR="005433B3">
        <w:t xml:space="preserve"> for managing vulnerability management</w:t>
      </w:r>
      <w:r>
        <w:t>.</w:t>
      </w:r>
    </w:p>
    <w:p w:rsidRPr="0066248A" w:rsidR="0066248A" w:rsidP="009416BB" w:rsidRDefault="0066248A" w14:paraId="35D9358C" w14:textId="77777777">
      <w:pPr>
        <w:pStyle w:val="Heading1"/>
        <w:rPr>
          <w:rFonts w:eastAsiaTheme="majorEastAsia"/>
        </w:rPr>
      </w:pPr>
      <w:bookmarkStart w:name="_Toc158641206" w:id="4"/>
      <w:r w:rsidRPr="0066248A">
        <w:rPr>
          <w:rFonts w:eastAsiaTheme="majorEastAsia"/>
        </w:rPr>
        <w:t>Scope</w:t>
      </w:r>
      <w:bookmarkEnd w:id="4"/>
    </w:p>
    <w:p w:rsidR="005433B3" w:rsidP="005433B3" w:rsidRDefault="005433B3" w14:paraId="448C4D2C" w14:textId="0C66CAB0">
      <w:pPr>
        <w:pStyle w:val="paragraph"/>
        <w:jc w:val="both"/>
        <w:textAlignment w:val="baseline"/>
        <w:rPr>
          <w:rStyle w:val="normaltextrun"/>
          <w:rFonts w:ascii="Verdana" w:hAnsi="Verdana" w:eastAsiaTheme="majorEastAsia"/>
          <w:sz w:val="18"/>
          <w:szCs w:val="18"/>
          <w:lang w:val="en-IN"/>
        </w:rPr>
      </w:pPr>
      <w:r>
        <w:rPr>
          <w:rStyle w:val="normaltextrun"/>
          <w:rFonts w:ascii="Verdana" w:hAnsi="Verdana" w:eastAsiaTheme="majorEastAsia"/>
          <w:sz w:val="18"/>
          <w:szCs w:val="18"/>
          <w:lang w:val="en-IN"/>
        </w:rPr>
        <w:t>This SOP applies to all NETRADYNE technology assets, facilities, employees, contractors (as provided by law or contract), partners, and visitors, in achieving NETRADYNE missions, programs, projects, and institutional requirements.</w:t>
      </w:r>
    </w:p>
    <w:p w:rsidRPr="00133812" w:rsidR="00133812" w:rsidP="00133812" w:rsidRDefault="00133812" w14:paraId="7D4C5B94" w14:textId="77777777">
      <w:pPr>
        <w:rPr>
          <w:rStyle w:val="normaltextrun"/>
          <w:rFonts w:eastAsiaTheme="majorEastAsia"/>
        </w:rPr>
      </w:pPr>
      <w:r w:rsidRPr="00133812">
        <w:rPr>
          <w:rStyle w:val="normaltextrun"/>
          <w:rFonts w:eastAsiaTheme="majorEastAsia"/>
        </w:rPr>
        <w:t>Vulnerability Management Process is defined and established and identified vulnerabilities are remediated as per the prescribed timeline. Periodic cadence shall be established by InfoSec team with relevant stakeholders to review, track and close the pending vulnerabilities.</w:t>
      </w:r>
    </w:p>
    <w:p w:rsidR="00133812" w:rsidP="005433B3" w:rsidRDefault="00133812" w14:paraId="2C4896E8" w14:textId="77777777">
      <w:pPr>
        <w:pStyle w:val="paragraph"/>
        <w:jc w:val="both"/>
        <w:textAlignment w:val="baseline"/>
      </w:pPr>
    </w:p>
    <w:p w:rsidR="00906020" w:rsidP="00906020" w:rsidRDefault="00941332" w14:paraId="54CFFF14" w14:textId="4747E36F">
      <w:pPr>
        <w:pStyle w:val="Heading1"/>
        <w:rPr>
          <w:rFonts w:eastAsiaTheme="majorEastAsia"/>
        </w:rPr>
      </w:pPr>
      <w:bookmarkStart w:name="_Toc158641207" w:id="5"/>
      <w:r w:rsidRPr="009416BB">
        <w:rPr>
          <w:rFonts w:eastAsiaTheme="majorEastAsia"/>
        </w:rPr>
        <w:t xml:space="preserve">Roles and </w:t>
      </w:r>
      <w:r w:rsidRPr="009416BB" w:rsidR="009C005D">
        <w:rPr>
          <w:rFonts w:eastAsiaTheme="majorEastAsia"/>
        </w:rPr>
        <w:t>Responsibilities</w:t>
      </w:r>
      <w:bookmarkEnd w:id="5"/>
      <w:r w:rsidRPr="009416BB">
        <w:rPr>
          <w:rFonts w:eastAsiaTheme="majorEastAsia"/>
        </w:rPr>
        <w:t xml:space="preserve"> </w:t>
      </w:r>
    </w:p>
    <w:p w:rsidRPr="00906020" w:rsidR="00906020" w:rsidP="00242C48" w:rsidRDefault="00906020" w14:paraId="2BED0539" w14:textId="15892FFA">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6"/>
        <w:gridCol w:w="6051"/>
      </w:tblGrid>
      <w:tr w:rsidR="00906020" w:rsidTr="00906020" w14:paraId="6E805C8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rsidRPr="00906020" w:rsidR="00906020" w:rsidP="00906020" w:rsidRDefault="00906020" w14:paraId="1623E3D9" w14:textId="6D95C644">
            <w:pPr>
              <w:jc w:val="left"/>
              <w:rPr>
                <w:b/>
                <w:bCs/>
              </w:rPr>
            </w:pPr>
            <w:r w:rsidRPr="00906020">
              <w:rPr>
                <w:b/>
                <w:bCs/>
              </w:rPr>
              <w:t>Role</w:t>
            </w:r>
          </w:p>
        </w:tc>
        <w:tc>
          <w:tcPr>
            <w:tcW w:w="6051" w:type="dxa"/>
            <w:vAlign w:val="center"/>
          </w:tcPr>
          <w:p w:rsidRPr="00906020" w:rsidR="00906020" w:rsidP="00906020" w:rsidRDefault="00906020" w14:paraId="79E8AEA1" w14:textId="03755087">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rsidTr="00906020" w14:paraId="71D5EE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D6ACBF6" w14:textId="50346F04">
            <w:pPr>
              <w:jc w:val="left"/>
              <w:rPr>
                <w:i w:val="0"/>
                <w:iCs w:val="0"/>
              </w:rPr>
            </w:pPr>
            <w:r>
              <w:rPr>
                <w:i w:val="0"/>
                <w:iCs w:val="0"/>
              </w:rPr>
              <w:t>Owner</w:t>
            </w:r>
          </w:p>
        </w:tc>
        <w:tc>
          <w:tcPr>
            <w:tcW w:w="6051" w:type="dxa"/>
            <w:vAlign w:val="center"/>
          </w:tcPr>
          <w:p w:rsidR="00906020" w:rsidP="00F0333D" w:rsidRDefault="00F0333D" w14:paraId="4883BDC6" w14:textId="5819FC8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rsidR="00F0333D" w:rsidP="00F0333D" w:rsidRDefault="00F0333D" w14:paraId="396CBC97" w14:textId="77F97F0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Is the point of contact for the document.</w:t>
            </w:r>
          </w:p>
          <w:p w:rsidRPr="00906020" w:rsidR="00F0333D" w:rsidP="00F0333D" w:rsidRDefault="00F0333D" w14:paraId="151F6E44" w14:textId="398A8A3B">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rsidTr="00906020" w14:paraId="221CD5BA"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3730A514" w14:textId="17415CE3">
            <w:pPr>
              <w:jc w:val="left"/>
              <w:rPr>
                <w:i w:val="0"/>
                <w:iCs w:val="0"/>
              </w:rPr>
            </w:pPr>
            <w:r>
              <w:rPr>
                <w:i w:val="0"/>
                <w:iCs w:val="0"/>
              </w:rPr>
              <w:t>Reviewers/Stakeholders</w:t>
            </w:r>
          </w:p>
        </w:tc>
        <w:tc>
          <w:tcPr>
            <w:tcW w:w="6051" w:type="dxa"/>
            <w:vAlign w:val="center"/>
          </w:tcPr>
          <w:p w:rsidRPr="00906020" w:rsidR="00906020" w:rsidP="00906020" w:rsidRDefault="00F0333D" w14:paraId="6039BD37" w14:textId="16350D8F">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rsidTr="00906020" w14:paraId="54A278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74005E1" w14:textId="11A401B2">
            <w:pPr>
              <w:jc w:val="left"/>
              <w:rPr>
                <w:i w:val="0"/>
                <w:iCs w:val="0"/>
              </w:rPr>
            </w:pPr>
            <w:r>
              <w:rPr>
                <w:i w:val="0"/>
                <w:iCs w:val="0"/>
              </w:rPr>
              <w:t>Approvers</w:t>
            </w:r>
          </w:p>
        </w:tc>
        <w:tc>
          <w:tcPr>
            <w:tcW w:w="6051" w:type="dxa"/>
            <w:vAlign w:val="center"/>
          </w:tcPr>
          <w:p w:rsidRPr="00906020" w:rsidR="00906020" w:rsidP="00906020" w:rsidRDefault="00F0333D" w14:paraId="7E2E6340" w14:textId="7FF037FD">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rsidTr="00906020" w14:paraId="744A51E2"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77ECF02A" w14:textId="3DC2B89E">
            <w:pPr>
              <w:jc w:val="left"/>
              <w:rPr>
                <w:i w:val="0"/>
                <w:iCs w:val="0"/>
              </w:rPr>
            </w:pPr>
            <w:r>
              <w:rPr>
                <w:i w:val="0"/>
                <w:iCs w:val="0"/>
              </w:rPr>
              <w:t>Document Release</w:t>
            </w:r>
          </w:p>
        </w:tc>
        <w:tc>
          <w:tcPr>
            <w:tcW w:w="6051" w:type="dxa"/>
            <w:vAlign w:val="center"/>
          </w:tcPr>
          <w:p w:rsidRPr="00906020" w:rsidR="00906020" w:rsidP="00906020" w:rsidRDefault="00764234" w14:paraId="57C67A2F" w14:textId="1730828D">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rsidRPr="00906020" w:rsidR="00906020" w:rsidP="00527A00" w:rsidRDefault="00906020" w14:paraId="062FA27E" w14:textId="77777777"/>
    <w:p w:rsidRPr="00CE424F" w:rsidR="0066248A" w:rsidP="00CE424F" w:rsidRDefault="009C005D" w14:paraId="28B25B6D" w14:textId="730A0FC9">
      <w:pPr>
        <w:pStyle w:val="Heading1"/>
        <w:rPr>
          <w:rFonts w:eastAsiaTheme="majorEastAsia"/>
          <w:lang w:val="en-US"/>
        </w:rPr>
      </w:pPr>
      <w:bookmarkStart w:name="_Toc158641208" w:id="6"/>
      <w:r w:rsidRPr="007F79FF">
        <w:rPr>
          <w:rFonts w:eastAsiaTheme="majorEastAsia"/>
          <w:lang w:val="en-US"/>
        </w:rPr>
        <w:t>Procedure</w:t>
      </w:r>
      <w:bookmarkEnd w:id="6"/>
    </w:p>
    <w:p w:rsidRPr="0084123F" w:rsidR="005433B3" w:rsidP="005433B3" w:rsidRDefault="005433B3" w14:paraId="1B5EB087" w14:textId="6A00DE90">
      <w:pPr>
        <w:ind w:left="432"/>
        <w:rPr>
          <w:rStyle w:val="markedcontent"/>
          <w:rFonts w:ascii="Arial" w:hAnsi="Arial" w:cs="Arial"/>
          <w:sz w:val="20"/>
          <w:szCs w:val="20"/>
        </w:rPr>
      </w:pPr>
      <w:r w:rsidRPr="0084123F">
        <w:rPr>
          <w:rStyle w:val="markedcontent"/>
          <w:rFonts w:ascii="Amasis MT Pro" w:hAnsi="Amasis MT Pro" w:cs="Arial"/>
          <w:sz w:val="20"/>
          <w:szCs w:val="20"/>
        </w:rPr>
        <w:t>One of the most straightforward and effective means for an organization to prioritize vulnerability response and protect</w:t>
      </w:r>
      <w:r>
        <w:rPr>
          <w:rStyle w:val="markedcontent"/>
          <w:rFonts w:ascii="Amasis MT Pro" w:hAnsi="Amasis MT Pro" w:cs="Arial"/>
          <w:sz w:val="20"/>
          <w:szCs w:val="20"/>
        </w:rPr>
        <w:t xml:space="preserve"> </w:t>
      </w:r>
      <w:r w:rsidRPr="0084123F">
        <w:rPr>
          <w:rStyle w:val="markedcontent"/>
          <w:rFonts w:ascii="Amasis MT Pro" w:hAnsi="Amasis MT Pro" w:cs="Arial"/>
          <w:sz w:val="20"/>
          <w:szCs w:val="20"/>
        </w:rPr>
        <w:t>themselves from being compromised is by focusing on</w:t>
      </w:r>
      <w:r w:rsidRPr="0084123F">
        <w:rPr>
          <w:rFonts w:ascii="Amasis MT Pro" w:hAnsi="Amasis MT Pro"/>
          <w:sz w:val="20"/>
          <w:szCs w:val="20"/>
        </w:rPr>
        <w:t xml:space="preserve"> </w:t>
      </w:r>
      <w:r w:rsidRPr="0084123F">
        <w:rPr>
          <w:rStyle w:val="markedcontent"/>
          <w:rFonts w:ascii="Amasis MT Pro" w:hAnsi="Amasis MT Pro" w:cs="Arial"/>
          <w:sz w:val="20"/>
          <w:szCs w:val="20"/>
        </w:rPr>
        <w:t>vulnerabilities that are already being actively exploited in the</w:t>
      </w:r>
      <w:r>
        <w:rPr>
          <w:rStyle w:val="markedcontent"/>
          <w:rFonts w:ascii="Amasis MT Pro" w:hAnsi="Amasis MT Pro" w:cs="Arial"/>
          <w:sz w:val="20"/>
          <w:szCs w:val="20"/>
        </w:rPr>
        <w:t xml:space="preserve"> </w:t>
      </w:r>
      <w:r w:rsidRPr="0084123F">
        <w:rPr>
          <w:rStyle w:val="markedcontent"/>
          <w:rFonts w:ascii="Amasis MT Pro" w:hAnsi="Amasis MT Pro" w:cs="Arial"/>
          <w:sz w:val="20"/>
          <w:szCs w:val="20"/>
        </w:rPr>
        <w:t>wild. This playbook standardizes the high-level process that agencies should follow when responding to these urgent and</w:t>
      </w:r>
      <w:r>
        <w:rPr>
          <w:rStyle w:val="markedcontent"/>
          <w:rFonts w:ascii="Amasis MT Pro" w:hAnsi="Amasis MT Pro" w:cs="Arial"/>
          <w:sz w:val="20"/>
          <w:szCs w:val="20"/>
        </w:rPr>
        <w:t xml:space="preserve"> </w:t>
      </w:r>
      <w:r w:rsidRPr="0084123F">
        <w:rPr>
          <w:rStyle w:val="markedcontent"/>
          <w:rFonts w:ascii="Amasis MT Pro" w:hAnsi="Amasis MT Pro" w:cs="Arial"/>
          <w:sz w:val="20"/>
          <w:szCs w:val="20"/>
        </w:rPr>
        <w:t>high-priority vulnerabilities. It is not a replacement for existing vulnerability management programs in place at an agency but</w:t>
      </w:r>
      <w:r>
        <w:rPr>
          <w:rStyle w:val="markedcontent"/>
          <w:rFonts w:ascii="Amasis MT Pro" w:hAnsi="Amasis MT Pro" w:cs="Arial"/>
          <w:sz w:val="20"/>
          <w:szCs w:val="20"/>
        </w:rPr>
        <w:t xml:space="preserve"> </w:t>
      </w:r>
      <w:r w:rsidRPr="0084123F">
        <w:rPr>
          <w:rStyle w:val="markedcontent"/>
          <w:rFonts w:ascii="Amasis MT Pro" w:hAnsi="Amasis MT Pro" w:cs="Arial"/>
          <w:sz w:val="20"/>
          <w:szCs w:val="20"/>
        </w:rPr>
        <w:t>instead builds on existing vulnerability management practices. Most vulnerabilities will have common vulnerabilities and exposures (CVE) descriptors. In other cases, agencies might encounter new vulnerabilities that do</w:t>
      </w:r>
      <w:r w:rsidRPr="0084123F">
        <w:rPr>
          <w:rFonts w:ascii="Amasis MT Pro" w:hAnsi="Amasis MT Pro"/>
          <w:sz w:val="20"/>
          <w:szCs w:val="20"/>
        </w:rPr>
        <w:br/>
      </w:r>
      <w:r w:rsidRPr="0084123F">
        <w:rPr>
          <w:rStyle w:val="markedcontent"/>
          <w:rFonts w:ascii="Amasis MT Pro" w:hAnsi="Amasis MT Pro" w:cs="Arial"/>
          <w:sz w:val="20"/>
          <w:szCs w:val="20"/>
        </w:rPr>
        <w:t>not yet have a CVE (e.g., zero-days) or vulnerabilities resulting from misconfigurations. Appendix D</w:t>
      </w:r>
      <w:r w:rsidRPr="0084123F">
        <w:rPr>
          <w:rFonts w:ascii="Amasis MT Pro" w:hAnsi="Amasis MT Pro"/>
          <w:sz w:val="20"/>
          <w:szCs w:val="20"/>
        </w:rPr>
        <w:br/>
      </w:r>
      <w:r w:rsidRPr="0084123F">
        <w:rPr>
          <w:rStyle w:val="markedcontent"/>
          <w:rFonts w:ascii="Amasis MT Pro" w:hAnsi="Amasis MT Pro" w:cs="Arial"/>
          <w:sz w:val="20"/>
          <w:szCs w:val="20"/>
        </w:rPr>
        <w:t>provides a companion checklist to track response activities to completion</w:t>
      </w:r>
      <w:r w:rsidRPr="0084123F">
        <w:rPr>
          <w:rStyle w:val="markedcontent"/>
          <w:rFonts w:ascii="Arial" w:hAnsi="Arial" w:cs="Arial"/>
          <w:sz w:val="20"/>
          <w:szCs w:val="20"/>
        </w:rPr>
        <w:t>.</w:t>
      </w:r>
    </w:p>
    <w:p w:rsidRPr="007C5589" w:rsidR="005433B3" w:rsidP="004B7ED1" w:rsidRDefault="005433B3" w14:paraId="3AC55814" w14:textId="77777777">
      <w:pPr>
        <w:pStyle w:val="Heading2"/>
      </w:pPr>
      <w:bookmarkStart w:name="_Toc158641209" w:id="7"/>
      <w:r w:rsidRPr="007C5589">
        <w:rPr>
          <w:rStyle w:val="Heading2Char"/>
          <w:b/>
          <w:bCs/>
        </w:rPr>
        <w:t>Preparation</w:t>
      </w:r>
      <w:bookmarkEnd w:id="7"/>
    </w:p>
    <w:p w:rsidRPr="00C8142F" w:rsidR="0066248A" w:rsidP="00C8142F" w:rsidRDefault="005433B3" w14:paraId="501DDE08" w14:textId="36CF1971">
      <w:pPr>
        <w:ind w:left="576"/>
        <w:rPr>
          <w:rFonts w:ascii="Amasis MT Pro" w:hAnsi="Amasis MT Pro" w:cs="Arial"/>
          <w:sz w:val="20"/>
          <w:szCs w:val="20"/>
        </w:rPr>
      </w:pPr>
      <w:r w:rsidRPr="00F12FF3">
        <w:rPr>
          <w:rStyle w:val="markedcontent"/>
          <w:rFonts w:ascii="Amasis MT Pro" w:hAnsi="Amasis MT Pro" w:cs="Arial"/>
          <w:sz w:val="20"/>
          <w:szCs w:val="20"/>
        </w:rPr>
        <w:t>Effective vulnerability response builds on strong vulnerability management. Ensure that effective</w:t>
      </w:r>
      <w:r w:rsidRPr="00F12FF3">
        <w:rPr>
          <w:rStyle w:val="markedcontent"/>
          <w:rFonts w:ascii="Amasis MT Pro" w:hAnsi="Amasis MT Pro" w:cs="Arial"/>
          <w:sz w:val="20"/>
          <w:szCs w:val="20"/>
        </w:rPr>
        <w:br/>
      </w:r>
      <w:r w:rsidRPr="00F12FF3">
        <w:rPr>
          <w:rStyle w:val="markedcontent"/>
          <w:rFonts w:ascii="Amasis MT Pro" w:hAnsi="Amasis MT Pro" w:cs="Arial"/>
          <w:sz w:val="20"/>
          <w:szCs w:val="20"/>
        </w:rPr>
        <w:t>vulnerability management practices are being followed.29 Such practices include building and</w:t>
      </w:r>
      <w:r w:rsidRPr="00F12FF3">
        <w:rPr>
          <w:rStyle w:val="markedcontent"/>
          <w:rFonts w:ascii="Amasis MT Pro" w:hAnsi="Amasis MT Pro" w:cs="Arial"/>
          <w:sz w:val="20"/>
          <w:szCs w:val="20"/>
        </w:rPr>
        <w:br/>
      </w:r>
      <w:r w:rsidRPr="00F12FF3">
        <w:rPr>
          <w:rStyle w:val="markedcontent"/>
          <w:rFonts w:ascii="Amasis MT Pro" w:hAnsi="Amasis MT Pro" w:cs="Arial"/>
          <w:sz w:val="20"/>
          <w:szCs w:val="20"/>
        </w:rPr>
        <w:t>maintaining robust asset management that includes inventorying:</w:t>
      </w:r>
      <w:r w:rsidRPr="00F12FF3">
        <w:rPr>
          <w:rStyle w:val="markedcontent"/>
          <w:rFonts w:ascii="Amasis MT Pro" w:hAnsi="Amasis MT Pro" w:cs="Arial"/>
          <w:sz w:val="20"/>
          <w:szCs w:val="20"/>
        </w:rPr>
        <w:br/>
      </w:r>
      <w:r w:rsidRPr="00F12FF3">
        <w:rPr>
          <w:rStyle w:val="markedcontent"/>
          <w:rFonts w:ascii="Amasis MT Pro" w:hAnsi="Amasis MT Pro" w:cs="Arial"/>
          <w:sz w:val="20"/>
          <w:szCs w:val="20"/>
        </w:rPr>
        <w:t>• Agency-operated systems and networks,</w:t>
      </w:r>
      <w:r w:rsidRPr="00F12FF3">
        <w:rPr>
          <w:rStyle w:val="markedcontent"/>
          <w:rFonts w:ascii="Amasis MT Pro" w:hAnsi="Amasis MT Pro" w:cs="Arial"/>
          <w:sz w:val="20"/>
          <w:szCs w:val="20"/>
        </w:rPr>
        <w:br/>
      </w:r>
      <w:r w:rsidRPr="00F12FF3">
        <w:rPr>
          <w:rStyle w:val="markedcontent"/>
          <w:rFonts w:ascii="Amasis MT Pro" w:hAnsi="Amasis MT Pro" w:cs="Arial"/>
          <w:sz w:val="20"/>
          <w:szCs w:val="20"/>
        </w:rPr>
        <w:t>• Systems and networks that involve partnerships with other organizations, and</w:t>
      </w:r>
      <w:r w:rsidRPr="00F12FF3">
        <w:rPr>
          <w:rStyle w:val="markedcontent"/>
          <w:rFonts w:ascii="Amasis MT Pro" w:hAnsi="Amasis MT Pro" w:cs="Arial"/>
          <w:sz w:val="20"/>
          <w:szCs w:val="20"/>
        </w:rPr>
        <w:br/>
      </w:r>
      <w:r w:rsidRPr="00F12FF3">
        <w:rPr>
          <w:rStyle w:val="markedcontent"/>
          <w:rFonts w:ascii="Amasis MT Pro" w:hAnsi="Amasis MT Pro" w:cs="Arial"/>
          <w:sz w:val="20"/>
          <w:szCs w:val="20"/>
        </w:rPr>
        <w:t>• Systems and networks operated by others, including cloud, contractor, and</w:t>
      </w:r>
      <w:r w:rsidRPr="00F12FF3">
        <w:rPr>
          <w:rStyle w:val="markedcontent"/>
          <w:rFonts w:ascii="Amasis MT Pro" w:hAnsi="Amasis MT Pro" w:cs="Arial"/>
          <w:sz w:val="20"/>
          <w:szCs w:val="20"/>
        </w:rPr>
        <w:br/>
      </w:r>
      <w:r w:rsidRPr="00F12FF3">
        <w:rPr>
          <w:rStyle w:val="markedcontent"/>
          <w:rFonts w:ascii="Amasis MT Pro" w:hAnsi="Amasis MT Pro" w:cs="Arial"/>
          <w:sz w:val="20"/>
          <w:szCs w:val="20"/>
        </w:rPr>
        <w:t>service provider systems.</w:t>
      </w:r>
      <w:r w:rsidRPr="00F12FF3">
        <w:rPr>
          <w:rStyle w:val="markedcontent"/>
          <w:rFonts w:ascii="Amasis MT Pro" w:hAnsi="Amasis MT Pro" w:cs="Arial"/>
          <w:sz w:val="20"/>
          <w:szCs w:val="20"/>
        </w:rPr>
        <w:br/>
      </w:r>
      <w:r w:rsidRPr="00F12FF3">
        <w:rPr>
          <w:rStyle w:val="markedcontent"/>
          <w:rFonts w:ascii="Amasis MT Pro" w:hAnsi="Amasis MT Pro" w:cs="Arial"/>
          <w:sz w:val="20"/>
          <w:szCs w:val="20"/>
        </w:rPr>
        <w:t>Have a process in place to understand the relevance of vulnerabilities to the environment by tracking</w:t>
      </w:r>
      <w:r w:rsidRPr="00F12FF3">
        <w:rPr>
          <w:rStyle w:val="markedcontent"/>
          <w:rFonts w:ascii="Amasis MT Pro" w:hAnsi="Amasis MT Pro" w:cs="Arial"/>
          <w:sz w:val="20"/>
          <w:szCs w:val="20"/>
        </w:rPr>
        <w:br/>
      </w:r>
      <w:r w:rsidRPr="00F12FF3">
        <w:rPr>
          <w:rStyle w:val="markedcontent"/>
          <w:rFonts w:ascii="Amasis MT Pro" w:hAnsi="Amasis MT Pro" w:cs="Arial"/>
          <w:sz w:val="20"/>
          <w:szCs w:val="20"/>
        </w:rPr>
        <w:t>operating systems and other applications for all systems. Understand all systems might have</w:t>
      </w:r>
      <w:r w:rsidRPr="00F12FF3">
        <w:rPr>
          <w:rStyle w:val="markedcontent"/>
          <w:rFonts w:ascii="Amasis MT Pro" w:hAnsi="Amasis MT Pro" w:cs="Arial"/>
          <w:sz w:val="20"/>
          <w:szCs w:val="20"/>
        </w:rPr>
        <w:br/>
      </w:r>
      <w:r w:rsidRPr="00F12FF3">
        <w:rPr>
          <w:rStyle w:val="markedcontent"/>
          <w:rFonts w:ascii="Amasis MT Pro" w:hAnsi="Amasis MT Pro" w:cs="Arial"/>
          <w:sz w:val="20"/>
          <w:szCs w:val="20"/>
        </w:rPr>
        <w:t>vulnerabilities and the implication of potential vulnerabilities on operations</w:t>
      </w:r>
      <w:r>
        <w:rPr>
          <w:rStyle w:val="markedcontent"/>
          <w:rFonts w:ascii="Amasis MT Pro" w:hAnsi="Amasis MT Pro" w:cs="Arial"/>
          <w:sz w:val="20"/>
          <w:szCs w:val="20"/>
        </w:rPr>
        <w:t>.</w:t>
      </w:r>
    </w:p>
    <w:p w:rsidRPr="0066248A" w:rsidR="00674274" w:rsidP="00242C48" w:rsidRDefault="00674274" w14:paraId="717D4354" w14:textId="77777777"/>
    <w:p w:rsidRPr="009416BB" w:rsidR="0066248A" w:rsidP="004B7ED1" w:rsidRDefault="005433B3" w14:paraId="1BB59771" w14:textId="5F8BF4E8">
      <w:pPr>
        <w:pStyle w:val="Heading2"/>
        <w:rPr>
          <w:rFonts w:eastAsiaTheme="majorEastAsia"/>
        </w:rPr>
      </w:pPr>
      <w:bookmarkStart w:name="_Vulnerability_Classification_Phase" w:id="8"/>
      <w:bookmarkStart w:name="_Toc158641210" w:id="9"/>
      <w:bookmarkEnd w:id="8"/>
      <w:r w:rsidRPr="007C5589">
        <w:t>Vulnerability Response Process</w:t>
      </w:r>
      <w:bookmarkEnd w:id="9"/>
    </w:p>
    <w:p w:rsidR="00B54F7C" w:rsidP="00B54F7C" w:rsidRDefault="003344BF" w14:paraId="7FE647EB" w14:textId="4CBD7311">
      <w:pPr>
        <w:rPr>
          <w:rStyle w:val="markedcontent"/>
          <w:rFonts w:ascii="Amasis MT Pro" w:hAnsi="Amasis MT Pro" w:cs="Arial"/>
          <w:sz w:val="20"/>
          <w:szCs w:val="20"/>
        </w:rPr>
      </w:pPr>
      <w:r>
        <w:rPr>
          <w:noProof/>
        </w:rPr>
        <w:drawing>
          <wp:anchor distT="0" distB="0" distL="114300" distR="114300" simplePos="0" relativeHeight="251658242" behindDoc="0" locked="0" layoutInCell="1" allowOverlap="1" wp14:anchorId="4DC5D057" wp14:editId="5BB1F396">
            <wp:simplePos x="0" y="0"/>
            <wp:positionH relativeFrom="margin">
              <wp:posOffset>240665</wp:posOffset>
            </wp:positionH>
            <wp:positionV relativeFrom="page">
              <wp:posOffset>3406775</wp:posOffset>
            </wp:positionV>
            <wp:extent cx="4906645" cy="2463165"/>
            <wp:effectExtent l="19050" t="19050" r="27305" b="13335"/>
            <wp:wrapTopAndBottom/>
            <wp:docPr id="2104891640" name="Picture 210489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6645" cy="246316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Pr="00F12FF3" w:rsidR="00B54F7C">
        <w:rPr>
          <w:rStyle w:val="markedcontent"/>
          <w:rFonts w:ascii="Amasis MT Pro" w:hAnsi="Amasis MT Pro" w:cs="Arial"/>
          <w:sz w:val="20"/>
          <w:szCs w:val="20"/>
        </w:rPr>
        <w:t xml:space="preserve">Standard vulnerability management programs include phases for identifying, </w:t>
      </w:r>
      <w:r w:rsidRPr="00F12FF3" w:rsidR="00AE70C3">
        <w:rPr>
          <w:rStyle w:val="markedcontent"/>
          <w:rFonts w:ascii="Amasis MT Pro" w:hAnsi="Amasis MT Pro" w:cs="Arial"/>
          <w:sz w:val="20"/>
          <w:szCs w:val="20"/>
        </w:rPr>
        <w:t>analysing</w:t>
      </w:r>
      <w:r w:rsidRPr="00F12FF3" w:rsidR="00B54F7C">
        <w:rPr>
          <w:rStyle w:val="markedcontent"/>
          <w:rFonts w:ascii="Amasis MT Pro" w:hAnsi="Amasis MT Pro" w:cs="Arial"/>
          <w:sz w:val="20"/>
          <w:szCs w:val="20"/>
        </w:rPr>
        <w:t>, remediating,</w:t>
      </w:r>
      <w:r w:rsidRPr="00F12FF3" w:rsidR="00B54F7C">
        <w:rPr>
          <w:rStyle w:val="markedcontent"/>
          <w:rFonts w:ascii="Amasis MT Pro" w:hAnsi="Amasis MT Pro" w:cs="Arial"/>
          <w:sz w:val="20"/>
          <w:szCs w:val="20"/>
        </w:rPr>
        <w:br/>
      </w:r>
      <w:r w:rsidRPr="00F12FF3" w:rsidR="00B54F7C">
        <w:rPr>
          <w:rStyle w:val="markedcontent"/>
          <w:rFonts w:ascii="Amasis MT Pro" w:hAnsi="Amasis MT Pro" w:cs="Arial"/>
          <w:sz w:val="20"/>
          <w:szCs w:val="20"/>
        </w:rPr>
        <w:t>and reporting vulnerabilities. Figure</w:t>
      </w:r>
      <w:r w:rsidR="00B54F7C">
        <w:rPr>
          <w:rStyle w:val="markedcontent"/>
          <w:rFonts w:ascii="Amasis MT Pro" w:hAnsi="Amasis MT Pro" w:cs="Arial"/>
          <w:sz w:val="20"/>
          <w:szCs w:val="20"/>
        </w:rPr>
        <w:t xml:space="preserve"> below</w:t>
      </w:r>
      <w:r w:rsidRPr="00F12FF3" w:rsidR="00B54F7C">
        <w:rPr>
          <w:rStyle w:val="markedcontent"/>
          <w:rFonts w:ascii="Amasis MT Pro" w:hAnsi="Amasis MT Pro" w:cs="Arial"/>
          <w:sz w:val="20"/>
          <w:szCs w:val="20"/>
        </w:rPr>
        <w:t xml:space="preserve"> describes the vulnerability response process in terms of standard</w:t>
      </w:r>
      <w:r w:rsidRPr="00F12FF3" w:rsidR="00B54F7C">
        <w:rPr>
          <w:rStyle w:val="markedcontent"/>
          <w:rFonts w:ascii="Amasis MT Pro" w:hAnsi="Amasis MT Pro" w:cs="Arial"/>
          <w:sz w:val="20"/>
          <w:szCs w:val="20"/>
        </w:rPr>
        <w:br/>
      </w:r>
      <w:r w:rsidRPr="00F12FF3" w:rsidR="00B54F7C">
        <w:rPr>
          <w:rStyle w:val="markedcontent"/>
          <w:rFonts w:ascii="Amasis MT Pro" w:hAnsi="Amasis MT Pro" w:cs="Arial"/>
          <w:sz w:val="20"/>
          <w:szCs w:val="20"/>
        </w:rPr>
        <w:t>vulnerability management program phases</w:t>
      </w:r>
      <w:r w:rsidR="00B54F7C">
        <w:rPr>
          <w:rStyle w:val="markedcontent"/>
          <w:rFonts w:ascii="Amasis MT Pro" w:hAnsi="Amasis MT Pro" w:cs="Arial"/>
          <w:sz w:val="20"/>
          <w:szCs w:val="20"/>
        </w:rPr>
        <w:t>.</w:t>
      </w:r>
    </w:p>
    <w:p w:rsidRPr="00B54F7C" w:rsidR="003344BF" w:rsidP="003344BF" w:rsidRDefault="003344BF" w14:paraId="714FD115" w14:textId="365FF834">
      <w:pPr>
        <w:ind w:left="4320"/>
        <w:rPr>
          <w:rStyle w:val="markedcontent"/>
          <w:szCs w:val="27"/>
        </w:rPr>
      </w:pPr>
      <w:r>
        <w:rPr>
          <w:rStyle w:val="markedcontent"/>
          <w:szCs w:val="27"/>
        </w:rPr>
        <w:tab/>
      </w:r>
    </w:p>
    <w:p w:rsidRPr="009416BB" w:rsidR="002E270E" w:rsidP="00E475E8" w:rsidRDefault="00B54F7C" w14:paraId="26BC8411" w14:textId="695564CA">
      <w:pPr>
        <w:pStyle w:val="Heading3"/>
      </w:pPr>
      <w:r>
        <w:t xml:space="preserve"> </w:t>
      </w:r>
      <w:bookmarkStart w:name="_Toc158641211" w:id="10"/>
      <w:r>
        <w:t>Identification</w:t>
      </w:r>
      <w:bookmarkEnd w:id="10"/>
      <w:r w:rsidR="003344BF">
        <w:tab/>
      </w:r>
      <w:r w:rsidR="003344BF">
        <w:tab/>
      </w:r>
    </w:p>
    <w:p w:rsidR="003344BF" w:rsidP="003344BF" w:rsidRDefault="00B54F7C" w14:paraId="1F51EB7C" w14:textId="77777777">
      <w:pPr>
        <w:ind w:left="720"/>
        <w:rPr>
          <w:rStyle w:val="markedcontent"/>
          <w:rFonts w:cs="Arial"/>
          <w:szCs w:val="18"/>
        </w:rPr>
      </w:pPr>
      <w:r w:rsidRPr="003344BF">
        <w:rPr>
          <w:rStyle w:val="markedcontent"/>
          <w:rFonts w:cs="Arial"/>
          <w:szCs w:val="18"/>
        </w:rPr>
        <w:t>Proactively identify reports of vulnerabilities that are actively exploited in the wild by</w:t>
      </w:r>
      <w:r w:rsidR="003344BF">
        <w:rPr>
          <w:szCs w:val="18"/>
        </w:rPr>
        <w:t xml:space="preserve"> </w:t>
      </w:r>
      <w:r w:rsidRPr="003344BF">
        <w:rPr>
          <w:rStyle w:val="markedcontent"/>
          <w:rFonts w:cs="Arial"/>
          <w:szCs w:val="18"/>
        </w:rPr>
        <w:t>monitoring threat feeds and information sources, including but not limited to:</w:t>
      </w:r>
      <w:r w:rsidRPr="003344BF">
        <w:rPr>
          <w:szCs w:val="18"/>
        </w:rPr>
        <w:br/>
      </w:r>
      <w:r w:rsidRPr="003344BF">
        <w:rPr>
          <w:rStyle w:val="markedcontent"/>
          <w:rFonts w:cs="Arial"/>
          <w:szCs w:val="18"/>
        </w:rPr>
        <w:t>• CISA resources; for example:</w:t>
      </w:r>
    </w:p>
    <w:p w:rsidR="003344BF" w:rsidP="003344BF" w:rsidRDefault="00B54F7C" w14:paraId="02EA1B3E" w14:textId="7DF25F63">
      <w:pPr>
        <w:ind w:left="1440"/>
        <w:rPr>
          <w:rStyle w:val="markedcontent"/>
          <w:rFonts w:cs="Courier New"/>
          <w:szCs w:val="18"/>
        </w:rPr>
      </w:pPr>
      <w:r w:rsidRPr="003344BF">
        <w:t>CISA/US-CERT National Cyber Awareness System (NCAS) products,</w:t>
      </w:r>
      <w:r w:rsidRPr="003344BF">
        <w:br/>
      </w:r>
      <w:r w:rsidRPr="003344BF">
        <w:t>which include the weekly bulletins containing vulnerability summaries</w:t>
      </w:r>
      <w:r w:rsidRPr="003344BF" w:rsidR="003344BF">
        <w:t>.</w:t>
      </w:r>
      <w:r w:rsidRPr="003344BF">
        <w:br/>
      </w:r>
      <w:r w:rsidRPr="003344BF">
        <w:t>Note: all agencies should subscribe to NCAS products.30</w:t>
      </w:r>
      <w:r w:rsidRPr="003344BF">
        <w:br/>
      </w:r>
    </w:p>
    <w:p w:rsidR="003344BF" w:rsidP="003344BF" w:rsidRDefault="00B54F7C" w14:paraId="00F97B0D" w14:textId="77777777">
      <w:pPr>
        <w:ind w:left="1440"/>
        <w:rPr>
          <w:szCs w:val="18"/>
        </w:rPr>
      </w:pPr>
      <w:r w:rsidRPr="003344BF">
        <w:rPr>
          <w:rStyle w:val="markedcontent"/>
          <w:rFonts w:cs="Arial"/>
          <w:szCs w:val="18"/>
        </w:rPr>
        <w:t>CISA Binding Operational Directive (BOD) 22-01, Managing</w:t>
      </w:r>
      <w:r w:rsidRPr="003344BF">
        <w:rPr>
          <w:szCs w:val="18"/>
        </w:rPr>
        <w:br/>
      </w:r>
      <w:r w:rsidRPr="003344BF">
        <w:rPr>
          <w:rStyle w:val="markedcontent"/>
          <w:rFonts w:cs="Arial"/>
          <w:szCs w:val="18"/>
        </w:rPr>
        <w:t>Unacceptable Risk of Known Vulnerabilities, which is continually updated</w:t>
      </w:r>
      <w:r w:rsidRPr="003344BF">
        <w:rPr>
          <w:szCs w:val="18"/>
        </w:rPr>
        <w:br/>
      </w:r>
      <w:r w:rsidRPr="003344BF">
        <w:rPr>
          <w:rStyle w:val="markedcontent"/>
          <w:rFonts w:cs="Arial"/>
          <w:szCs w:val="18"/>
        </w:rPr>
        <w:t>with vulnerabilities being exploited in the wild.</w:t>
      </w:r>
      <w:r w:rsidRPr="003344BF">
        <w:rPr>
          <w:szCs w:val="18"/>
        </w:rPr>
        <w:br/>
      </w:r>
      <w:r w:rsidRPr="003344BF">
        <w:rPr>
          <w:rStyle w:val="markedcontent"/>
          <w:rFonts w:cs="Arial"/>
          <w:szCs w:val="18"/>
        </w:rPr>
        <w:t>Note: subscribe to NCAS products for all BOD 22-01 vulnerability</w:t>
      </w:r>
      <w:r w:rsidRPr="003344BF">
        <w:rPr>
          <w:szCs w:val="18"/>
        </w:rPr>
        <w:br/>
      </w:r>
      <w:r w:rsidRPr="003344BF">
        <w:rPr>
          <w:rStyle w:val="markedcontent"/>
          <w:rFonts w:cs="Arial"/>
          <w:szCs w:val="18"/>
        </w:rPr>
        <w:t>updates, which are announced via Current Activities.</w:t>
      </w:r>
    </w:p>
    <w:p w:rsidR="003344BF" w:rsidP="003344BF" w:rsidRDefault="00B54F7C" w14:paraId="47756596" w14:textId="77777777">
      <w:pPr>
        <w:ind w:left="720"/>
        <w:rPr>
          <w:rStyle w:val="markedcontent"/>
          <w:rFonts w:cs="Arial"/>
          <w:szCs w:val="18"/>
        </w:rPr>
      </w:pPr>
      <w:r w:rsidRPr="003344BF">
        <w:rPr>
          <w:rStyle w:val="markedcontent"/>
          <w:rFonts w:cs="Arial"/>
          <w:szCs w:val="18"/>
        </w:rPr>
        <w:t>• External threat or vulnerability feeds, such as NIST’s National Vulnerability</w:t>
      </w:r>
      <w:r w:rsidRPr="003344BF">
        <w:rPr>
          <w:szCs w:val="18"/>
        </w:rPr>
        <w:br/>
      </w:r>
      <w:r w:rsidRPr="003344BF">
        <w:rPr>
          <w:rStyle w:val="markedcontent"/>
          <w:rFonts w:cs="Arial"/>
          <w:szCs w:val="18"/>
        </w:rPr>
        <w:t>Database,31 that can also show vulnerabilities being exploited in the wild outside</w:t>
      </w:r>
      <w:r w:rsidRPr="003344BF">
        <w:rPr>
          <w:szCs w:val="18"/>
        </w:rPr>
        <w:br/>
      </w:r>
      <w:r w:rsidRPr="003344BF">
        <w:rPr>
          <w:rStyle w:val="markedcontent"/>
          <w:rFonts w:cs="Arial"/>
          <w:szCs w:val="18"/>
        </w:rPr>
        <w:t>FCEB agencies</w:t>
      </w:r>
      <w:r w:rsidRPr="003344BF">
        <w:rPr>
          <w:szCs w:val="18"/>
        </w:rPr>
        <w:br/>
      </w:r>
    </w:p>
    <w:p w:rsidR="00B54F7C" w:rsidP="003344BF" w:rsidRDefault="00B54F7C" w14:paraId="341615C3" w14:textId="5ABF6E5C">
      <w:pPr>
        <w:ind w:left="720"/>
        <w:rPr>
          <w:rStyle w:val="markedcontent"/>
          <w:rFonts w:cs="Arial"/>
          <w:szCs w:val="18"/>
        </w:rPr>
      </w:pPr>
      <w:r w:rsidRPr="003344BF">
        <w:rPr>
          <w:rStyle w:val="markedcontent"/>
          <w:rFonts w:cs="Arial"/>
          <w:szCs w:val="18"/>
        </w:rPr>
        <w:t>• Internal SOC monitoring and incident response, which can detect vulnerabilities</w:t>
      </w:r>
      <w:r w:rsidRPr="003344BF">
        <w:rPr>
          <w:szCs w:val="18"/>
        </w:rPr>
        <w:br/>
      </w:r>
      <w:r w:rsidRPr="003344BF">
        <w:rPr>
          <w:rStyle w:val="markedcontent"/>
          <w:rFonts w:cs="Arial"/>
          <w:szCs w:val="18"/>
        </w:rPr>
        <w:t>being exploited at an agency.</w:t>
      </w:r>
      <w:r w:rsidR="003344BF">
        <w:rPr>
          <w:rStyle w:val="markedcontent"/>
          <w:rFonts w:cs="Arial"/>
          <w:szCs w:val="18"/>
        </w:rPr>
        <w:t xml:space="preserve"> </w:t>
      </w:r>
      <w:r w:rsidRPr="003344BF">
        <w:rPr>
          <w:rStyle w:val="markedcontent"/>
          <w:rFonts w:cs="Arial"/>
          <w:szCs w:val="18"/>
        </w:rPr>
        <w:t>Capture additional information about the vulnerability to help with the rest of the</w:t>
      </w:r>
      <w:r w:rsidR="003344BF">
        <w:rPr>
          <w:rStyle w:val="markedcontent"/>
          <w:rFonts w:cs="Arial"/>
          <w:szCs w:val="18"/>
        </w:rPr>
        <w:t xml:space="preserve"> </w:t>
      </w:r>
      <w:r w:rsidRPr="003344BF">
        <w:rPr>
          <w:rStyle w:val="markedcontent"/>
          <w:rFonts w:cs="Arial"/>
          <w:szCs w:val="18"/>
        </w:rPr>
        <w:t>response process, including the severity of the vulnerability, susceptible software</w:t>
      </w:r>
      <w:r w:rsidR="003344BF">
        <w:rPr>
          <w:rStyle w:val="markedcontent"/>
          <w:rFonts w:cs="Arial"/>
          <w:szCs w:val="18"/>
        </w:rPr>
        <w:t xml:space="preserve"> </w:t>
      </w:r>
      <w:r w:rsidRPr="003344BF">
        <w:rPr>
          <w:rStyle w:val="markedcontent"/>
          <w:rFonts w:cs="Arial"/>
          <w:szCs w:val="18"/>
        </w:rPr>
        <w:t>versions, and IOCs or other investigation steps that can be used to determine if it</w:t>
      </w:r>
      <w:r w:rsidR="003344BF">
        <w:rPr>
          <w:rStyle w:val="markedcontent"/>
          <w:rFonts w:cs="Arial"/>
          <w:szCs w:val="18"/>
        </w:rPr>
        <w:t xml:space="preserve"> </w:t>
      </w:r>
      <w:r w:rsidRPr="003344BF">
        <w:rPr>
          <w:rStyle w:val="markedcontent"/>
          <w:rFonts w:cs="Arial"/>
          <w:szCs w:val="18"/>
        </w:rPr>
        <w:t>was exploited.</w:t>
      </w:r>
    </w:p>
    <w:p w:rsidR="00E475E8" w:rsidP="003344BF" w:rsidRDefault="00E475E8" w14:paraId="21026E4D" w14:textId="77777777">
      <w:pPr>
        <w:ind w:left="720"/>
        <w:rPr>
          <w:rStyle w:val="markedcontent"/>
          <w:rFonts w:cs="Arial"/>
          <w:szCs w:val="18"/>
        </w:rPr>
      </w:pPr>
    </w:p>
    <w:p w:rsidR="00E475E8" w:rsidP="00E475E8" w:rsidRDefault="003344BF" w14:paraId="56041E55" w14:textId="77777777">
      <w:pPr>
        <w:pStyle w:val="Heading3"/>
      </w:pPr>
      <w:bookmarkStart w:name="_Toc158641212" w:id="11"/>
      <w:r w:rsidRPr="003344BF">
        <w:t>Evaluation</w:t>
      </w:r>
      <w:bookmarkEnd w:id="11"/>
    </w:p>
    <w:p w:rsidRPr="00E475E8" w:rsidR="003344BF" w:rsidP="00E475E8" w:rsidRDefault="003344BF" w14:paraId="2961F420" w14:textId="3E718237">
      <w:pPr>
        <w:ind w:left="720"/>
        <w:rPr>
          <w:rStyle w:val="markedcontent"/>
          <w:rFonts w:cs="Arial"/>
          <w:szCs w:val="18"/>
        </w:rPr>
      </w:pPr>
      <w:r w:rsidRPr="00B91D40">
        <w:rPr>
          <w:rFonts w:ascii="Amasis MT Pro" w:hAnsi="Amasis MT Pro"/>
        </w:rPr>
        <w:br/>
      </w:r>
      <w:r w:rsidRPr="00E475E8">
        <w:rPr>
          <w:rStyle w:val="markedcontent"/>
          <w:rFonts w:cs="Arial"/>
          <w:szCs w:val="18"/>
        </w:rPr>
        <w:t>First, determine whether the vulnerability exists in the environment and how critical</w:t>
      </w:r>
      <w:r w:rsidR="00E475E8">
        <w:rPr>
          <w:rStyle w:val="markedcontent"/>
          <w:rFonts w:cs="Arial"/>
          <w:szCs w:val="18"/>
        </w:rPr>
        <w:t xml:space="preserve"> </w:t>
      </w:r>
      <w:r w:rsidRPr="00E475E8">
        <w:rPr>
          <w:rStyle w:val="markedcontent"/>
          <w:rFonts w:cs="Arial"/>
          <w:szCs w:val="18"/>
        </w:rPr>
        <w:t>the underlying software or hardware is, using methodologies such as Stakeholder-Specific Vulnerability Categorization (SSVC).32 Existing patch and asset</w:t>
      </w:r>
      <w:r w:rsidR="00E475E8">
        <w:rPr>
          <w:rStyle w:val="markedcontent"/>
          <w:rFonts w:cs="Arial"/>
          <w:szCs w:val="18"/>
        </w:rPr>
        <w:t xml:space="preserve"> </w:t>
      </w:r>
      <w:r w:rsidRPr="00E475E8">
        <w:rPr>
          <w:rStyle w:val="markedcontent"/>
          <w:rFonts w:cs="Arial"/>
          <w:szCs w:val="18"/>
        </w:rPr>
        <w:t>management tools are critical and can be used to automate the detection process</w:t>
      </w:r>
      <w:r w:rsidR="00E475E8">
        <w:rPr>
          <w:rStyle w:val="markedcontent"/>
          <w:rFonts w:cs="Arial"/>
          <w:szCs w:val="18"/>
        </w:rPr>
        <w:t xml:space="preserve"> </w:t>
      </w:r>
      <w:r w:rsidRPr="00E475E8">
        <w:rPr>
          <w:rStyle w:val="markedcontent"/>
          <w:rFonts w:cs="Arial"/>
          <w:szCs w:val="18"/>
        </w:rPr>
        <w:t>for most vulnerabilities. For actively exploited vulnerabilities, use the “rapid</w:t>
      </w:r>
      <w:r w:rsidR="00E475E8">
        <w:rPr>
          <w:rStyle w:val="markedcontent"/>
          <w:rFonts w:cs="Arial"/>
          <w:szCs w:val="18"/>
        </w:rPr>
        <w:t xml:space="preserve"> </w:t>
      </w:r>
      <w:r w:rsidRPr="00E475E8">
        <w:rPr>
          <w:rStyle w:val="markedcontent"/>
          <w:rFonts w:cs="Arial"/>
          <w:szCs w:val="18"/>
        </w:rPr>
        <w:t>response” processes in these tools (e.g., CDM). In rare cases, such as one-off misconfigurations and</w:t>
      </w:r>
      <w:r w:rsidR="00E475E8">
        <w:rPr>
          <w:rStyle w:val="markedcontent"/>
          <w:rFonts w:cs="Arial"/>
          <w:szCs w:val="18"/>
        </w:rPr>
        <w:t xml:space="preserve"> </w:t>
      </w:r>
      <w:r w:rsidRPr="00E475E8">
        <w:rPr>
          <w:rStyle w:val="markedcontent"/>
          <w:rFonts w:cs="Arial"/>
          <w:szCs w:val="18"/>
        </w:rPr>
        <w:t>zero-days, additional manual scans may need to be performed. Binding Operational Directives (BODs)</w:t>
      </w:r>
      <w:r w:rsidR="00E475E8">
        <w:rPr>
          <w:rStyle w:val="markedcontent"/>
          <w:rFonts w:cs="Arial"/>
          <w:szCs w:val="18"/>
        </w:rPr>
        <w:t xml:space="preserve"> </w:t>
      </w:r>
      <w:r w:rsidRPr="00E475E8">
        <w:rPr>
          <w:rStyle w:val="markedcontent"/>
          <w:rFonts w:cs="Arial"/>
          <w:szCs w:val="18"/>
        </w:rPr>
        <w:t>or Emergency Directives (EDs) issued by CISA may also list specific technical steps to evaluate</w:t>
      </w:r>
      <w:r w:rsidR="00E475E8">
        <w:rPr>
          <w:rStyle w:val="markedcontent"/>
          <w:rFonts w:cs="Arial"/>
          <w:szCs w:val="18"/>
        </w:rPr>
        <w:t xml:space="preserve"> </w:t>
      </w:r>
      <w:r w:rsidRPr="00E475E8">
        <w:rPr>
          <w:rStyle w:val="markedcontent"/>
          <w:rFonts w:cs="Arial"/>
          <w:szCs w:val="18"/>
        </w:rPr>
        <w:t>whether a vulnerability exists.</w:t>
      </w:r>
    </w:p>
    <w:p w:rsidRPr="00E475E8" w:rsidR="003344BF" w:rsidP="00E475E8" w:rsidRDefault="003344BF" w14:paraId="2DDF438C" w14:textId="2D1C8447">
      <w:pPr>
        <w:ind w:left="720"/>
        <w:rPr>
          <w:rStyle w:val="markedcontent"/>
          <w:rFonts w:cs="Arial"/>
          <w:szCs w:val="18"/>
        </w:rPr>
      </w:pPr>
      <w:r w:rsidRPr="00E475E8">
        <w:rPr>
          <w:rStyle w:val="markedcontent"/>
          <w:rFonts w:cs="Arial"/>
          <w:szCs w:val="18"/>
        </w:rPr>
        <w:br/>
      </w:r>
      <w:r w:rsidRPr="00E475E8">
        <w:rPr>
          <w:rStyle w:val="markedcontent"/>
          <w:rFonts w:cs="Arial"/>
          <w:szCs w:val="18"/>
        </w:rPr>
        <w:t>If the vulnerability exists in the environment, address the vulnerability itself—as described in the</w:t>
      </w:r>
      <w:r w:rsidR="00E475E8">
        <w:rPr>
          <w:rStyle w:val="markedcontent"/>
          <w:rFonts w:cs="Arial"/>
          <w:szCs w:val="18"/>
        </w:rPr>
        <w:t xml:space="preserve"> </w:t>
      </w:r>
      <w:r w:rsidRPr="00E475E8">
        <w:rPr>
          <w:rStyle w:val="markedcontent"/>
          <w:rFonts w:cs="Arial"/>
          <w:szCs w:val="18"/>
        </w:rPr>
        <w:t>Remediation section below—and determine whether it has been exploited in the agency's environment.</w:t>
      </w:r>
      <w:r w:rsidR="00E475E8">
        <w:rPr>
          <w:rStyle w:val="markedcontent"/>
          <w:rFonts w:cs="Arial"/>
          <w:szCs w:val="18"/>
        </w:rPr>
        <w:t xml:space="preserve"> </w:t>
      </w:r>
      <w:r w:rsidRPr="00E475E8">
        <w:rPr>
          <w:rStyle w:val="markedcontent"/>
          <w:rFonts w:cs="Arial"/>
          <w:szCs w:val="18"/>
        </w:rPr>
        <w:t>Use existing best practices to find signs of exploitation, including:</w:t>
      </w:r>
    </w:p>
    <w:p w:rsidRPr="00E475E8" w:rsidR="003344BF" w:rsidP="00E475E8" w:rsidRDefault="003344BF" w14:paraId="692F161E" w14:textId="2A66D780">
      <w:pPr>
        <w:ind w:left="720"/>
        <w:rPr>
          <w:rStyle w:val="markedcontent"/>
          <w:rFonts w:cs="Arial"/>
          <w:szCs w:val="18"/>
        </w:rPr>
      </w:pPr>
      <w:r w:rsidRPr="00E475E8">
        <w:rPr>
          <w:rStyle w:val="markedcontent"/>
          <w:rFonts w:cs="Arial"/>
          <w:szCs w:val="18"/>
        </w:rPr>
        <w:br/>
      </w:r>
      <w:r w:rsidRPr="00E475E8">
        <w:rPr>
          <w:rStyle w:val="markedcontent"/>
          <w:rFonts w:cs="Arial"/>
          <w:szCs w:val="18"/>
        </w:rPr>
        <w:t>• A sweep for known IOCs associated with exploitation of the vulnerability.</w:t>
      </w:r>
      <w:r w:rsidRPr="00E475E8">
        <w:rPr>
          <w:rStyle w:val="markedcontent"/>
          <w:rFonts w:cs="Arial"/>
          <w:szCs w:val="18"/>
        </w:rPr>
        <w:br/>
      </w:r>
      <w:r w:rsidRPr="00E475E8">
        <w:rPr>
          <w:rStyle w:val="markedcontent"/>
          <w:rFonts w:cs="Arial"/>
          <w:szCs w:val="18"/>
        </w:rPr>
        <w:t>• Investigation of any abnormal activity associated with vulnerable systems or services, including</w:t>
      </w:r>
      <w:r w:rsidR="00E475E8">
        <w:rPr>
          <w:rStyle w:val="markedcontent"/>
          <w:rFonts w:cs="Arial"/>
          <w:szCs w:val="18"/>
        </w:rPr>
        <w:t xml:space="preserve"> </w:t>
      </w:r>
      <w:r w:rsidRPr="00E475E8">
        <w:rPr>
          <w:rStyle w:val="markedcontent"/>
          <w:rFonts w:cs="Arial"/>
          <w:szCs w:val="18"/>
        </w:rPr>
        <w:t>anomalous access attempts and behavior.</w:t>
      </w:r>
      <w:r w:rsidRPr="00E475E8">
        <w:rPr>
          <w:rStyle w:val="markedcontent"/>
          <w:rFonts w:cs="Arial"/>
          <w:szCs w:val="18"/>
        </w:rPr>
        <w:br/>
      </w:r>
      <w:r w:rsidRPr="00E475E8">
        <w:rPr>
          <w:rStyle w:val="markedcontent"/>
          <w:rFonts w:cs="Arial"/>
          <w:szCs w:val="18"/>
        </w:rPr>
        <w:t xml:space="preserve">• Completion of any detection processes </w:t>
      </w:r>
      <w:r w:rsidRPr="00E475E8">
        <w:rPr>
          <w:rStyle w:val="markedcontent"/>
          <w:rFonts w:cs="Arial"/>
          <w:szCs w:val="18"/>
        </w:rPr>
        <w:br/>
      </w:r>
      <w:r w:rsidRPr="00E475E8">
        <w:rPr>
          <w:rStyle w:val="markedcontent"/>
          <w:rFonts w:cs="Arial"/>
          <w:szCs w:val="18"/>
        </w:rPr>
        <w:t>• If needed, collaboration with a third-party incident responder.</w:t>
      </w:r>
      <w:r w:rsidR="00E475E8">
        <w:rPr>
          <w:rStyle w:val="markedcontent"/>
          <w:rFonts w:cs="Arial"/>
          <w:szCs w:val="18"/>
        </w:rPr>
        <w:t xml:space="preserve"> </w:t>
      </w:r>
      <w:r w:rsidRPr="00E475E8">
        <w:rPr>
          <w:rStyle w:val="markedcontent"/>
          <w:rFonts w:cs="Arial"/>
          <w:szCs w:val="18"/>
        </w:rPr>
        <w:t>If the vulnerability was exploited in the environment, immediately begin incident response activities as</w:t>
      </w:r>
      <w:r w:rsidR="00E475E8">
        <w:rPr>
          <w:rStyle w:val="markedcontent"/>
          <w:rFonts w:cs="Arial"/>
          <w:szCs w:val="18"/>
        </w:rPr>
        <w:t xml:space="preserve"> </w:t>
      </w:r>
      <w:r w:rsidRPr="00E475E8">
        <w:rPr>
          <w:rStyle w:val="markedcontent"/>
          <w:rFonts w:cs="Arial"/>
          <w:szCs w:val="18"/>
        </w:rPr>
        <w:t>described in the Incident Response Playbook.</w:t>
      </w:r>
      <w:r w:rsidR="00E475E8">
        <w:rPr>
          <w:rStyle w:val="markedcontent"/>
          <w:rFonts w:cs="Arial"/>
          <w:szCs w:val="18"/>
        </w:rPr>
        <w:t xml:space="preserve"> </w:t>
      </w:r>
      <w:r w:rsidRPr="00E475E8">
        <w:rPr>
          <w:rStyle w:val="markedcontent"/>
          <w:rFonts w:cs="Arial"/>
          <w:szCs w:val="18"/>
        </w:rPr>
        <w:t>At the end of the Evaluation phase, the goal is to understand the status of each system in the</w:t>
      </w:r>
      <w:r w:rsidR="00E475E8">
        <w:rPr>
          <w:rStyle w:val="markedcontent"/>
          <w:rFonts w:cs="Arial"/>
          <w:szCs w:val="18"/>
        </w:rPr>
        <w:t xml:space="preserve"> </w:t>
      </w:r>
      <w:r w:rsidRPr="00E475E8">
        <w:rPr>
          <w:rStyle w:val="markedcontent"/>
          <w:rFonts w:cs="Arial"/>
          <w:szCs w:val="18"/>
        </w:rPr>
        <w:t>environment as:</w:t>
      </w:r>
      <w:r w:rsidRPr="00E475E8">
        <w:rPr>
          <w:rStyle w:val="markedcontent"/>
          <w:rFonts w:cs="Arial"/>
          <w:szCs w:val="18"/>
        </w:rPr>
        <w:br/>
      </w:r>
      <w:r w:rsidRPr="00E475E8">
        <w:rPr>
          <w:rStyle w:val="markedcontent"/>
          <w:rFonts w:cs="Arial"/>
          <w:szCs w:val="18"/>
        </w:rPr>
        <w:t>• Not Affected. The system is not vulnerable.</w:t>
      </w:r>
      <w:r w:rsidRPr="00E475E8">
        <w:rPr>
          <w:rStyle w:val="markedcontent"/>
          <w:rFonts w:cs="Arial"/>
          <w:szCs w:val="18"/>
        </w:rPr>
        <w:br/>
      </w:r>
      <w:r w:rsidRPr="00E475E8">
        <w:rPr>
          <w:rStyle w:val="markedcontent"/>
          <w:rFonts w:cs="Arial"/>
          <w:szCs w:val="18"/>
        </w:rPr>
        <w:t>• Susceptible. The system is vulnerable, but no signs of exploitation were found, and</w:t>
      </w:r>
      <w:r w:rsidRPr="00E475E8">
        <w:rPr>
          <w:rStyle w:val="markedcontent"/>
          <w:rFonts w:cs="Arial"/>
          <w:szCs w:val="18"/>
        </w:rPr>
        <w:br/>
      </w:r>
      <w:r w:rsidRPr="00E475E8">
        <w:rPr>
          <w:rStyle w:val="markedcontent"/>
          <w:rFonts w:cs="Arial"/>
          <w:szCs w:val="18"/>
        </w:rPr>
        <w:t>remediation has begun.</w:t>
      </w:r>
      <w:r w:rsidRPr="00E475E8">
        <w:rPr>
          <w:rStyle w:val="markedcontent"/>
          <w:rFonts w:cs="Arial"/>
          <w:szCs w:val="18"/>
        </w:rPr>
        <w:br/>
      </w:r>
      <w:r w:rsidRPr="00E475E8">
        <w:rPr>
          <w:rStyle w:val="markedcontent"/>
          <w:rFonts w:cs="Arial"/>
          <w:szCs w:val="18"/>
        </w:rPr>
        <w:t>• Compromised. The system was vulnerable, signs of exploitation were found, and incident</w:t>
      </w:r>
      <w:r w:rsidRPr="00E475E8">
        <w:rPr>
          <w:rStyle w:val="markedcontent"/>
          <w:rFonts w:cs="Arial"/>
          <w:szCs w:val="18"/>
        </w:rPr>
        <w:br/>
      </w:r>
      <w:r w:rsidRPr="00E475E8">
        <w:rPr>
          <w:rStyle w:val="markedcontent"/>
          <w:rFonts w:cs="Arial"/>
          <w:szCs w:val="18"/>
        </w:rPr>
        <w:t>response and vulnerability remediation has begun</w:t>
      </w:r>
      <w:r w:rsidR="00E475E8">
        <w:rPr>
          <w:rStyle w:val="markedcontent"/>
          <w:rFonts w:cs="Arial"/>
          <w:szCs w:val="18"/>
        </w:rPr>
        <w:t>.</w:t>
      </w:r>
    </w:p>
    <w:p w:rsidRPr="00E475E8" w:rsidR="003344BF" w:rsidP="00E475E8" w:rsidRDefault="003344BF" w14:paraId="4E7068F2" w14:textId="77777777">
      <w:pPr>
        <w:ind w:left="720"/>
        <w:rPr>
          <w:rStyle w:val="markedcontent"/>
          <w:rFonts w:cs="Arial"/>
          <w:szCs w:val="18"/>
        </w:rPr>
      </w:pPr>
    </w:p>
    <w:p w:rsidRPr="00E475E8" w:rsidR="00E475E8" w:rsidP="00E475E8" w:rsidRDefault="003344BF" w14:paraId="31D19130" w14:textId="77777777">
      <w:pPr>
        <w:pStyle w:val="Heading3"/>
        <w:rPr>
          <w:rStyle w:val="markedcontent"/>
          <w:rFonts w:cs="Arial"/>
          <w:b w:val="0"/>
          <w:bCs w:val="0"/>
        </w:rPr>
      </w:pPr>
      <w:bookmarkStart w:name="_Toc158641213" w:id="12"/>
      <w:r w:rsidRPr="00E475E8">
        <w:rPr>
          <w:rStyle w:val="Heading3Char"/>
          <w:b/>
          <w:bCs/>
        </w:rPr>
        <w:t>Remediation</w:t>
      </w:r>
      <w:bookmarkEnd w:id="12"/>
      <w:r w:rsidRPr="00E475E8">
        <w:rPr>
          <w:rStyle w:val="markedcontent"/>
          <w:rFonts w:cs="Arial"/>
          <w:b w:val="0"/>
          <w:bCs w:val="0"/>
        </w:rPr>
        <w:br/>
      </w:r>
    </w:p>
    <w:p w:rsidR="004B7ED1" w:rsidP="004B7ED1" w:rsidRDefault="003344BF" w14:paraId="09C8A6F6" w14:textId="77777777">
      <w:pPr>
        <w:ind w:left="720"/>
        <w:rPr>
          <w:rStyle w:val="markedcontent"/>
          <w:rFonts w:cs="Arial"/>
          <w:szCs w:val="18"/>
        </w:rPr>
      </w:pPr>
      <w:r w:rsidRPr="00E475E8">
        <w:rPr>
          <w:rStyle w:val="markedcontent"/>
          <w:rFonts w:cs="Arial"/>
          <w:szCs w:val="18"/>
        </w:rPr>
        <w:t>Remediate all actively exploited vulnerabilities that exist on or within the environment</w:t>
      </w:r>
      <w:r w:rsidRPr="00E475E8">
        <w:rPr>
          <w:rStyle w:val="markedcontent"/>
          <w:rFonts w:cs="Arial"/>
          <w:szCs w:val="18"/>
        </w:rPr>
        <w:br/>
      </w:r>
      <w:r w:rsidRPr="00E475E8">
        <w:rPr>
          <w:rStyle w:val="markedcontent"/>
          <w:rFonts w:cs="Arial"/>
          <w:szCs w:val="18"/>
        </w:rPr>
        <w:t>in a timely manner. In most cases, remediation should consist of patching. In other</w:t>
      </w:r>
      <w:r w:rsidRPr="00E475E8">
        <w:rPr>
          <w:rStyle w:val="markedcontent"/>
          <w:rFonts w:cs="Arial"/>
          <w:szCs w:val="18"/>
        </w:rPr>
        <w:br/>
      </w:r>
      <w:r w:rsidRPr="00E475E8">
        <w:rPr>
          <w:rStyle w:val="markedcontent"/>
          <w:rFonts w:cs="Arial"/>
          <w:szCs w:val="18"/>
        </w:rPr>
        <w:t>cases, the following mitigations may be appropriate:</w:t>
      </w:r>
    </w:p>
    <w:p w:rsidR="004B7ED1" w:rsidP="004B7ED1" w:rsidRDefault="003344BF" w14:paraId="02CC3477" w14:textId="77777777">
      <w:pPr>
        <w:ind w:left="1440"/>
        <w:rPr>
          <w:rStyle w:val="markedcontent"/>
          <w:rFonts w:cs="Arial"/>
          <w:szCs w:val="18"/>
        </w:rPr>
      </w:pPr>
      <w:r w:rsidRPr="00E475E8">
        <w:rPr>
          <w:rStyle w:val="markedcontent"/>
          <w:rFonts w:cs="Arial"/>
          <w:szCs w:val="18"/>
        </w:rPr>
        <w:br/>
      </w:r>
      <w:r w:rsidRPr="00E475E8">
        <w:rPr>
          <w:rStyle w:val="markedcontent"/>
          <w:rFonts w:cs="Arial"/>
          <w:szCs w:val="18"/>
        </w:rPr>
        <w:t>• Limiting access;</w:t>
      </w:r>
      <w:r w:rsidRPr="00E475E8">
        <w:rPr>
          <w:rStyle w:val="markedcontent"/>
          <w:rFonts w:cs="Arial"/>
          <w:szCs w:val="18"/>
        </w:rPr>
        <w:br/>
      </w:r>
      <w:r w:rsidRPr="00E475E8">
        <w:rPr>
          <w:rStyle w:val="markedcontent"/>
          <w:rFonts w:cs="Arial"/>
          <w:szCs w:val="18"/>
        </w:rPr>
        <w:t>• Isolating vulnerable systems, applications, services, profiles, or</w:t>
      </w:r>
      <w:r w:rsidR="00E475E8">
        <w:rPr>
          <w:rStyle w:val="markedcontent"/>
          <w:rFonts w:cs="Arial"/>
          <w:szCs w:val="18"/>
        </w:rPr>
        <w:t xml:space="preserve"> </w:t>
      </w:r>
      <w:r w:rsidRPr="00E475E8">
        <w:rPr>
          <w:rStyle w:val="markedcontent"/>
          <w:rFonts w:cs="Arial"/>
          <w:szCs w:val="18"/>
        </w:rPr>
        <w:t>other assets; or</w:t>
      </w:r>
      <w:r w:rsidRPr="00E475E8">
        <w:rPr>
          <w:rStyle w:val="markedcontent"/>
          <w:rFonts w:cs="Arial"/>
          <w:szCs w:val="18"/>
        </w:rPr>
        <w:br/>
      </w:r>
      <w:r w:rsidRPr="00E475E8">
        <w:rPr>
          <w:rStyle w:val="markedcontent"/>
          <w:rFonts w:cs="Arial"/>
          <w:szCs w:val="18"/>
        </w:rPr>
        <w:t>• Making permanent configuration changes.</w:t>
      </w:r>
      <w:r w:rsidR="00E475E8">
        <w:rPr>
          <w:rStyle w:val="markedcontent"/>
          <w:rFonts w:cs="Arial"/>
          <w:szCs w:val="18"/>
        </w:rPr>
        <w:t xml:space="preserve"> </w:t>
      </w:r>
    </w:p>
    <w:p w:rsidR="004B7ED1" w:rsidP="004B7ED1" w:rsidRDefault="003344BF" w14:paraId="4479BC1C" w14:textId="6F055D1E">
      <w:pPr>
        <w:ind w:left="720"/>
        <w:rPr>
          <w:rStyle w:val="markedcontent"/>
          <w:rFonts w:cs="Arial"/>
          <w:szCs w:val="18"/>
        </w:rPr>
      </w:pPr>
      <w:r w:rsidRPr="00E475E8">
        <w:rPr>
          <w:rStyle w:val="markedcontent"/>
          <w:rFonts w:cs="Arial"/>
          <w:szCs w:val="18"/>
        </w:rPr>
        <w:t>Existing patch management tools and</w:t>
      </w:r>
      <w:r w:rsidR="00E475E8">
        <w:rPr>
          <w:rStyle w:val="markedcontent"/>
          <w:rFonts w:cs="Arial"/>
          <w:szCs w:val="18"/>
        </w:rPr>
        <w:t xml:space="preserve"> </w:t>
      </w:r>
      <w:r w:rsidRPr="00E475E8">
        <w:rPr>
          <w:rStyle w:val="markedcontent"/>
          <w:rFonts w:cs="Arial"/>
          <w:szCs w:val="18"/>
        </w:rPr>
        <w:t>processes can be used to regularly patch all vulnerabilities. Use</w:t>
      </w:r>
      <w:r w:rsidR="00E475E8">
        <w:rPr>
          <w:rStyle w:val="markedcontent"/>
          <w:rFonts w:cs="Arial"/>
          <w:szCs w:val="18"/>
        </w:rPr>
        <w:t xml:space="preserve"> </w:t>
      </w:r>
      <w:r w:rsidRPr="00E475E8">
        <w:rPr>
          <w:rStyle w:val="markedcontent"/>
          <w:rFonts w:cs="Arial"/>
          <w:szCs w:val="18"/>
        </w:rPr>
        <w:t>“rapid response”</w:t>
      </w:r>
      <w:r w:rsidR="00E475E8">
        <w:rPr>
          <w:rStyle w:val="markedcontent"/>
          <w:rFonts w:cs="Arial"/>
          <w:szCs w:val="18"/>
        </w:rPr>
        <w:t xml:space="preserve"> </w:t>
      </w:r>
      <w:r w:rsidRPr="00E475E8">
        <w:rPr>
          <w:rStyle w:val="markedcontent"/>
          <w:rFonts w:cs="Arial"/>
          <w:szCs w:val="18"/>
        </w:rPr>
        <w:t>processes—as described in the Evaluation section above—in those tools for</w:t>
      </w:r>
      <w:r w:rsidR="00E475E8">
        <w:rPr>
          <w:rStyle w:val="markedcontent"/>
          <w:rFonts w:cs="Arial"/>
          <w:szCs w:val="18"/>
        </w:rPr>
        <w:t xml:space="preserve"> </w:t>
      </w:r>
      <w:r w:rsidRPr="00E475E8">
        <w:rPr>
          <w:rStyle w:val="markedcontent"/>
          <w:rFonts w:cs="Arial"/>
          <w:szCs w:val="18"/>
        </w:rPr>
        <w:t>vulnerabilities that are being actively exploited in the wild.</w:t>
      </w:r>
      <w:r w:rsidR="00E475E8">
        <w:rPr>
          <w:rStyle w:val="markedcontent"/>
          <w:rFonts w:cs="Arial"/>
          <w:szCs w:val="18"/>
        </w:rPr>
        <w:t xml:space="preserve"> </w:t>
      </w:r>
      <w:r w:rsidRPr="00E475E8">
        <w:rPr>
          <w:rStyle w:val="markedcontent"/>
          <w:rFonts w:cs="Arial"/>
          <w:szCs w:val="18"/>
        </w:rPr>
        <w:t>In cases where patches do not exist, have not been tested, or cannot be immediately applied promptly,</w:t>
      </w:r>
      <w:r w:rsidR="00E475E8">
        <w:rPr>
          <w:rStyle w:val="markedcontent"/>
          <w:rFonts w:cs="Arial"/>
          <w:szCs w:val="18"/>
        </w:rPr>
        <w:t xml:space="preserve"> </w:t>
      </w:r>
      <w:r w:rsidRPr="00E475E8">
        <w:rPr>
          <w:rStyle w:val="markedcontent"/>
          <w:rFonts w:cs="Arial"/>
          <w:szCs w:val="18"/>
        </w:rPr>
        <w:t>take other courses of action to prevent exploitation, such as:</w:t>
      </w:r>
      <w:r w:rsidRPr="00E475E8">
        <w:rPr>
          <w:rStyle w:val="markedcontent"/>
          <w:rFonts w:cs="Arial"/>
          <w:szCs w:val="18"/>
        </w:rPr>
        <w:br/>
      </w:r>
    </w:p>
    <w:p w:rsidR="004B7ED1" w:rsidP="004B7ED1" w:rsidRDefault="003344BF" w14:paraId="0A34E7BF" w14:textId="0C200C04">
      <w:pPr>
        <w:ind w:left="1440"/>
        <w:rPr>
          <w:rStyle w:val="markedcontent"/>
          <w:rFonts w:cs="Arial"/>
          <w:szCs w:val="18"/>
        </w:rPr>
      </w:pPr>
      <w:r w:rsidRPr="00E475E8">
        <w:rPr>
          <w:rStyle w:val="markedcontent"/>
          <w:rFonts w:cs="Arial"/>
          <w:szCs w:val="18"/>
        </w:rPr>
        <w:t>• Disabling services,</w:t>
      </w:r>
      <w:r w:rsidRPr="00E475E8">
        <w:rPr>
          <w:rStyle w:val="markedcontent"/>
          <w:rFonts w:cs="Arial"/>
          <w:szCs w:val="18"/>
        </w:rPr>
        <w:br/>
      </w:r>
      <w:r w:rsidRPr="00E475E8">
        <w:rPr>
          <w:rStyle w:val="markedcontent"/>
          <w:rFonts w:cs="Arial"/>
          <w:szCs w:val="18"/>
        </w:rPr>
        <w:t>• Reconfiguring firewalls to block access, or</w:t>
      </w:r>
      <w:r w:rsidRPr="00E475E8">
        <w:rPr>
          <w:rStyle w:val="markedcontent"/>
          <w:rFonts w:cs="Arial"/>
          <w:szCs w:val="18"/>
        </w:rPr>
        <w:br/>
      </w:r>
      <w:r w:rsidRPr="00E475E8">
        <w:rPr>
          <w:rStyle w:val="markedcontent"/>
          <w:rFonts w:cs="Arial"/>
          <w:szCs w:val="18"/>
        </w:rPr>
        <w:t>• Increasing monitoring to detect exploitation.</w:t>
      </w:r>
      <w:r w:rsidRPr="00E475E8">
        <w:rPr>
          <w:rStyle w:val="markedcontent"/>
          <w:rFonts w:cs="Arial"/>
          <w:szCs w:val="18"/>
        </w:rPr>
        <w:br/>
      </w:r>
    </w:p>
    <w:p w:rsidR="004B7ED1" w:rsidP="004B7ED1" w:rsidRDefault="003344BF" w14:paraId="492784D7" w14:textId="77777777">
      <w:pPr>
        <w:ind w:left="720"/>
        <w:rPr>
          <w:rStyle w:val="markedcontent"/>
          <w:rFonts w:cs="Arial"/>
          <w:szCs w:val="18"/>
        </w:rPr>
      </w:pPr>
      <w:r w:rsidRPr="00E475E8">
        <w:rPr>
          <w:rStyle w:val="markedcontent"/>
          <w:rFonts w:cs="Arial"/>
          <w:szCs w:val="18"/>
        </w:rPr>
        <w:t>Once patches are available and can be safely applied, mitigations can be removed, and patches</w:t>
      </w:r>
      <w:r w:rsidR="004B7ED1">
        <w:rPr>
          <w:rStyle w:val="markedcontent"/>
          <w:rFonts w:cs="Arial"/>
          <w:szCs w:val="18"/>
        </w:rPr>
        <w:t xml:space="preserve"> </w:t>
      </w:r>
      <w:r w:rsidRPr="00E475E8">
        <w:rPr>
          <w:rStyle w:val="markedcontent"/>
          <w:rFonts w:cs="Arial"/>
          <w:szCs w:val="18"/>
        </w:rPr>
        <w:t>applied.</w:t>
      </w:r>
      <w:r w:rsidR="004B7ED1">
        <w:rPr>
          <w:rStyle w:val="markedcontent"/>
          <w:rFonts w:cs="Arial"/>
          <w:szCs w:val="18"/>
        </w:rPr>
        <w:t xml:space="preserve"> </w:t>
      </w:r>
      <w:r w:rsidRPr="00E475E8">
        <w:rPr>
          <w:rStyle w:val="markedcontent"/>
          <w:rFonts w:cs="Arial"/>
          <w:szCs w:val="18"/>
        </w:rPr>
        <w:t>As systems are remediated, keep track of their status for reporting purposes. Each system should be</w:t>
      </w:r>
      <w:r w:rsidR="004B7ED1">
        <w:rPr>
          <w:rStyle w:val="markedcontent"/>
          <w:rFonts w:cs="Arial"/>
          <w:szCs w:val="18"/>
        </w:rPr>
        <w:t xml:space="preserve"> </w:t>
      </w:r>
      <w:r w:rsidRPr="00E475E8">
        <w:rPr>
          <w:rStyle w:val="markedcontent"/>
          <w:rFonts w:cs="Arial"/>
          <w:szCs w:val="18"/>
        </w:rPr>
        <w:t>able to be described as one of these categories:</w:t>
      </w:r>
    </w:p>
    <w:p w:rsidRPr="00E475E8" w:rsidR="003344BF" w:rsidP="004B7ED1" w:rsidRDefault="003344BF" w14:paraId="70EBB3B2" w14:textId="0945785F">
      <w:pPr>
        <w:ind w:left="1440"/>
        <w:rPr>
          <w:rStyle w:val="markedcontent"/>
          <w:rFonts w:cs="Arial"/>
          <w:szCs w:val="18"/>
        </w:rPr>
      </w:pPr>
      <w:r w:rsidRPr="00E475E8">
        <w:rPr>
          <w:rStyle w:val="markedcontent"/>
          <w:rFonts w:cs="Arial"/>
          <w:szCs w:val="18"/>
        </w:rPr>
        <w:br/>
      </w:r>
      <w:r w:rsidRPr="00E475E8">
        <w:rPr>
          <w:rStyle w:val="markedcontent"/>
          <w:rFonts w:cs="Arial"/>
          <w:szCs w:val="18"/>
        </w:rPr>
        <w:t>• Remediated. The patch or configuration change has been applied, and the</w:t>
      </w:r>
      <w:r w:rsidRPr="00E475E8">
        <w:rPr>
          <w:rStyle w:val="markedcontent"/>
          <w:rFonts w:cs="Arial"/>
          <w:szCs w:val="18"/>
        </w:rPr>
        <w:br/>
      </w:r>
      <w:r w:rsidRPr="00E475E8">
        <w:rPr>
          <w:rStyle w:val="markedcontent"/>
          <w:rFonts w:cs="Arial"/>
          <w:szCs w:val="18"/>
        </w:rPr>
        <w:t>system is no longer vulnerable.</w:t>
      </w:r>
      <w:r w:rsidRPr="00E475E8">
        <w:rPr>
          <w:rStyle w:val="markedcontent"/>
          <w:rFonts w:cs="Arial"/>
          <w:szCs w:val="18"/>
        </w:rPr>
        <w:br/>
      </w:r>
      <w:r w:rsidRPr="00E475E8">
        <w:rPr>
          <w:rStyle w:val="markedcontent"/>
          <w:rFonts w:cs="Arial"/>
          <w:szCs w:val="18"/>
        </w:rPr>
        <w:t>• Mitigated. Other compensating controls—such as detection or access</w:t>
      </w:r>
      <w:r w:rsidRPr="00E475E8">
        <w:rPr>
          <w:rStyle w:val="markedcontent"/>
          <w:rFonts w:cs="Arial"/>
          <w:szCs w:val="18"/>
        </w:rPr>
        <w:br/>
      </w:r>
      <w:r w:rsidRPr="00E475E8">
        <w:rPr>
          <w:rStyle w:val="markedcontent"/>
          <w:rFonts w:cs="Arial"/>
          <w:szCs w:val="18"/>
        </w:rPr>
        <w:t>restriction—are in place and the risk of the vulnerability is reduced.</w:t>
      </w:r>
      <w:r w:rsidRPr="00E475E8">
        <w:rPr>
          <w:rStyle w:val="markedcontent"/>
          <w:rFonts w:cs="Arial"/>
          <w:szCs w:val="18"/>
        </w:rPr>
        <w:br/>
      </w:r>
      <w:r w:rsidRPr="00E475E8">
        <w:rPr>
          <w:rStyle w:val="markedcontent"/>
          <w:rFonts w:cs="Arial"/>
          <w:szCs w:val="18"/>
        </w:rPr>
        <w:t>• Susceptible/Compromised. No action has been taken, and the system is still</w:t>
      </w:r>
      <w:r w:rsidRPr="00E475E8">
        <w:rPr>
          <w:rStyle w:val="markedcontent"/>
          <w:rFonts w:cs="Arial"/>
          <w:szCs w:val="18"/>
        </w:rPr>
        <w:br/>
      </w:r>
      <w:r w:rsidRPr="00E475E8">
        <w:rPr>
          <w:rStyle w:val="markedcontent"/>
          <w:rFonts w:cs="Arial"/>
          <w:szCs w:val="18"/>
        </w:rPr>
        <w:t>susceptible or compromised</w:t>
      </w:r>
      <w:r w:rsidR="004B7ED1">
        <w:rPr>
          <w:rStyle w:val="markedcontent"/>
          <w:rFonts w:cs="Arial"/>
          <w:szCs w:val="18"/>
        </w:rPr>
        <w:t>.</w:t>
      </w:r>
      <w:r w:rsidRPr="00E475E8">
        <w:rPr>
          <w:rStyle w:val="markedcontent"/>
          <w:rFonts w:cs="Arial"/>
          <w:szCs w:val="18"/>
        </w:rPr>
        <w:t xml:space="preserve"> </w:t>
      </w:r>
    </w:p>
    <w:p w:rsidRPr="004B7ED1" w:rsidR="003344BF" w:rsidP="004B7ED1" w:rsidRDefault="003344BF" w14:paraId="1D59B691" w14:textId="3F8FD964">
      <w:pPr>
        <w:ind w:left="720"/>
        <w:rPr>
          <w:rStyle w:val="markedcontent"/>
          <w:rFonts w:ascii="Amasis MT Pro" w:hAnsi="Amasis MT Pro" w:cs="Arial"/>
          <w:b/>
          <w:bCs/>
          <w:sz w:val="20"/>
          <w:szCs w:val="20"/>
        </w:rPr>
      </w:pPr>
    </w:p>
    <w:p w:rsidRPr="00E25F46" w:rsidR="003344BF" w:rsidP="00E25F46" w:rsidRDefault="004B7ED1" w14:paraId="5770D6AC" w14:textId="30000F2C">
      <w:pPr>
        <w:pStyle w:val="Heading2"/>
        <w:rPr>
          <w:rStyle w:val="markedcontent"/>
        </w:rPr>
      </w:pPr>
      <w:bookmarkStart w:name="_Toc158641214" w:id="13"/>
      <w:r w:rsidRPr="004B7ED1">
        <w:rPr>
          <w:rStyle w:val="markedcontent"/>
        </w:rPr>
        <w:t>Incident Response Checklist</w:t>
      </w:r>
      <w:bookmarkEnd w:id="13"/>
      <w:r w:rsidR="009C2790">
        <w:rPr>
          <w:noProof/>
        </w:rPr>
        <w:drawing>
          <wp:anchor distT="0" distB="0" distL="114300" distR="114300" simplePos="0" relativeHeight="251658252" behindDoc="0" locked="0" layoutInCell="1" allowOverlap="1" wp14:anchorId="2503BCEF" wp14:editId="1B73D27A">
            <wp:simplePos x="0" y="0"/>
            <wp:positionH relativeFrom="margin">
              <wp:posOffset>0</wp:posOffset>
            </wp:positionH>
            <wp:positionV relativeFrom="margin">
              <wp:posOffset>4028440</wp:posOffset>
            </wp:positionV>
            <wp:extent cx="4483735" cy="3858260"/>
            <wp:effectExtent l="19050" t="19050" r="12065" b="2794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stretch>
                      <a:fillRect/>
                    </a:stretch>
                  </pic:blipFill>
                  <pic:spPr>
                    <a:xfrm>
                      <a:off x="0" y="0"/>
                      <a:ext cx="4483735" cy="385826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rsidR="004B7ED1" w:rsidP="004B7ED1" w:rsidRDefault="004B7ED1" w14:paraId="25894073" w14:textId="3A919BA0">
      <w:pPr>
        <w:rPr>
          <w:rFonts w:ascii="Amasis MT Pro" w:hAnsi="Amasis MT Pro"/>
          <w:b/>
          <w:bCs/>
        </w:rPr>
      </w:pPr>
    </w:p>
    <w:p w:rsidR="004B7ED1" w:rsidP="00E25F46" w:rsidRDefault="004B7ED1" w14:paraId="7A6B3361" w14:textId="15EE1DF9">
      <w:pPr>
        <w:rPr>
          <w:rFonts w:ascii="Amasis MT Pro" w:hAnsi="Amasis MT Pro"/>
          <w:b/>
          <w:bCs/>
        </w:rPr>
      </w:pPr>
    </w:p>
    <w:p w:rsidR="004B7ED1" w:rsidP="004B7ED1" w:rsidRDefault="004B7ED1" w14:paraId="7D9F09B2" w14:textId="4CB7408D">
      <w:pPr>
        <w:ind w:left="-630"/>
        <w:rPr>
          <w:rFonts w:ascii="Amasis MT Pro" w:hAnsi="Amasis MT Pro"/>
          <w:b/>
          <w:bCs/>
        </w:rPr>
      </w:pPr>
      <w:r>
        <w:rPr>
          <w:noProof/>
        </w:rPr>
        <w:drawing>
          <wp:anchor distT="0" distB="0" distL="114300" distR="114300" simplePos="0" relativeHeight="251658244" behindDoc="0" locked="0" layoutInCell="1" allowOverlap="1" wp14:anchorId="522FFA72" wp14:editId="4A40AF1B">
            <wp:simplePos x="0" y="0"/>
            <wp:positionH relativeFrom="page">
              <wp:posOffset>1294130</wp:posOffset>
            </wp:positionH>
            <wp:positionV relativeFrom="margin">
              <wp:posOffset>4664075</wp:posOffset>
            </wp:positionV>
            <wp:extent cx="4546600" cy="3721100"/>
            <wp:effectExtent l="19050" t="19050" r="25400" b="12700"/>
            <wp:wrapTopAndBottom/>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5"/>
                    <a:stretch>
                      <a:fillRect/>
                    </a:stretch>
                  </pic:blipFill>
                  <pic:spPr>
                    <a:xfrm>
                      <a:off x="0" y="0"/>
                      <a:ext cx="4546600" cy="3721100"/>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3" behindDoc="0" locked="0" layoutInCell="1" allowOverlap="1" wp14:anchorId="3B5D34EB" wp14:editId="750A64E0">
            <wp:simplePos x="0" y="0"/>
            <wp:positionH relativeFrom="page">
              <wp:posOffset>1357461</wp:posOffset>
            </wp:positionH>
            <wp:positionV relativeFrom="page">
              <wp:posOffset>1241039</wp:posOffset>
            </wp:positionV>
            <wp:extent cx="4483100" cy="4301490"/>
            <wp:effectExtent l="19050" t="19050" r="12700" b="22860"/>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stretch>
                      <a:fillRect/>
                    </a:stretch>
                  </pic:blipFill>
                  <pic:spPr>
                    <a:xfrm>
                      <a:off x="0" y="0"/>
                      <a:ext cx="4483100" cy="430149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rsidR="004B7ED1" w:rsidP="004B7ED1" w:rsidRDefault="004B7ED1" w14:paraId="5943DC70" w14:textId="01ECBB5E">
      <w:pPr>
        <w:ind w:left="-630"/>
        <w:rPr>
          <w:rFonts w:ascii="Amasis MT Pro" w:hAnsi="Amasis MT Pro"/>
          <w:b/>
          <w:bCs/>
        </w:rPr>
      </w:pPr>
    </w:p>
    <w:p w:rsidR="004B7ED1" w:rsidP="009C2790" w:rsidRDefault="004B7ED1" w14:paraId="4E27FFA8" w14:textId="0A26EE8D">
      <w:pPr>
        <w:rPr>
          <w:rFonts w:ascii="Amasis MT Pro" w:hAnsi="Amasis MT Pro"/>
          <w:b/>
          <w:bCs/>
        </w:rPr>
      </w:pPr>
      <w:r>
        <w:rPr>
          <w:noProof/>
        </w:rPr>
        <w:drawing>
          <wp:anchor distT="0" distB="0" distL="114300" distR="114300" simplePos="0" relativeHeight="251658245" behindDoc="0" locked="0" layoutInCell="1" allowOverlap="1" wp14:anchorId="3C311CA8" wp14:editId="34CC01A9">
            <wp:simplePos x="0" y="0"/>
            <wp:positionH relativeFrom="page">
              <wp:posOffset>914400</wp:posOffset>
            </wp:positionH>
            <wp:positionV relativeFrom="margin">
              <wp:posOffset>248285</wp:posOffset>
            </wp:positionV>
            <wp:extent cx="5375275" cy="5035550"/>
            <wp:effectExtent l="0" t="0" r="0" b="0"/>
            <wp:wrapTopAndBottom/>
            <wp:docPr id="1422650409" name="Picture 1422650409" descr="A white and black checklis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50409" name="Picture 1422650409" descr="A white and black checklist with black text&#10;&#10;Description automatically generated"/>
                    <pic:cNvPicPr/>
                  </pic:nvPicPr>
                  <pic:blipFill>
                    <a:blip r:embed="rId17"/>
                    <a:stretch>
                      <a:fillRect/>
                    </a:stretch>
                  </pic:blipFill>
                  <pic:spPr>
                    <a:xfrm>
                      <a:off x="0" y="0"/>
                      <a:ext cx="5375275" cy="5035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6" behindDoc="0" locked="0" layoutInCell="1" allowOverlap="1" wp14:anchorId="24A68B43" wp14:editId="58CD1074">
            <wp:simplePos x="0" y="0"/>
            <wp:positionH relativeFrom="margin">
              <wp:posOffset>-635</wp:posOffset>
            </wp:positionH>
            <wp:positionV relativeFrom="page">
              <wp:posOffset>6447790</wp:posOffset>
            </wp:positionV>
            <wp:extent cx="5448935" cy="4159250"/>
            <wp:effectExtent l="0" t="0" r="0" b="0"/>
            <wp:wrapTopAndBottom/>
            <wp:docPr id="831484052" name="Picture 8314840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a:stretch>
                      <a:fillRect/>
                    </a:stretch>
                  </pic:blipFill>
                  <pic:spPr>
                    <a:xfrm>
                      <a:off x="0" y="0"/>
                      <a:ext cx="5448935" cy="4159250"/>
                    </a:xfrm>
                    <a:prstGeom prst="rect">
                      <a:avLst/>
                    </a:prstGeom>
                  </pic:spPr>
                </pic:pic>
              </a:graphicData>
            </a:graphic>
            <wp14:sizeRelH relativeFrom="margin">
              <wp14:pctWidth>0</wp14:pctWidth>
            </wp14:sizeRelH>
            <wp14:sizeRelV relativeFrom="margin">
              <wp14:pctHeight>0</wp14:pctHeight>
            </wp14:sizeRelV>
          </wp:anchor>
        </w:drawing>
      </w:r>
    </w:p>
    <w:p w:rsidR="004B7ED1" w:rsidP="004B7ED1" w:rsidRDefault="00FC7F1C" w14:paraId="6F879DBB" w14:textId="6FDE2DA3">
      <w:pPr>
        <w:ind w:left="-630"/>
        <w:rPr>
          <w:rFonts w:ascii="Amasis MT Pro" w:hAnsi="Amasis MT Pro"/>
          <w:b/>
          <w:bCs/>
        </w:rPr>
      </w:pPr>
      <w:r>
        <w:rPr>
          <w:noProof/>
        </w:rPr>
        <w:drawing>
          <wp:anchor distT="0" distB="0" distL="114300" distR="114300" simplePos="0" relativeHeight="251658248" behindDoc="0" locked="0" layoutInCell="1" allowOverlap="1" wp14:anchorId="0C15E925" wp14:editId="16220FCD">
            <wp:simplePos x="0" y="0"/>
            <wp:positionH relativeFrom="margin">
              <wp:posOffset>316865</wp:posOffset>
            </wp:positionH>
            <wp:positionV relativeFrom="page">
              <wp:posOffset>5544185</wp:posOffset>
            </wp:positionV>
            <wp:extent cx="4999990" cy="3432175"/>
            <wp:effectExtent l="0" t="0" r="0" b="0"/>
            <wp:wrapTopAndBottom/>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9"/>
                    <a:stretch>
                      <a:fillRect/>
                    </a:stretch>
                  </pic:blipFill>
                  <pic:spPr>
                    <a:xfrm>
                      <a:off x="0" y="0"/>
                      <a:ext cx="4999990" cy="3432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7" behindDoc="0" locked="0" layoutInCell="1" allowOverlap="1" wp14:anchorId="4DFDEC62" wp14:editId="5B4CF788">
            <wp:simplePos x="0" y="0"/>
            <wp:positionH relativeFrom="margin">
              <wp:posOffset>283210</wp:posOffset>
            </wp:positionH>
            <wp:positionV relativeFrom="margin">
              <wp:posOffset>-123825</wp:posOffset>
            </wp:positionV>
            <wp:extent cx="5006975" cy="4364355"/>
            <wp:effectExtent l="19050" t="19050" r="22225" b="17145"/>
            <wp:wrapTopAndBottom/>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0"/>
                    <a:stretch>
                      <a:fillRect/>
                    </a:stretch>
                  </pic:blipFill>
                  <pic:spPr>
                    <a:xfrm>
                      <a:off x="0" y="0"/>
                      <a:ext cx="5006975" cy="436435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rsidR="004B7ED1" w:rsidP="004B7ED1" w:rsidRDefault="004B7ED1" w14:paraId="40BAF6A2" w14:textId="6D68FDD1">
      <w:pPr>
        <w:ind w:left="-630"/>
        <w:rPr>
          <w:rFonts w:ascii="Amasis MT Pro" w:hAnsi="Amasis MT Pro"/>
          <w:b/>
          <w:bCs/>
        </w:rPr>
      </w:pPr>
      <w:r>
        <w:rPr>
          <w:rFonts w:ascii="Amasis MT Pro" w:hAnsi="Amasis MT Pro"/>
          <w:b/>
          <w:bCs/>
        </w:rPr>
        <w:t xml:space="preserve"> </w:t>
      </w:r>
      <w:r>
        <w:rPr>
          <w:rFonts w:ascii="Amasis MT Pro" w:hAnsi="Amasis MT Pro"/>
          <w:b/>
          <w:bCs/>
        </w:rPr>
        <w:br w:type="page"/>
      </w:r>
    </w:p>
    <w:p w:rsidR="004B7ED1" w:rsidP="004B7ED1" w:rsidRDefault="004B7ED1" w14:paraId="5F948DAD" w14:textId="7F0C1D31">
      <w:pPr>
        <w:rPr>
          <w:rFonts w:ascii="Amasis MT Pro" w:hAnsi="Amasis MT Pro"/>
          <w:b/>
          <w:bCs/>
        </w:rPr>
      </w:pPr>
    </w:p>
    <w:p w:rsidRPr="00FC7F1C" w:rsidR="004B7ED1" w:rsidP="004B7ED1" w:rsidRDefault="00FC7F1C" w14:paraId="610C041B" w14:textId="6954BD25">
      <w:pPr>
        <w:pStyle w:val="MainHeading"/>
        <w:rPr>
          <w:sz w:val="19"/>
          <w:szCs w:val="19"/>
        </w:rPr>
      </w:pPr>
      <w:bookmarkStart w:name="_Toc158641215" w:id="14"/>
      <w:r w:rsidRPr="00FC7F1C">
        <w:rPr>
          <w:rStyle w:val="markedcontent"/>
          <w:sz w:val="19"/>
          <w:szCs w:val="19"/>
        </w:rPr>
        <w:t>I</w:t>
      </w:r>
      <w:r>
        <w:rPr>
          <w:rStyle w:val="markedcontent"/>
          <w:sz w:val="19"/>
          <w:szCs w:val="19"/>
        </w:rPr>
        <w:t>ncident</w:t>
      </w:r>
      <w:r w:rsidRPr="00FC7F1C">
        <w:rPr>
          <w:rStyle w:val="markedcontent"/>
          <w:sz w:val="19"/>
          <w:szCs w:val="19"/>
        </w:rPr>
        <w:t xml:space="preserve"> R</w:t>
      </w:r>
      <w:r>
        <w:rPr>
          <w:rStyle w:val="markedcontent"/>
          <w:sz w:val="19"/>
          <w:szCs w:val="19"/>
        </w:rPr>
        <w:t>esponse</w:t>
      </w:r>
      <w:r w:rsidRPr="00FC7F1C">
        <w:rPr>
          <w:rStyle w:val="markedcontent"/>
          <w:sz w:val="19"/>
          <w:szCs w:val="19"/>
        </w:rPr>
        <w:t xml:space="preserve"> P</w:t>
      </w:r>
      <w:r>
        <w:rPr>
          <w:rStyle w:val="markedcontent"/>
          <w:sz w:val="19"/>
          <w:szCs w:val="19"/>
        </w:rPr>
        <w:t>reparation</w:t>
      </w:r>
      <w:r w:rsidRPr="00FC7F1C">
        <w:rPr>
          <w:rStyle w:val="markedcontent"/>
          <w:sz w:val="19"/>
          <w:szCs w:val="19"/>
        </w:rPr>
        <w:t xml:space="preserve"> C</w:t>
      </w:r>
      <w:r>
        <w:rPr>
          <w:rStyle w:val="markedcontent"/>
          <w:sz w:val="19"/>
          <w:szCs w:val="19"/>
        </w:rPr>
        <w:t>hecklist</w:t>
      </w:r>
      <w:bookmarkEnd w:id="14"/>
    </w:p>
    <w:p w:rsidR="004B7ED1" w:rsidP="004B7ED1" w:rsidRDefault="00FC7F1C" w14:paraId="25066CFB" w14:textId="7F8764BE">
      <w:pPr>
        <w:rPr>
          <w:rFonts w:ascii="Amasis MT Pro" w:hAnsi="Amasis MT Pro"/>
          <w:b/>
          <w:bCs/>
        </w:rPr>
      </w:pPr>
      <w:r>
        <w:rPr>
          <w:noProof/>
        </w:rPr>
        <w:drawing>
          <wp:anchor distT="0" distB="0" distL="114300" distR="114300" simplePos="0" relativeHeight="251658249" behindDoc="0" locked="0" layoutInCell="1" allowOverlap="1" wp14:anchorId="71095496" wp14:editId="50A319D2">
            <wp:simplePos x="0" y="0"/>
            <wp:positionH relativeFrom="margin">
              <wp:posOffset>354132</wp:posOffset>
            </wp:positionH>
            <wp:positionV relativeFrom="page">
              <wp:posOffset>1655930</wp:posOffset>
            </wp:positionV>
            <wp:extent cx="4502150" cy="4679950"/>
            <wp:effectExtent l="0" t="0" r="0" b="6350"/>
            <wp:wrapTopAndBottom/>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1"/>
                    <a:stretch>
                      <a:fillRect/>
                    </a:stretch>
                  </pic:blipFill>
                  <pic:spPr>
                    <a:xfrm>
                      <a:off x="0" y="0"/>
                      <a:ext cx="4502150" cy="4679950"/>
                    </a:xfrm>
                    <a:prstGeom prst="rect">
                      <a:avLst/>
                    </a:prstGeom>
                  </pic:spPr>
                </pic:pic>
              </a:graphicData>
            </a:graphic>
            <wp14:sizeRelH relativeFrom="margin">
              <wp14:pctWidth>0</wp14:pctWidth>
            </wp14:sizeRelH>
            <wp14:sizeRelV relativeFrom="margin">
              <wp14:pctHeight>0</wp14:pctHeight>
            </wp14:sizeRelV>
          </wp:anchor>
        </w:drawing>
      </w:r>
    </w:p>
    <w:p w:rsidR="004B7ED1" w:rsidP="004B7ED1" w:rsidRDefault="00FC7F1C" w14:paraId="2E6E6D6D" w14:textId="0830BBD9">
      <w:pPr>
        <w:rPr>
          <w:rFonts w:ascii="Amasis MT Pro" w:hAnsi="Amasis MT Pro"/>
          <w:b/>
          <w:bCs/>
        </w:rPr>
      </w:pPr>
      <w:r>
        <w:rPr>
          <w:noProof/>
        </w:rPr>
        <w:drawing>
          <wp:anchor distT="0" distB="0" distL="114300" distR="114300" simplePos="0" relativeHeight="251658250" behindDoc="0" locked="0" layoutInCell="1" allowOverlap="1" wp14:anchorId="262D377A" wp14:editId="6F624894">
            <wp:simplePos x="0" y="0"/>
            <wp:positionH relativeFrom="page">
              <wp:posOffset>1320800</wp:posOffset>
            </wp:positionH>
            <wp:positionV relativeFrom="page">
              <wp:posOffset>6497955</wp:posOffset>
            </wp:positionV>
            <wp:extent cx="4578350" cy="3714115"/>
            <wp:effectExtent l="19050" t="19050" r="12700" b="19685"/>
            <wp:wrapTopAndBottom/>
            <wp:docPr id="12" name="Picture 12"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pplication, table&#10;&#10;Description automatically generated"/>
                    <pic:cNvPicPr/>
                  </pic:nvPicPr>
                  <pic:blipFill>
                    <a:blip r:embed="rId22"/>
                    <a:stretch>
                      <a:fillRect/>
                    </a:stretch>
                  </pic:blipFill>
                  <pic:spPr>
                    <a:xfrm>
                      <a:off x="0" y="0"/>
                      <a:ext cx="4578350" cy="3714115"/>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p>
    <w:p w:rsidR="004B7ED1" w:rsidP="004B7ED1" w:rsidRDefault="00FC7F1C" w14:paraId="5D68C1D7" w14:textId="1F30C62C">
      <w:pPr>
        <w:rPr>
          <w:rFonts w:ascii="Amasis MT Pro" w:hAnsi="Amasis MT Pro"/>
          <w:b/>
          <w:bCs/>
        </w:rPr>
      </w:pPr>
      <w:r>
        <w:rPr>
          <w:noProof/>
        </w:rPr>
        <w:drawing>
          <wp:anchor distT="0" distB="0" distL="114300" distR="114300" simplePos="0" relativeHeight="251658251" behindDoc="0" locked="0" layoutInCell="1" allowOverlap="1" wp14:anchorId="211FC130" wp14:editId="7E14C6C9">
            <wp:simplePos x="0" y="0"/>
            <wp:positionH relativeFrom="margin">
              <wp:posOffset>718820</wp:posOffset>
            </wp:positionH>
            <wp:positionV relativeFrom="page">
              <wp:posOffset>1261745</wp:posOffset>
            </wp:positionV>
            <wp:extent cx="4521200" cy="3784600"/>
            <wp:effectExtent l="19050" t="19050" r="12700" b="25400"/>
            <wp:wrapTopAndBottom/>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3"/>
                    <a:stretch>
                      <a:fillRect/>
                    </a:stretch>
                  </pic:blipFill>
                  <pic:spPr>
                    <a:xfrm>
                      <a:off x="0" y="0"/>
                      <a:ext cx="4521200" cy="378460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rsidR="004B7ED1" w:rsidP="004B7ED1" w:rsidRDefault="004B7ED1" w14:paraId="5C70366E" w14:textId="77777777">
      <w:pPr>
        <w:rPr>
          <w:rFonts w:ascii="Amasis MT Pro" w:hAnsi="Amasis MT Pro"/>
          <w:b/>
          <w:bCs/>
        </w:rPr>
      </w:pPr>
    </w:p>
    <w:p w:rsidR="00FC7F1C" w:rsidP="004B7ED1" w:rsidRDefault="00FC7F1C" w14:paraId="6CF4E1F1" w14:textId="77777777">
      <w:pPr>
        <w:rPr>
          <w:rFonts w:ascii="Amasis MT Pro" w:hAnsi="Amasis MT Pro"/>
          <w:b/>
          <w:bCs/>
        </w:rPr>
      </w:pPr>
    </w:p>
    <w:p w:rsidR="00970658" w:rsidP="00E6336D" w:rsidRDefault="00FC7F1C" w14:paraId="7AB3F8CD" w14:textId="77777777">
      <w:bookmarkStart w:name="_Toc158641216" w:id="15"/>
      <w:r w:rsidRPr="0095030E">
        <w:rPr>
          <w:rStyle w:val="Heading3Char"/>
          <w:rFonts w:eastAsiaTheme="minorHAnsi"/>
        </w:rPr>
        <w:t>VULNERABILITY AND INCIDENT CATEGORIES</w:t>
      </w:r>
      <w:bookmarkEnd w:id="15"/>
      <w:r w:rsidRPr="0095030E">
        <w:rPr>
          <w:rStyle w:val="Heading3Char"/>
          <w:rFonts w:eastAsiaTheme="minorHAnsi"/>
        </w:rPr>
        <w:br/>
      </w:r>
    </w:p>
    <w:p w:rsidR="00DF24E5" w:rsidP="00BD236A" w:rsidRDefault="0095030E" w14:paraId="6BEB4291" w14:textId="77C9042B">
      <w:pPr>
        <w:pStyle w:val="ListParagraph"/>
        <w:numPr>
          <w:ilvl w:val="0"/>
          <w:numId w:val="24"/>
        </w:numPr>
      </w:pPr>
      <w:r w:rsidRPr="00BD236A">
        <w:rPr>
          <w:rStyle w:val="markedcontent"/>
          <w:rFonts w:ascii="Amasis MT Pro" w:hAnsi="Amasis MT Pro"/>
          <w:szCs w:val="18"/>
        </w:rPr>
        <w:t xml:space="preserve"> </w:t>
      </w:r>
      <w:r w:rsidRPr="00BD236A" w:rsidR="00FC7F1C">
        <w:rPr>
          <w:rStyle w:val="markedcontent"/>
          <w:rFonts w:ascii="Amasis MT Pro" w:hAnsi="Amasis MT Pro"/>
          <w:szCs w:val="18"/>
        </w:rPr>
        <w:t>Major Incident – Per the Office of Management and Budget (OMB) Memorandum M-20-04 or</w:t>
      </w:r>
      <w:r w:rsidRPr="0095030E" w:rsidR="00FC7F1C">
        <w:br/>
      </w:r>
      <w:r w:rsidRPr="00BD236A" w:rsidR="00FC7F1C">
        <w:rPr>
          <w:rStyle w:val="markedcontent"/>
          <w:rFonts w:ascii="Amasis MT Pro" w:hAnsi="Amasis MT Pro"/>
          <w:szCs w:val="18"/>
        </w:rPr>
        <w:t>subsequent memo, a major incident is either:</w:t>
      </w:r>
      <w:r w:rsidRPr="0095030E" w:rsidR="00FC7F1C">
        <w:br/>
      </w:r>
      <w:r w:rsidRPr="00BD236A" w:rsidR="00FC7F1C">
        <w:rPr>
          <w:rStyle w:val="markedcontent"/>
          <w:rFonts w:ascii="Amasis MT Pro" w:hAnsi="Amasis MT Pro"/>
          <w:szCs w:val="18"/>
        </w:rPr>
        <w:t>Any incident that is likely to result in demonstrable harm to the national security interests, foreign</w:t>
      </w:r>
      <w:r w:rsidRPr="0095030E" w:rsidR="00FC7F1C">
        <w:br/>
      </w:r>
      <w:r w:rsidRPr="00BD236A" w:rsidR="00FC7F1C">
        <w:rPr>
          <w:rStyle w:val="markedcontent"/>
          <w:rFonts w:ascii="Amasis MT Pro" w:hAnsi="Amasis MT Pro"/>
          <w:szCs w:val="18"/>
        </w:rPr>
        <w:t>relations, or the economy of the United States or to the public confidence, civil liberties, or public</w:t>
      </w:r>
      <w:r w:rsidRPr="0095030E" w:rsidR="00FC7F1C">
        <w:br/>
      </w:r>
      <w:r w:rsidRPr="00BD236A" w:rsidR="00FC7F1C">
        <w:rPr>
          <w:rStyle w:val="markedcontent"/>
          <w:rFonts w:ascii="Amasis MT Pro" w:hAnsi="Amasis MT Pro"/>
          <w:szCs w:val="18"/>
        </w:rPr>
        <w:t>health and safety of the American people.41 Agencies should determine the level of impact of the</w:t>
      </w:r>
      <w:r w:rsidRPr="0095030E" w:rsidR="00FC7F1C">
        <w:br/>
      </w:r>
      <w:r w:rsidRPr="00BD236A" w:rsidR="00FC7F1C">
        <w:rPr>
          <w:rStyle w:val="markedcontent"/>
          <w:rFonts w:ascii="Amasis MT Pro" w:hAnsi="Amasis MT Pro"/>
          <w:szCs w:val="18"/>
        </w:rPr>
        <w:t>incident by using the existing incident management process established in the National Institute</w:t>
      </w:r>
      <w:r w:rsidRPr="0095030E" w:rsidR="00FC7F1C">
        <w:br/>
      </w:r>
      <w:r w:rsidRPr="00BD236A" w:rsidR="00FC7F1C">
        <w:rPr>
          <w:rStyle w:val="markedcontent"/>
          <w:rFonts w:ascii="Amasis MT Pro" w:hAnsi="Amasis MT Pro"/>
          <w:szCs w:val="18"/>
        </w:rPr>
        <w:t>of Standards and Technology (NIST) Special Publication (SP) 900-61 Revision 2, Computer</w:t>
      </w:r>
      <w:r w:rsidRPr="0095030E" w:rsidR="00FC7F1C">
        <w:br/>
      </w:r>
      <w:r w:rsidRPr="00BD236A" w:rsidR="00FC7F1C">
        <w:rPr>
          <w:rStyle w:val="markedcontent"/>
          <w:rFonts w:ascii="Amasis MT Pro" w:hAnsi="Amasis MT Pro"/>
          <w:szCs w:val="18"/>
        </w:rPr>
        <w:t>Security Incident Handling Guide.</w:t>
      </w:r>
      <w:r w:rsidRPr="0095030E" w:rsidR="00FC7F1C">
        <w:br/>
      </w:r>
    </w:p>
    <w:p w:rsidR="00DF24E5" w:rsidP="00BD236A" w:rsidRDefault="00FC7F1C" w14:paraId="0D0E1E1D" w14:textId="7D8A1AF5">
      <w:pPr>
        <w:pStyle w:val="ListParagraph"/>
        <w:numPr>
          <w:ilvl w:val="0"/>
          <w:numId w:val="24"/>
        </w:numPr>
      </w:pPr>
      <w:r w:rsidRPr="00BD236A">
        <w:rPr>
          <w:rStyle w:val="markedcontent"/>
          <w:rFonts w:ascii="Amasis MT Pro" w:hAnsi="Amasis MT Pro"/>
          <w:szCs w:val="18"/>
        </w:rPr>
        <w:t>A breach that involves personally identifiable information (PII) that, if exfiltrated, modified, deleted,</w:t>
      </w:r>
      <w:r w:rsidRPr="0095030E">
        <w:br/>
      </w:r>
      <w:r w:rsidRPr="00BD236A">
        <w:rPr>
          <w:rStyle w:val="markedcontent"/>
          <w:rFonts w:ascii="Amasis MT Pro" w:hAnsi="Amasis MT Pro"/>
          <w:szCs w:val="18"/>
        </w:rPr>
        <w:t>or otherwise compromised, is likely to result in demonstrable harm to the national security</w:t>
      </w:r>
      <w:r w:rsidRPr="0095030E">
        <w:br/>
      </w:r>
      <w:r w:rsidRPr="00BD236A">
        <w:rPr>
          <w:rStyle w:val="markedcontent"/>
          <w:rFonts w:ascii="Amasis MT Pro" w:hAnsi="Amasis MT Pro"/>
          <w:szCs w:val="18"/>
        </w:rPr>
        <w:t>interests, foreign relations, or the economy of the United States, or to the public confidence, civil</w:t>
      </w:r>
      <w:r w:rsidRPr="0095030E">
        <w:br/>
      </w:r>
      <w:r w:rsidRPr="00BD236A">
        <w:rPr>
          <w:rStyle w:val="markedcontent"/>
          <w:rFonts w:ascii="Amasis MT Pro" w:hAnsi="Amasis MT Pro"/>
          <w:szCs w:val="18"/>
        </w:rPr>
        <w:t>liberties, or public health and safety of the American people. Major incident determination is</w:t>
      </w:r>
      <w:r w:rsidRPr="0095030E">
        <w:br/>
      </w:r>
      <w:r w:rsidRPr="00BD236A">
        <w:rPr>
          <w:rStyle w:val="markedcontent"/>
          <w:rFonts w:ascii="Amasis MT Pro" w:hAnsi="Amasis MT Pro"/>
          <w:szCs w:val="18"/>
        </w:rPr>
        <w:t>required for breaches involving PII of 100,000 or more people.42</w:t>
      </w:r>
      <w:r w:rsidRPr="0095030E">
        <w:br/>
      </w:r>
      <w:r w:rsidRPr="00BD236A">
        <w:rPr>
          <w:rStyle w:val="markedcontent"/>
          <w:rFonts w:ascii="Amasis MT Pro" w:hAnsi="Amasis MT Pro"/>
          <w:szCs w:val="18"/>
        </w:rPr>
        <w:t>Breach – Per OMB Memorandum M-17-12 or subsequent memo: The loss of control, compromise,</w:t>
      </w:r>
      <w:r w:rsidRPr="0095030E">
        <w:br/>
      </w:r>
      <w:r w:rsidRPr="00BD236A">
        <w:rPr>
          <w:rStyle w:val="markedcontent"/>
          <w:rFonts w:ascii="Amasis MT Pro" w:hAnsi="Amasis MT Pro"/>
          <w:szCs w:val="18"/>
        </w:rPr>
        <w:t>unauthorized disclosure, unauthorized acquisition, or any similar occurrence where (1) a person other</w:t>
      </w:r>
      <w:r w:rsidRPr="0095030E">
        <w:br/>
      </w:r>
      <w:r w:rsidRPr="00BD236A">
        <w:rPr>
          <w:rStyle w:val="markedcontent"/>
          <w:rFonts w:ascii="Amasis MT Pro" w:hAnsi="Amasis MT Pro"/>
          <w:szCs w:val="18"/>
        </w:rPr>
        <w:t>than an authorized user accesses or potentially accesses personally identifiable information or (2) an</w:t>
      </w:r>
      <w:r w:rsidRPr="0095030E">
        <w:br/>
      </w:r>
      <w:r w:rsidRPr="00BD236A">
        <w:rPr>
          <w:rStyle w:val="markedcontent"/>
          <w:rFonts w:ascii="Amasis MT Pro" w:hAnsi="Amasis MT Pro"/>
          <w:szCs w:val="18"/>
        </w:rPr>
        <w:t>authorized user accesses or potentially accesses personally identifiable information for other than</w:t>
      </w:r>
      <w:r w:rsidRPr="0095030E">
        <w:br/>
      </w:r>
      <w:r w:rsidRPr="00BD236A">
        <w:rPr>
          <w:rStyle w:val="markedcontent"/>
          <w:rFonts w:ascii="Amasis MT Pro" w:hAnsi="Amasis MT Pro"/>
          <w:szCs w:val="18"/>
        </w:rPr>
        <w:t>authorized purpose.</w:t>
      </w:r>
      <w:r w:rsidRPr="0095030E" w:rsidR="0095030E">
        <w:t xml:space="preserve"> </w:t>
      </w:r>
    </w:p>
    <w:p w:rsidRPr="00BD236A" w:rsidR="00954F0C" w:rsidP="00BD236A" w:rsidRDefault="00FC7F1C" w14:paraId="2613C830" w14:textId="2D09BAFD">
      <w:pPr>
        <w:pStyle w:val="ListParagraph"/>
        <w:numPr>
          <w:ilvl w:val="0"/>
          <w:numId w:val="24"/>
        </w:numPr>
        <w:rPr>
          <w:b/>
          <w:bCs/>
        </w:rPr>
      </w:pPr>
      <w:r w:rsidRPr="00BD236A">
        <w:rPr>
          <w:rStyle w:val="markedcontent"/>
          <w:rFonts w:ascii="Amasis MT Pro" w:hAnsi="Amasis MT Pro"/>
          <w:szCs w:val="18"/>
        </w:rPr>
        <w:t>Event – Per NIST SP 900-61 Revision 2: An event is any observable occurrence in a system or network.</w:t>
      </w:r>
      <w:r w:rsidRPr="0095030E">
        <w:br/>
      </w:r>
      <w:r w:rsidRPr="00BD236A">
        <w:rPr>
          <w:rStyle w:val="markedcontent"/>
          <w:rFonts w:ascii="Amasis MT Pro" w:hAnsi="Amasis MT Pro"/>
          <w:szCs w:val="18"/>
        </w:rPr>
        <w:t>Vulnerabilities:</w:t>
      </w:r>
      <w:r w:rsidRPr="0095030E">
        <w:br/>
      </w:r>
      <w:r w:rsidRPr="00BD236A">
        <w:rPr>
          <w:rStyle w:val="markedcontent"/>
          <w:rFonts w:ascii="Amasis MT Pro" w:hAnsi="Amasis MT Pro"/>
          <w:szCs w:val="18"/>
        </w:rPr>
        <w:t>• Internal discovery of potential compromise leveraging a vulnerability</w:t>
      </w:r>
      <w:r w:rsidRPr="0095030E">
        <w:br/>
      </w:r>
      <w:r w:rsidRPr="00BD236A">
        <w:rPr>
          <w:rStyle w:val="markedcontent"/>
          <w:rFonts w:ascii="Amasis MT Pro" w:hAnsi="Amasis MT Pro"/>
          <w:szCs w:val="18"/>
        </w:rPr>
        <w:t>• Known exploitation of vulnerability (NVD tagged entries; wide-spread public reporting; viable</w:t>
      </w:r>
      <w:r w:rsidRPr="0095030E">
        <w:br/>
      </w:r>
      <w:r w:rsidRPr="00BD236A">
        <w:rPr>
          <w:rStyle w:val="markedcontent"/>
          <w:rFonts w:ascii="Amasis MT Pro" w:hAnsi="Amasis MT Pro"/>
          <w:szCs w:val="18"/>
        </w:rPr>
        <w:t>proof-of-concept exploit released, et</w:t>
      </w:r>
    </w:p>
    <w:p w:rsidRPr="00A57BB6" w:rsidR="009C2790" w:rsidP="009C2790" w:rsidRDefault="009C2790" w14:paraId="19BF4E25" w14:textId="50471ED2">
      <w:pPr>
        <w:pStyle w:val="Heading4"/>
        <w:numPr>
          <w:ilvl w:val="0"/>
          <w:numId w:val="0"/>
        </w:numPr>
        <w:rPr>
          <w:rFonts w:ascii="Arial" w:hAnsi="Arial" w:cs="Arial"/>
          <w:b w:val="0"/>
        </w:rPr>
      </w:pPr>
      <w:bookmarkStart w:name="Validation" w:id="16"/>
      <w:bookmarkStart w:name="_Definitions" w:id="17"/>
      <w:bookmarkStart w:name="_Toc158641217" w:id="18"/>
      <w:bookmarkEnd w:id="16"/>
      <w:bookmarkEnd w:id="17"/>
      <w:r w:rsidRPr="00A57BB6">
        <w:t xml:space="preserve">Escalation </w:t>
      </w:r>
      <w:r w:rsidRPr="00A57BB6">
        <w:rPr>
          <w:rFonts w:ascii="Arial" w:hAnsi="Arial" w:cs="Arial"/>
        </w:rPr>
        <w:t xml:space="preserve">matrix </w:t>
      </w:r>
      <w:r w:rsidR="0065433A">
        <w:rPr>
          <w:rFonts w:ascii="Arial" w:hAnsi="Arial" w:cs="Arial"/>
        </w:rPr>
        <w:t xml:space="preserve"> and SLA</w:t>
      </w:r>
      <w:r w:rsidRPr="00A57BB6">
        <w:rPr>
          <w:rFonts w:ascii="Arial" w:hAnsi="Arial" w:cs="Arial"/>
        </w:rPr>
        <w:t>:</w:t>
      </w:r>
    </w:p>
    <w:tbl>
      <w:tblPr>
        <w:tblW w:w="9914" w:type="dxa"/>
        <w:tblInd w:w="-289" w:type="dxa"/>
        <w:tblLook w:val="04A0" w:firstRow="1" w:lastRow="0" w:firstColumn="1" w:lastColumn="0" w:noHBand="0" w:noVBand="1"/>
      </w:tblPr>
      <w:tblGrid>
        <w:gridCol w:w="2174"/>
        <w:gridCol w:w="2520"/>
        <w:gridCol w:w="7123"/>
        <w:gridCol w:w="1216"/>
      </w:tblGrid>
      <w:tr w:rsidRPr="009229BC" w:rsidR="009C2790" w:rsidTr="0065433A" w14:paraId="35CE1F08" w14:textId="77777777">
        <w:trPr>
          <w:trHeight w:val="456"/>
        </w:trPr>
        <w:tc>
          <w:tcPr>
            <w:tcW w:w="2174" w:type="dxa"/>
            <w:tcBorders>
              <w:top w:val="single" w:color="auto" w:sz="4" w:space="0"/>
              <w:left w:val="single" w:color="auto" w:sz="4" w:space="0"/>
              <w:bottom w:val="single" w:color="auto" w:sz="4" w:space="0"/>
              <w:right w:val="single" w:color="auto" w:sz="4" w:space="0"/>
            </w:tcBorders>
            <w:noWrap/>
            <w:vAlign w:val="center"/>
            <w:hideMark/>
          </w:tcPr>
          <w:p w:rsidRPr="009229BC" w:rsidR="009C2790" w:rsidRDefault="009C2790" w14:paraId="5B25A33A" w14:textId="77777777">
            <w:pPr>
              <w:rPr>
                <w:rFonts w:cs="Arial"/>
                <w:b/>
                <w:bCs/>
                <w:color w:val="000000"/>
                <w:szCs w:val="18"/>
                <w:lang w:eastAsia="en-GB"/>
              </w:rPr>
            </w:pPr>
            <w:r w:rsidRPr="009229BC">
              <w:rPr>
                <w:rFonts w:cs="Arial"/>
                <w:b/>
                <w:bCs/>
                <w:color w:val="000000"/>
                <w:szCs w:val="18"/>
                <w:lang w:eastAsia="en-GB"/>
              </w:rPr>
              <w:t>Name</w:t>
            </w:r>
          </w:p>
        </w:tc>
        <w:tc>
          <w:tcPr>
            <w:tcW w:w="2520" w:type="dxa"/>
            <w:tcBorders>
              <w:top w:val="single" w:color="auto" w:sz="4" w:space="0"/>
              <w:left w:val="nil"/>
              <w:bottom w:val="single" w:color="auto" w:sz="4" w:space="0"/>
              <w:right w:val="single" w:color="auto" w:sz="4" w:space="0"/>
            </w:tcBorders>
            <w:noWrap/>
            <w:vAlign w:val="center"/>
            <w:hideMark/>
          </w:tcPr>
          <w:p w:rsidRPr="009229BC" w:rsidR="009C2790" w:rsidRDefault="009C2790" w14:paraId="4DF3D457" w14:textId="77777777">
            <w:pPr>
              <w:rPr>
                <w:rFonts w:cs="Arial"/>
                <w:b/>
                <w:bCs/>
                <w:color w:val="000000"/>
                <w:szCs w:val="18"/>
                <w:lang w:eastAsia="en-GB"/>
              </w:rPr>
            </w:pPr>
            <w:r w:rsidRPr="009229BC">
              <w:rPr>
                <w:rFonts w:cs="Arial"/>
                <w:b/>
                <w:bCs/>
                <w:color w:val="000000"/>
                <w:szCs w:val="18"/>
                <w:lang w:eastAsia="en-GB"/>
              </w:rPr>
              <w:t>Title</w:t>
            </w:r>
          </w:p>
        </w:tc>
        <w:tc>
          <w:tcPr>
            <w:tcW w:w="3729" w:type="dxa"/>
            <w:tcBorders>
              <w:top w:val="single" w:color="auto" w:sz="4" w:space="0"/>
              <w:left w:val="nil"/>
              <w:bottom w:val="single" w:color="auto" w:sz="4" w:space="0"/>
              <w:right w:val="single" w:color="auto" w:sz="4" w:space="0"/>
            </w:tcBorders>
            <w:noWrap/>
            <w:vAlign w:val="center"/>
            <w:hideMark/>
          </w:tcPr>
          <w:p w:rsidRPr="009229BC" w:rsidR="009C2790" w:rsidRDefault="009C2790" w14:paraId="1E25F981" w14:textId="77777777">
            <w:pPr>
              <w:rPr>
                <w:rFonts w:cs="Arial"/>
                <w:b/>
                <w:bCs/>
                <w:color w:val="000000"/>
                <w:szCs w:val="18"/>
                <w:lang w:eastAsia="en-GB"/>
              </w:rPr>
            </w:pPr>
            <w:r w:rsidRPr="009229BC">
              <w:rPr>
                <w:rFonts w:cs="Arial"/>
                <w:b/>
                <w:bCs/>
                <w:color w:val="000000"/>
                <w:szCs w:val="18"/>
                <w:lang w:eastAsia="en-GB"/>
              </w:rPr>
              <w:t>Email</w:t>
            </w:r>
          </w:p>
        </w:tc>
        <w:tc>
          <w:tcPr>
            <w:tcW w:w="1491" w:type="dxa"/>
            <w:tcBorders>
              <w:top w:val="single" w:color="auto" w:sz="4" w:space="0"/>
              <w:left w:val="nil"/>
              <w:bottom w:val="single" w:color="auto" w:sz="4" w:space="0"/>
              <w:right w:val="single" w:color="auto" w:sz="4" w:space="0"/>
            </w:tcBorders>
            <w:vAlign w:val="center"/>
          </w:tcPr>
          <w:p w:rsidRPr="009229BC" w:rsidR="009C2790" w:rsidRDefault="009C2790" w14:paraId="31E192EB" w14:textId="77777777">
            <w:pPr>
              <w:rPr>
                <w:rFonts w:cs="Arial"/>
                <w:b/>
                <w:bCs/>
                <w:color w:val="000000"/>
                <w:szCs w:val="18"/>
                <w:lang w:eastAsia="en-GB"/>
              </w:rPr>
            </w:pPr>
            <w:r w:rsidRPr="009229BC">
              <w:rPr>
                <w:rFonts w:cs="Arial"/>
                <w:b/>
                <w:bCs/>
                <w:color w:val="000000"/>
                <w:szCs w:val="18"/>
                <w:lang w:eastAsia="en-GB"/>
              </w:rPr>
              <w:t>Contact</w:t>
            </w:r>
          </w:p>
        </w:tc>
      </w:tr>
      <w:tr w:rsidRPr="009229BC" w:rsidR="009C2790" w:rsidTr="0065433A" w14:paraId="133FD866" w14:textId="77777777">
        <w:trPr>
          <w:trHeight w:val="456"/>
        </w:trPr>
        <w:tc>
          <w:tcPr>
            <w:tcW w:w="2174" w:type="dxa"/>
            <w:tcBorders>
              <w:top w:val="nil"/>
              <w:left w:val="single" w:color="auto" w:sz="4" w:space="0"/>
              <w:bottom w:val="single" w:color="auto" w:sz="4" w:space="0"/>
              <w:right w:val="single" w:color="auto" w:sz="4" w:space="0"/>
            </w:tcBorders>
            <w:noWrap/>
            <w:vAlign w:val="center"/>
            <w:hideMark/>
          </w:tcPr>
          <w:p w:rsidRPr="009229BC" w:rsidR="009C2790" w:rsidRDefault="009C2790" w14:paraId="3F8951B2" w14:textId="404F45CD">
            <w:pPr>
              <w:rPr>
                <w:rFonts w:cs="Arial"/>
                <w:color w:val="000000"/>
                <w:szCs w:val="18"/>
                <w:lang w:eastAsia="en-GB"/>
              </w:rPr>
            </w:pPr>
            <w:r>
              <w:rPr>
                <w:rFonts w:cs="Arial"/>
                <w:color w:val="000000"/>
                <w:szCs w:val="18"/>
                <w:lang w:eastAsia="en-GB"/>
              </w:rPr>
              <w:t>Gautam Kumar</w:t>
            </w:r>
          </w:p>
        </w:tc>
        <w:tc>
          <w:tcPr>
            <w:tcW w:w="2520" w:type="dxa"/>
            <w:tcBorders>
              <w:top w:val="nil"/>
              <w:left w:val="nil"/>
              <w:bottom w:val="single" w:color="auto" w:sz="4" w:space="0"/>
              <w:right w:val="single" w:color="auto" w:sz="4" w:space="0"/>
            </w:tcBorders>
            <w:noWrap/>
            <w:vAlign w:val="center"/>
            <w:hideMark/>
          </w:tcPr>
          <w:p w:rsidRPr="00E25F46" w:rsidR="009C2790" w:rsidP="00E25F46" w:rsidRDefault="009C2790" w14:paraId="120FE0B3" w14:textId="3BA54B7D">
            <w:pPr>
              <w:shd w:val="clear" w:color="auto" w:fill="FFFFFF"/>
              <w:spacing w:line="300" w:lineRule="atLeast"/>
              <w:rPr>
                <w:rFonts w:ascii="Segoe UI" w:hAnsi="Segoe UI" w:cs="Segoe UI"/>
                <w:sz w:val="18"/>
                <w:szCs w:val="18"/>
              </w:rPr>
            </w:pPr>
            <w:r w:rsidRPr="00E25F46">
              <w:rPr>
                <w:rFonts w:cs="Arial"/>
                <w:color w:val="000000"/>
                <w:szCs w:val="18"/>
                <w:lang w:eastAsia="en-GB"/>
              </w:rPr>
              <w:t>Staff Security Analyst</w:t>
            </w:r>
          </w:p>
        </w:tc>
        <w:tc>
          <w:tcPr>
            <w:tcW w:w="3729" w:type="dxa"/>
            <w:tcBorders>
              <w:top w:val="nil"/>
              <w:left w:val="nil"/>
              <w:bottom w:val="single" w:color="auto" w:sz="4" w:space="0"/>
              <w:right w:val="single" w:color="auto" w:sz="4" w:space="0"/>
            </w:tcBorders>
            <w:noWrap/>
            <w:vAlign w:val="center"/>
            <w:hideMark/>
          </w:tcPr>
          <w:p w:rsidRPr="009229BC" w:rsidR="009C2790" w:rsidRDefault="009C2790" w14:paraId="062BEE00" w14:textId="04779BB9">
            <w:pPr>
              <w:rPr>
                <w:rFonts w:cs="Arial"/>
                <w:color w:val="000000"/>
                <w:szCs w:val="18"/>
                <w:lang w:eastAsia="en-GB"/>
              </w:rPr>
            </w:pPr>
            <w:r w:rsidRPr="0087091A">
              <w:rPr>
                <w:rStyle w:val="Hyperlink"/>
                <w:rFonts w:cs="Arial"/>
                <w:szCs w:val="18"/>
                <w:lang w:eastAsia="en-GB"/>
              </w:rPr>
              <w:t xml:space="preserve"> </w:t>
            </w:r>
            <w:r w:rsidRPr="009C2790">
              <w:rPr>
                <w:rStyle w:val="Hyperlink"/>
                <w:rFonts w:cs="Arial"/>
                <w:szCs w:val="18"/>
                <w:lang w:eastAsia="en-GB"/>
              </w:rPr>
              <w:t>gautam.kumar@netradyne.com</w:t>
            </w:r>
            <w:hyperlink w:history="1" r:id="rId24">
              <w:r>
                <w:rPr>
                  <w:rStyle w:val="Hyperlink"/>
                </w:rPr>
                <w:t>mailto:sudhansu.kumar@netradyne.com</w:t>
              </w:r>
            </w:hyperlink>
          </w:p>
        </w:tc>
        <w:tc>
          <w:tcPr>
            <w:tcW w:w="1491" w:type="dxa"/>
            <w:tcBorders>
              <w:top w:val="nil"/>
              <w:left w:val="nil"/>
              <w:bottom w:val="single" w:color="auto" w:sz="4" w:space="0"/>
              <w:right w:val="single" w:color="auto" w:sz="4" w:space="0"/>
            </w:tcBorders>
            <w:vAlign w:val="center"/>
          </w:tcPr>
          <w:p w:rsidR="009C2790" w:rsidRDefault="009C2790" w14:paraId="5E56279A" w14:textId="77777777">
            <w:pPr>
              <w:rPr>
                <w:rFonts w:cs="Arial"/>
                <w:color w:val="000000"/>
                <w:szCs w:val="18"/>
                <w:lang w:eastAsia="en-GB"/>
              </w:rPr>
            </w:pPr>
            <w:r>
              <w:rPr>
                <w:rFonts w:cs="Arial"/>
                <w:color w:val="000000"/>
                <w:szCs w:val="18"/>
                <w:lang w:eastAsia="en-GB"/>
              </w:rPr>
              <w:t>Primary</w:t>
            </w:r>
          </w:p>
          <w:p w:rsidRPr="009229BC" w:rsidR="009C2790" w:rsidRDefault="009C2790" w14:paraId="2A3A223A" w14:textId="77777777">
            <w:pPr>
              <w:rPr>
                <w:rFonts w:cs="Arial"/>
                <w:color w:val="000000"/>
                <w:szCs w:val="18"/>
                <w:lang w:eastAsia="en-GB"/>
              </w:rPr>
            </w:pPr>
            <w:r w:rsidRPr="009229BC">
              <w:rPr>
                <w:rFonts w:cs="Arial"/>
                <w:color w:val="000000"/>
                <w:szCs w:val="18"/>
                <w:lang w:eastAsia="en-GB"/>
              </w:rPr>
              <w:t>Contact</w:t>
            </w:r>
          </w:p>
        </w:tc>
      </w:tr>
      <w:tr w:rsidRPr="009229BC" w:rsidR="009C2790" w:rsidTr="0065433A" w14:paraId="0494FCE8" w14:textId="77777777">
        <w:trPr>
          <w:trHeight w:val="456"/>
        </w:trPr>
        <w:tc>
          <w:tcPr>
            <w:tcW w:w="2174" w:type="dxa"/>
            <w:tcBorders>
              <w:top w:val="nil"/>
              <w:left w:val="single" w:color="auto" w:sz="4" w:space="0"/>
              <w:bottom w:val="single" w:color="auto" w:sz="4" w:space="0"/>
              <w:right w:val="single" w:color="auto" w:sz="4" w:space="0"/>
            </w:tcBorders>
            <w:noWrap/>
            <w:vAlign w:val="center"/>
          </w:tcPr>
          <w:p w:rsidRPr="009229BC" w:rsidR="009C2790" w:rsidRDefault="009C2790" w14:paraId="6E96F7B6" w14:textId="77777777">
            <w:pPr>
              <w:rPr>
                <w:rFonts w:cs="Arial"/>
                <w:color w:val="000000"/>
                <w:szCs w:val="18"/>
                <w:lang w:eastAsia="en-GB"/>
              </w:rPr>
            </w:pPr>
            <w:r w:rsidRPr="009229BC">
              <w:rPr>
                <w:rFonts w:cs="Arial"/>
                <w:color w:val="000000"/>
                <w:szCs w:val="18"/>
                <w:lang w:eastAsia="en-GB"/>
              </w:rPr>
              <w:t>Saravanan Sankaran</w:t>
            </w:r>
          </w:p>
        </w:tc>
        <w:tc>
          <w:tcPr>
            <w:tcW w:w="2520" w:type="dxa"/>
            <w:tcBorders>
              <w:top w:val="nil"/>
              <w:left w:val="nil"/>
              <w:bottom w:val="single" w:color="auto" w:sz="4" w:space="0"/>
              <w:right w:val="single" w:color="auto" w:sz="4" w:space="0"/>
            </w:tcBorders>
            <w:noWrap/>
            <w:vAlign w:val="center"/>
          </w:tcPr>
          <w:p w:rsidRPr="00AC11AF" w:rsidR="009C2790" w:rsidRDefault="009C2790" w14:paraId="30AA019F" w14:textId="77777777">
            <w:pPr>
              <w:rPr>
                <w:rFonts w:ascii="Segoe UI" w:hAnsi="Segoe UI" w:cs="Segoe UI"/>
                <w:szCs w:val="18"/>
              </w:rPr>
            </w:pPr>
            <w:r w:rsidRPr="00AC11AF">
              <w:rPr>
                <w:rFonts w:cs="Arial"/>
                <w:color w:val="000000"/>
                <w:szCs w:val="18"/>
                <w:lang w:eastAsia="en-GB"/>
              </w:rPr>
              <w:t>Vice President - IT &amp; InfoSec</w:t>
            </w:r>
          </w:p>
        </w:tc>
        <w:tc>
          <w:tcPr>
            <w:tcW w:w="3729" w:type="dxa"/>
            <w:tcBorders>
              <w:top w:val="nil"/>
              <w:left w:val="nil"/>
              <w:bottom w:val="single" w:color="auto" w:sz="4" w:space="0"/>
              <w:right w:val="single" w:color="auto" w:sz="4" w:space="0"/>
            </w:tcBorders>
            <w:noWrap/>
            <w:vAlign w:val="center"/>
          </w:tcPr>
          <w:p w:rsidR="009C2790" w:rsidRDefault="009C2790" w14:paraId="050CF806" w14:textId="77777777">
            <w:hyperlink w:history="1" r:id="rId25">
              <w:r w:rsidRPr="009229BC">
                <w:rPr>
                  <w:rFonts w:cs="Arial"/>
                  <w:color w:val="000000"/>
                  <w:szCs w:val="18"/>
                  <w:lang w:eastAsia="en-GB"/>
                </w:rPr>
                <w:t>saravanan.sankaran@netradyne.com</w:t>
              </w:r>
            </w:hyperlink>
          </w:p>
        </w:tc>
        <w:tc>
          <w:tcPr>
            <w:tcW w:w="1491" w:type="dxa"/>
            <w:tcBorders>
              <w:top w:val="nil"/>
              <w:left w:val="nil"/>
              <w:bottom w:val="single" w:color="auto" w:sz="4" w:space="0"/>
              <w:right w:val="single" w:color="auto" w:sz="4" w:space="0"/>
            </w:tcBorders>
            <w:vAlign w:val="center"/>
          </w:tcPr>
          <w:p w:rsidRPr="009229BC" w:rsidR="009C2790" w:rsidRDefault="009C2790" w14:paraId="5D93A7B0" w14:textId="77777777">
            <w:pPr>
              <w:rPr>
                <w:rFonts w:cs="Arial"/>
                <w:color w:val="000000"/>
                <w:szCs w:val="18"/>
                <w:lang w:eastAsia="en-GB"/>
              </w:rPr>
            </w:pPr>
            <w:r w:rsidRPr="009229BC">
              <w:rPr>
                <w:rFonts w:cs="Arial"/>
                <w:color w:val="000000"/>
                <w:szCs w:val="18"/>
                <w:lang w:eastAsia="en-GB"/>
              </w:rPr>
              <w:t>Escalation</w:t>
            </w:r>
          </w:p>
        </w:tc>
      </w:tr>
      <w:tr w:rsidRPr="009229BC" w:rsidR="009C2790" w:rsidTr="0065433A" w14:paraId="0A180D1D" w14:textId="77777777">
        <w:trPr>
          <w:trHeight w:val="456"/>
        </w:trPr>
        <w:tc>
          <w:tcPr>
            <w:tcW w:w="2174" w:type="dxa"/>
            <w:tcBorders>
              <w:top w:val="nil"/>
              <w:left w:val="single" w:color="auto" w:sz="4" w:space="0"/>
              <w:bottom w:val="single" w:color="auto" w:sz="4" w:space="0"/>
              <w:right w:val="single" w:color="auto" w:sz="4" w:space="0"/>
            </w:tcBorders>
            <w:noWrap/>
            <w:vAlign w:val="center"/>
          </w:tcPr>
          <w:p w:rsidRPr="009229BC" w:rsidR="009C2790" w:rsidRDefault="009C2790" w14:paraId="62B70E52" w14:textId="77777777">
            <w:pPr>
              <w:rPr>
                <w:rFonts w:cs="Arial"/>
                <w:color w:val="000000"/>
                <w:szCs w:val="18"/>
                <w:lang w:eastAsia="en-GB"/>
              </w:rPr>
            </w:pPr>
            <w:r w:rsidRPr="009229BC">
              <w:rPr>
                <w:rFonts w:cs="Arial"/>
                <w:color w:val="000000"/>
                <w:szCs w:val="18"/>
                <w:lang w:eastAsia="en-GB"/>
              </w:rPr>
              <w:t>Vinay Rai</w:t>
            </w:r>
          </w:p>
        </w:tc>
        <w:tc>
          <w:tcPr>
            <w:tcW w:w="2520" w:type="dxa"/>
            <w:tcBorders>
              <w:top w:val="nil"/>
              <w:left w:val="nil"/>
              <w:bottom w:val="single" w:color="auto" w:sz="4" w:space="0"/>
              <w:right w:val="single" w:color="auto" w:sz="4" w:space="0"/>
            </w:tcBorders>
            <w:noWrap/>
            <w:vAlign w:val="center"/>
          </w:tcPr>
          <w:p w:rsidRPr="009229BC" w:rsidR="009C2790" w:rsidRDefault="009C2790" w14:paraId="23AD48EA" w14:textId="77777777">
            <w:pPr>
              <w:rPr>
                <w:rFonts w:cs="Arial"/>
                <w:color w:val="000000"/>
                <w:szCs w:val="18"/>
                <w:lang w:eastAsia="en-GB"/>
              </w:rPr>
            </w:pPr>
            <w:r w:rsidRPr="009229BC">
              <w:rPr>
                <w:rFonts w:cs="Arial"/>
                <w:color w:val="000000"/>
                <w:szCs w:val="18"/>
                <w:lang w:eastAsia="en-GB"/>
              </w:rPr>
              <w:t>Senior Vice President, Cloud</w:t>
            </w:r>
          </w:p>
        </w:tc>
        <w:tc>
          <w:tcPr>
            <w:tcW w:w="3729" w:type="dxa"/>
            <w:tcBorders>
              <w:top w:val="nil"/>
              <w:left w:val="nil"/>
              <w:bottom w:val="single" w:color="auto" w:sz="4" w:space="0"/>
              <w:right w:val="single" w:color="auto" w:sz="4" w:space="0"/>
            </w:tcBorders>
            <w:noWrap/>
            <w:vAlign w:val="center"/>
          </w:tcPr>
          <w:p w:rsidRPr="009229BC" w:rsidR="009C2790" w:rsidRDefault="009C2790" w14:paraId="49D30CC7" w14:textId="77777777">
            <w:pPr>
              <w:rPr>
                <w:rFonts w:cs="Arial"/>
                <w:color w:val="000000"/>
                <w:szCs w:val="18"/>
                <w:lang w:eastAsia="en-GB"/>
              </w:rPr>
            </w:pPr>
            <w:hyperlink w:history="1" r:id="rId26">
              <w:r w:rsidRPr="009229BC">
                <w:rPr>
                  <w:rFonts w:cs="Arial"/>
                  <w:color w:val="000000"/>
                  <w:szCs w:val="18"/>
                  <w:lang w:eastAsia="en-GB"/>
                </w:rPr>
                <w:t>vinay.rai@netradyne.com</w:t>
              </w:r>
            </w:hyperlink>
          </w:p>
        </w:tc>
        <w:tc>
          <w:tcPr>
            <w:tcW w:w="1491" w:type="dxa"/>
            <w:tcBorders>
              <w:top w:val="nil"/>
              <w:left w:val="nil"/>
              <w:bottom w:val="single" w:color="auto" w:sz="4" w:space="0"/>
              <w:right w:val="single" w:color="auto" w:sz="4" w:space="0"/>
            </w:tcBorders>
            <w:vAlign w:val="center"/>
          </w:tcPr>
          <w:p w:rsidRPr="009229BC" w:rsidR="009C2790" w:rsidRDefault="009C2790" w14:paraId="409E0AFB" w14:textId="77777777">
            <w:pPr>
              <w:rPr>
                <w:rFonts w:cs="Arial"/>
                <w:color w:val="000000"/>
                <w:szCs w:val="18"/>
                <w:lang w:eastAsia="en-GB"/>
              </w:rPr>
            </w:pPr>
            <w:r w:rsidRPr="009229BC">
              <w:rPr>
                <w:rFonts w:cs="Arial"/>
                <w:color w:val="000000"/>
                <w:szCs w:val="18"/>
                <w:lang w:eastAsia="en-GB"/>
              </w:rPr>
              <w:t>Escalation</w:t>
            </w:r>
          </w:p>
        </w:tc>
      </w:tr>
    </w:tbl>
    <w:p w:rsidRPr="0065433A" w:rsidR="0065433A" w:rsidP="0065433A" w:rsidRDefault="0065433A" w14:paraId="56C7EFFF" w14:textId="5C4618C5">
      <w:pPr>
        <w:spacing w:before="100" w:beforeAutospacing="1" w:after="100" w:afterAutospacing="1"/>
        <w:rPr>
          <w:rFonts w:ascii="Verdana" w:hAnsi="Verdana"/>
          <w:b/>
          <w:bCs/>
          <w:sz w:val="18"/>
          <w:lang w:val="en-IN" w:eastAsia="en-IN"/>
        </w:rPr>
      </w:pPr>
      <w:r w:rsidRPr="0065433A">
        <w:rPr>
          <w:rFonts w:ascii="Verdana" w:hAnsi="Verdana"/>
          <w:b/>
          <w:bCs/>
          <w:sz w:val="18"/>
          <w:lang w:val="en-IN" w:eastAsia="en-IN"/>
        </w:rPr>
        <w:t>Vulnerability Remediation SLA</w:t>
      </w:r>
    </w:p>
    <w:tbl>
      <w:tblPr>
        <w:tblW w:w="9565"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408"/>
        <w:gridCol w:w="2977"/>
        <w:gridCol w:w="5180"/>
      </w:tblGrid>
      <w:tr w:rsidRPr="0065433A" w:rsidR="0065433A" w:rsidTr="0065433A" w14:paraId="794728BD" w14:textId="77777777">
        <w:trPr>
          <w:trHeight w:val="311"/>
          <w:tblHeader/>
          <w:tblCellSpacing w:w="15" w:type="dxa"/>
        </w:trPr>
        <w:tc>
          <w:tcPr>
            <w:tcW w:w="0" w:type="auto"/>
            <w:vAlign w:val="center"/>
            <w:hideMark/>
          </w:tcPr>
          <w:p w:rsidRPr="0065433A" w:rsidR="0065433A" w:rsidP="0065433A" w:rsidRDefault="0065433A" w14:paraId="4F4EE7D2" w14:textId="77777777">
            <w:pPr>
              <w:jc w:val="center"/>
              <w:rPr>
                <w:b/>
                <w:bCs/>
              </w:rPr>
            </w:pPr>
            <w:r w:rsidRPr="0065433A">
              <w:rPr>
                <w:b/>
                <w:bCs/>
              </w:rPr>
              <w:t>Risk Level</w:t>
            </w:r>
          </w:p>
        </w:tc>
        <w:tc>
          <w:tcPr>
            <w:tcW w:w="0" w:type="auto"/>
            <w:vAlign w:val="center"/>
            <w:hideMark/>
          </w:tcPr>
          <w:p w:rsidRPr="0065433A" w:rsidR="0065433A" w:rsidP="0065433A" w:rsidRDefault="0065433A" w14:paraId="2120497E" w14:textId="77777777">
            <w:pPr>
              <w:jc w:val="center"/>
              <w:rPr>
                <w:b/>
                <w:bCs/>
              </w:rPr>
            </w:pPr>
            <w:r w:rsidRPr="0065433A">
              <w:rPr>
                <w:b/>
                <w:bCs/>
              </w:rPr>
              <w:t>Remediation Timeline</w:t>
            </w:r>
          </w:p>
        </w:tc>
        <w:tc>
          <w:tcPr>
            <w:tcW w:w="0" w:type="auto"/>
            <w:vAlign w:val="center"/>
            <w:hideMark/>
          </w:tcPr>
          <w:p w:rsidRPr="0065433A" w:rsidR="0065433A" w:rsidP="0065433A" w:rsidRDefault="0065433A" w14:paraId="6EB03752" w14:textId="77777777">
            <w:pPr>
              <w:jc w:val="center"/>
              <w:rPr>
                <w:b/>
                <w:bCs/>
              </w:rPr>
            </w:pPr>
            <w:r w:rsidRPr="0065433A">
              <w:rPr>
                <w:b/>
                <w:bCs/>
              </w:rPr>
              <w:t>IoT (Driveri Devices) Specific Timeline</w:t>
            </w:r>
          </w:p>
        </w:tc>
      </w:tr>
      <w:tr w:rsidRPr="0065433A" w:rsidR="0065433A" w:rsidTr="0065433A" w14:paraId="6A6F13D8" w14:textId="77777777">
        <w:trPr>
          <w:trHeight w:val="297"/>
          <w:tblCellSpacing w:w="15" w:type="dxa"/>
        </w:trPr>
        <w:tc>
          <w:tcPr>
            <w:tcW w:w="0" w:type="auto"/>
            <w:vAlign w:val="center"/>
            <w:hideMark/>
          </w:tcPr>
          <w:p w:rsidRPr="0065433A" w:rsidR="0065433A" w:rsidP="0065433A" w:rsidRDefault="0065433A" w14:paraId="39F2E6B4" w14:textId="77777777">
            <w:r w:rsidRPr="0065433A">
              <w:rPr>
                <w:b/>
                <w:bCs/>
              </w:rPr>
              <w:t>Critical</w:t>
            </w:r>
          </w:p>
        </w:tc>
        <w:tc>
          <w:tcPr>
            <w:tcW w:w="0" w:type="auto"/>
            <w:vAlign w:val="center"/>
            <w:hideMark/>
          </w:tcPr>
          <w:p w:rsidRPr="0065433A" w:rsidR="0065433A" w:rsidP="0065433A" w:rsidRDefault="0065433A" w14:paraId="36894D99" w14:textId="77777777">
            <w:r w:rsidRPr="0065433A">
              <w:t xml:space="preserve">Within </w:t>
            </w:r>
            <w:r w:rsidRPr="0065433A">
              <w:rPr>
                <w:b/>
                <w:bCs/>
              </w:rPr>
              <w:t>5 business days</w:t>
            </w:r>
          </w:p>
        </w:tc>
        <w:tc>
          <w:tcPr>
            <w:tcW w:w="0" w:type="auto"/>
            <w:vAlign w:val="center"/>
            <w:hideMark/>
          </w:tcPr>
          <w:p w:rsidRPr="0065433A" w:rsidR="0065433A" w:rsidP="0065433A" w:rsidRDefault="0065433A" w14:paraId="4C72C7FD" w14:textId="77777777">
            <w:r w:rsidRPr="0065433A">
              <w:t xml:space="preserve">Within </w:t>
            </w:r>
            <w:r w:rsidRPr="0065433A">
              <w:rPr>
                <w:b/>
                <w:bCs/>
              </w:rPr>
              <w:t>3 months</w:t>
            </w:r>
          </w:p>
        </w:tc>
      </w:tr>
      <w:tr w:rsidRPr="0065433A" w:rsidR="0065433A" w:rsidTr="0065433A" w14:paraId="2EA7CE8A" w14:textId="77777777">
        <w:trPr>
          <w:trHeight w:val="311"/>
          <w:tblCellSpacing w:w="15" w:type="dxa"/>
        </w:trPr>
        <w:tc>
          <w:tcPr>
            <w:tcW w:w="0" w:type="auto"/>
            <w:vAlign w:val="center"/>
            <w:hideMark/>
          </w:tcPr>
          <w:p w:rsidRPr="0065433A" w:rsidR="0065433A" w:rsidP="0065433A" w:rsidRDefault="0065433A" w14:paraId="425924A1" w14:textId="77777777">
            <w:r w:rsidRPr="0065433A">
              <w:rPr>
                <w:b/>
                <w:bCs/>
              </w:rPr>
              <w:t>High</w:t>
            </w:r>
          </w:p>
        </w:tc>
        <w:tc>
          <w:tcPr>
            <w:tcW w:w="0" w:type="auto"/>
            <w:vAlign w:val="center"/>
            <w:hideMark/>
          </w:tcPr>
          <w:p w:rsidRPr="0065433A" w:rsidR="0065433A" w:rsidP="0065433A" w:rsidRDefault="0065433A" w14:paraId="70DF0230" w14:textId="77777777">
            <w:r w:rsidRPr="0065433A">
              <w:t xml:space="preserve">Within </w:t>
            </w:r>
            <w:r w:rsidRPr="0065433A">
              <w:rPr>
                <w:b/>
                <w:bCs/>
              </w:rPr>
              <w:t>30 business days</w:t>
            </w:r>
          </w:p>
        </w:tc>
        <w:tc>
          <w:tcPr>
            <w:tcW w:w="0" w:type="auto"/>
            <w:vAlign w:val="center"/>
            <w:hideMark/>
          </w:tcPr>
          <w:p w:rsidRPr="0065433A" w:rsidR="0065433A" w:rsidP="0065433A" w:rsidRDefault="0065433A" w14:paraId="3663D324" w14:textId="77777777">
            <w:r w:rsidRPr="0065433A">
              <w:t xml:space="preserve">Within </w:t>
            </w:r>
            <w:r w:rsidRPr="0065433A">
              <w:rPr>
                <w:b/>
                <w:bCs/>
              </w:rPr>
              <w:t>6 months</w:t>
            </w:r>
          </w:p>
        </w:tc>
      </w:tr>
      <w:tr w:rsidRPr="0065433A" w:rsidR="0065433A" w:rsidTr="0065433A" w14:paraId="6BC4F54C" w14:textId="77777777">
        <w:trPr>
          <w:trHeight w:val="311"/>
          <w:tblCellSpacing w:w="15" w:type="dxa"/>
        </w:trPr>
        <w:tc>
          <w:tcPr>
            <w:tcW w:w="0" w:type="auto"/>
            <w:vAlign w:val="center"/>
            <w:hideMark/>
          </w:tcPr>
          <w:p w:rsidRPr="0065433A" w:rsidR="0065433A" w:rsidP="0065433A" w:rsidRDefault="0065433A" w14:paraId="76AB6264" w14:textId="77777777">
            <w:r w:rsidRPr="0065433A">
              <w:rPr>
                <w:b/>
                <w:bCs/>
              </w:rPr>
              <w:t>Medium</w:t>
            </w:r>
          </w:p>
        </w:tc>
        <w:tc>
          <w:tcPr>
            <w:tcW w:w="0" w:type="auto"/>
            <w:vAlign w:val="center"/>
            <w:hideMark/>
          </w:tcPr>
          <w:p w:rsidRPr="0065433A" w:rsidR="0065433A" w:rsidP="0065433A" w:rsidRDefault="0065433A" w14:paraId="27EA8380" w14:textId="77777777">
            <w:r w:rsidRPr="0065433A">
              <w:t xml:space="preserve">Within </w:t>
            </w:r>
            <w:r w:rsidRPr="0065433A">
              <w:rPr>
                <w:b/>
                <w:bCs/>
              </w:rPr>
              <w:t>90 business days</w:t>
            </w:r>
          </w:p>
        </w:tc>
        <w:tc>
          <w:tcPr>
            <w:tcW w:w="0" w:type="auto"/>
            <w:vAlign w:val="center"/>
            <w:hideMark/>
          </w:tcPr>
          <w:p w:rsidRPr="0065433A" w:rsidR="0065433A" w:rsidP="0065433A" w:rsidRDefault="0065433A" w14:paraId="6AC39200" w14:textId="77777777">
            <w:r w:rsidRPr="0065433A">
              <w:t xml:space="preserve">Within </w:t>
            </w:r>
            <w:r w:rsidRPr="0065433A">
              <w:rPr>
                <w:b/>
                <w:bCs/>
              </w:rPr>
              <w:t>9 months</w:t>
            </w:r>
          </w:p>
        </w:tc>
      </w:tr>
      <w:tr w:rsidRPr="0065433A" w:rsidR="0065433A" w:rsidTr="0065433A" w14:paraId="58CB20F6" w14:textId="77777777">
        <w:trPr>
          <w:trHeight w:val="297"/>
          <w:tblCellSpacing w:w="15" w:type="dxa"/>
        </w:trPr>
        <w:tc>
          <w:tcPr>
            <w:tcW w:w="0" w:type="auto"/>
            <w:vAlign w:val="center"/>
            <w:hideMark/>
          </w:tcPr>
          <w:p w:rsidRPr="0065433A" w:rsidR="0065433A" w:rsidP="0065433A" w:rsidRDefault="0065433A" w14:paraId="7E0342A4" w14:textId="77777777">
            <w:r w:rsidRPr="0065433A">
              <w:rPr>
                <w:b/>
                <w:bCs/>
              </w:rPr>
              <w:t>Low</w:t>
            </w:r>
          </w:p>
        </w:tc>
        <w:tc>
          <w:tcPr>
            <w:tcW w:w="0" w:type="auto"/>
            <w:vAlign w:val="center"/>
            <w:hideMark/>
          </w:tcPr>
          <w:p w:rsidRPr="0065433A" w:rsidR="0065433A" w:rsidP="0065433A" w:rsidRDefault="0065433A" w14:paraId="5E208C48" w14:textId="77777777">
            <w:r w:rsidRPr="0065433A">
              <w:t xml:space="preserve">Within </w:t>
            </w:r>
            <w:r w:rsidRPr="0065433A">
              <w:rPr>
                <w:b/>
                <w:bCs/>
              </w:rPr>
              <w:t>12 months</w:t>
            </w:r>
          </w:p>
        </w:tc>
        <w:tc>
          <w:tcPr>
            <w:tcW w:w="0" w:type="auto"/>
            <w:vAlign w:val="center"/>
            <w:hideMark/>
          </w:tcPr>
          <w:p w:rsidRPr="0065433A" w:rsidR="0065433A" w:rsidP="0065433A" w:rsidRDefault="0065433A" w14:paraId="21B285FE" w14:textId="77777777">
            <w:r w:rsidRPr="0065433A">
              <w:t xml:space="preserve">Planned &amp; prioritized within </w:t>
            </w:r>
            <w:r w:rsidRPr="0065433A">
              <w:rPr>
                <w:b/>
                <w:bCs/>
              </w:rPr>
              <w:t>12–18 months</w:t>
            </w:r>
          </w:p>
        </w:tc>
      </w:tr>
    </w:tbl>
    <w:p w:rsidRPr="009C2790" w:rsidR="009C2790" w:rsidP="0065433A" w:rsidRDefault="0065433A" w14:paraId="33031EBF" w14:textId="08311829">
      <w:pPr>
        <w:spacing w:before="100" w:beforeAutospacing="1" w:after="100" w:afterAutospacing="1"/>
      </w:pPr>
      <w:r w:rsidRPr="0065433A">
        <w:t> </w:t>
      </w:r>
    </w:p>
    <w:p w:rsidR="00CE424F" w:rsidP="00CE424F" w:rsidRDefault="007F79FF" w14:paraId="527D5901" w14:textId="77953AF1">
      <w:pPr>
        <w:pStyle w:val="Heading1"/>
      </w:pPr>
      <w:r>
        <w:rPr>
          <w:rFonts w:eastAsiaTheme="majorEastAsia"/>
        </w:rPr>
        <w:t>Conduct</w:t>
      </w:r>
      <w:bookmarkEnd w:id="18"/>
    </w:p>
    <w:p w:rsidR="00CE424F" w:rsidP="00242C48" w:rsidRDefault="00CE424F" w14:paraId="626259A4" w14:textId="428EF0B5">
      <w:r>
        <w:t>Compliance Checks to this process to be performed through various methods, including but not limited to reports, internal/external audits</w:t>
      </w:r>
      <w:r w:rsidR="00DF4055">
        <w:t>, Awareness training/assessments and feedback to the process owner. Non-compliance will be escalated to the Netradyne leadership team.</w:t>
      </w:r>
    </w:p>
    <w:p w:rsidR="007F79FF" w:rsidP="009416BB" w:rsidRDefault="007F79FF" w14:paraId="7760C698" w14:textId="30A3626D">
      <w:pPr>
        <w:pStyle w:val="Heading1"/>
      </w:pPr>
      <w:bookmarkStart w:name="_Toc158641218" w:id="19"/>
      <w:r>
        <w:t>Exception</w:t>
      </w:r>
      <w:bookmarkEnd w:id="19"/>
    </w:p>
    <w:p w:rsidR="00DF4055" w:rsidP="00242C48" w:rsidRDefault="00DF4055" w14:paraId="1AFBA4E5" w14:textId="276112FF">
      <w:r>
        <w:t>Exception to this procedure must be approved through the Netradyne Exception Process.</w:t>
      </w:r>
    </w:p>
    <w:p w:rsidR="007F79FF" w:rsidP="009416BB" w:rsidRDefault="007F79FF" w14:paraId="1B9E6653" w14:textId="52228472">
      <w:pPr>
        <w:pStyle w:val="Heading1"/>
      </w:pPr>
      <w:bookmarkStart w:name="_Toc158641219" w:id="20"/>
      <w:r>
        <w:t>Terms/Acronyms</w:t>
      </w:r>
      <w:bookmarkEnd w:id="20"/>
    </w:p>
    <w:tbl>
      <w:tblPr>
        <w:tblStyle w:val="PlainTable5"/>
        <w:tblW w:w="0" w:type="auto"/>
        <w:tblLook w:val="04A0" w:firstRow="1" w:lastRow="0" w:firstColumn="1" w:lastColumn="0" w:noHBand="0" w:noVBand="1"/>
      </w:tblPr>
      <w:tblGrid>
        <w:gridCol w:w="1816"/>
        <w:gridCol w:w="7210"/>
      </w:tblGrid>
      <w:tr w:rsidR="00DF4055" w:rsidTr="006B7B46" w14:paraId="6E4490B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rsidRPr="00DF4055" w:rsidR="00DF4055" w:rsidP="00DF4055" w:rsidRDefault="00DF4055" w14:paraId="7A442BD0" w14:textId="55CF1630">
            <w:pPr>
              <w:jc w:val="left"/>
              <w:rPr>
                <w:b/>
                <w:bCs/>
                <w:i w:val="0"/>
                <w:iCs w:val="0"/>
              </w:rPr>
            </w:pPr>
            <w:r w:rsidRPr="00DF4055">
              <w:rPr>
                <w:b/>
                <w:bCs/>
                <w:i w:val="0"/>
                <w:iCs w:val="0"/>
              </w:rPr>
              <w:t>Term/Acronym</w:t>
            </w:r>
          </w:p>
        </w:tc>
        <w:tc>
          <w:tcPr>
            <w:tcW w:w="7269" w:type="dxa"/>
          </w:tcPr>
          <w:p w:rsidRPr="00DF4055" w:rsidR="00DF4055" w:rsidP="00DF4055" w:rsidRDefault="00DF4055" w14:paraId="2451B975" w14:textId="29AF2456">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6B7B46" w:rsidTr="006B7B46" w14:paraId="4F131E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6B7B46" w:rsidP="006B7B46" w:rsidRDefault="006B7B46" w14:paraId="5771E805" w14:textId="04BC4392">
            <w:pPr>
              <w:jc w:val="left"/>
              <w:rPr>
                <w:i w:val="0"/>
                <w:iCs w:val="0"/>
              </w:rPr>
            </w:pPr>
            <w:r w:rsidRPr="00945B23">
              <w:rPr>
                <w:i w:val="0"/>
                <w:iCs w:val="0"/>
              </w:rPr>
              <w:t>H</w:t>
            </w:r>
            <w:r w:rsidRPr="00945B23">
              <w:t>I</w:t>
            </w:r>
            <w:r>
              <w:rPr>
                <w:i w:val="0"/>
                <w:iCs w:val="0"/>
              </w:rPr>
              <w:t>PAA</w:t>
            </w:r>
          </w:p>
        </w:tc>
        <w:tc>
          <w:tcPr>
            <w:tcW w:w="7269" w:type="dxa"/>
          </w:tcPr>
          <w:p w:rsidRPr="00DF4055" w:rsidR="006B7B46" w:rsidP="006B7B46" w:rsidRDefault="006B7B46" w14:paraId="47DEF2BD" w14:textId="4578FBE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6000">
              <w:t>Health Insurance Portability and Accountability</w:t>
            </w:r>
            <w:r>
              <w:t xml:space="preserve"> Act</w:t>
            </w:r>
          </w:p>
        </w:tc>
      </w:tr>
      <w:tr w:rsidR="006B7B46" w:rsidTr="006B7B46" w14:paraId="2A54F0FD" w14:textId="77777777">
        <w:tc>
          <w:tcPr>
            <w:cnfStyle w:val="001000000000" w:firstRow="0" w:lastRow="0" w:firstColumn="1" w:lastColumn="0" w:oddVBand="0" w:evenVBand="0" w:oddHBand="0" w:evenHBand="0" w:firstRowFirstColumn="0" w:firstRowLastColumn="0" w:lastRowFirstColumn="0" w:lastRowLastColumn="0"/>
            <w:tcW w:w="1757" w:type="dxa"/>
          </w:tcPr>
          <w:p w:rsidRPr="00DF4055" w:rsidR="006B7B46" w:rsidP="006B7B46" w:rsidRDefault="006B7B46" w14:paraId="2B7B10DA" w14:textId="4D657C4D">
            <w:pPr>
              <w:jc w:val="left"/>
              <w:rPr>
                <w:i w:val="0"/>
                <w:iCs w:val="0"/>
              </w:rPr>
            </w:pPr>
            <w:r>
              <w:rPr>
                <w:i w:val="0"/>
                <w:iCs w:val="0"/>
              </w:rPr>
              <w:t>GDPR</w:t>
            </w:r>
          </w:p>
        </w:tc>
        <w:tc>
          <w:tcPr>
            <w:tcW w:w="7269" w:type="dxa"/>
          </w:tcPr>
          <w:p w:rsidRPr="00DF4055" w:rsidR="006B7B46" w:rsidP="006B7B46" w:rsidRDefault="006B7B46" w14:paraId="2B42521D" w14:textId="495E8192">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6000">
              <w:t>General Data Protection Regulation</w:t>
            </w:r>
          </w:p>
        </w:tc>
      </w:tr>
      <w:tr w:rsidR="006B7B46" w:rsidTr="006B7B46" w14:paraId="1CD18A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6B7B46" w:rsidP="006B7B46" w:rsidRDefault="006B7B46" w14:paraId="17ADD435" w14:textId="499D9195">
            <w:pPr>
              <w:jc w:val="left"/>
              <w:rPr>
                <w:i w:val="0"/>
                <w:iCs w:val="0"/>
              </w:rPr>
            </w:pPr>
            <w:r>
              <w:rPr>
                <w:i w:val="0"/>
                <w:iCs w:val="0"/>
              </w:rPr>
              <w:t>ePHI</w:t>
            </w:r>
          </w:p>
        </w:tc>
        <w:tc>
          <w:tcPr>
            <w:tcW w:w="7269" w:type="dxa"/>
          </w:tcPr>
          <w:p w:rsidRPr="00DF4055" w:rsidR="006B7B46" w:rsidP="006B7B46" w:rsidRDefault="006B7B46" w14:paraId="02B2B4DF" w14:textId="3CE6EF4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23130"/>
                <w:sz w:val="21"/>
                <w:szCs w:val="21"/>
                <w:shd w:val="clear" w:color="auto" w:fill="FFFFFF"/>
              </w:rPr>
              <w:t>Electronic Protected Health Information</w:t>
            </w:r>
          </w:p>
        </w:tc>
      </w:tr>
      <w:tr w:rsidR="006B7B46" w:rsidTr="006B7B46" w14:paraId="682E0E70" w14:textId="77777777">
        <w:tc>
          <w:tcPr>
            <w:cnfStyle w:val="001000000000" w:firstRow="0" w:lastRow="0" w:firstColumn="1" w:lastColumn="0" w:oddVBand="0" w:evenVBand="0" w:oddHBand="0" w:evenHBand="0" w:firstRowFirstColumn="0" w:firstRowLastColumn="0" w:lastRowFirstColumn="0" w:lastRowLastColumn="0"/>
            <w:tcW w:w="1757" w:type="dxa"/>
          </w:tcPr>
          <w:p w:rsidRPr="00DF4055" w:rsidR="006B7B46" w:rsidP="006B7B46" w:rsidRDefault="006B7B46" w14:paraId="2DC118FD" w14:textId="29B59FA9">
            <w:pPr>
              <w:jc w:val="left"/>
              <w:rPr>
                <w:i w:val="0"/>
                <w:iCs w:val="0"/>
              </w:rPr>
            </w:pPr>
          </w:p>
        </w:tc>
        <w:tc>
          <w:tcPr>
            <w:tcW w:w="7269" w:type="dxa"/>
          </w:tcPr>
          <w:p w:rsidRPr="00DF4055" w:rsidR="006B7B46" w:rsidP="006B7B46" w:rsidRDefault="006B7B46" w14:paraId="63E8771A" w14:textId="694225EB">
            <w:pPr>
              <w:cnfStyle w:val="000000000000" w:firstRow="0" w:lastRow="0" w:firstColumn="0" w:lastColumn="0" w:oddVBand="0" w:evenVBand="0" w:oddHBand="0" w:evenHBand="0" w:firstRowFirstColumn="0" w:firstRowLastColumn="0" w:lastRowFirstColumn="0" w:lastRowLastColumn="0"/>
            </w:pPr>
          </w:p>
        </w:tc>
      </w:tr>
      <w:tr w:rsidR="006B7B46" w:rsidTr="006B7B46" w14:paraId="77F76D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6B7B46" w:rsidP="006B7B46" w:rsidRDefault="006B7B46" w14:paraId="49ECD167" w14:textId="14DC364E">
            <w:pPr>
              <w:jc w:val="left"/>
              <w:rPr>
                <w:i w:val="0"/>
                <w:iCs w:val="0"/>
              </w:rPr>
            </w:pPr>
          </w:p>
        </w:tc>
        <w:tc>
          <w:tcPr>
            <w:tcW w:w="7269" w:type="dxa"/>
          </w:tcPr>
          <w:p w:rsidRPr="00DF4055" w:rsidR="006B7B46" w:rsidP="006B7B46" w:rsidRDefault="006B7B46" w14:paraId="1D2A39C8" w14:textId="37BAD077">
            <w:pPr>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B7B46" w:rsidTr="006B7B46" w14:paraId="3C66B2ED" w14:textId="77777777">
        <w:tc>
          <w:tcPr>
            <w:cnfStyle w:val="001000000000" w:firstRow="0" w:lastRow="0" w:firstColumn="1" w:lastColumn="0" w:oddVBand="0" w:evenVBand="0" w:oddHBand="0" w:evenHBand="0" w:firstRowFirstColumn="0" w:firstRowLastColumn="0" w:lastRowFirstColumn="0" w:lastRowLastColumn="0"/>
            <w:tcW w:w="1757" w:type="dxa"/>
          </w:tcPr>
          <w:p w:rsidRPr="00DF4055" w:rsidR="006B7B46" w:rsidP="006B7B46" w:rsidRDefault="006B7B46" w14:paraId="6A33518E" w14:textId="77777777">
            <w:pPr>
              <w:jc w:val="left"/>
              <w:rPr>
                <w:i w:val="0"/>
                <w:iCs w:val="0"/>
              </w:rPr>
            </w:pPr>
          </w:p>
        </w:tc>
        <w:tc>
          <w:tcPr>
            <w:tcW w:w="7269" w:type="dxa"/>
          </w:tcPr>
          <w:p w:rsidRPr="00DF4055" w:rsidR="006B7B46" w:rsidP="006B7B46" w:rsidRDefault="006B7B46" w14:paraId="4DCC946B" w14:textId="77777777">
            <w:pPr>
              <w:cnfStyle w:val="000000000000" w:firstRow="0" w:lastRow="0" w:firstColumn="0" w:lastColumn="0" w:oddVBand="0" w:evenVBand="0" w:oddHBand="0" w:evenHBand="0" w:firstRowFirstColumn="0" w:firstRowLastColumn="0" w:lastRowFirstColumn="0" w:lastRowLastColumn="0"/>
            </w:pPr>
          </w:p>
        </w:tc>
      </w:tr>
      <w:tr w:rsidR="006B7B46" w:rsidTr="006B7B46" w14:paraId="4005BE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6B7B46" w:rsidP="006B7B46" w:rsidRDefault="006B7B46" w14:paraId="4AEAF0B5" w14:textId="77777777">
            <w:pPr>
              <w:jc w:val="left"/>
              <w:rPr>
                <w:i w:val="0"/>
                <w:iCs w:val="0"/>
              </w:rPr>
            </w:pPr>
          </w:p>
        </w:tc>
        <w:tc>
          <w:tcPr>
            <w:tcW w:w="7269" w:type="dxa"/>
          </w:tcPr>
          <w:p w:rsidRPr="00DF4055" w:rsidR="006B7B46" w:rsidP="006B7B46" w:rsidRDefault="006B7B46" w14:paraId="32213BF4" w14:textId="77777777">
            <w:pPr>
              <w:cnfStyle w:val="000000100000" w:firstRow="0" w:lastRow="0" w:firstColumn="0" w:lastColumn="0" w:oddVBand="0" w:evenVBand="0" w:oddHBand="1" w:evenHBand="0" w:firstRowFirstColumn="0" w:firstRowLastColumn="0" w:lastRowFirstColumn="0" w:lastRowLastColumn="0"/>
            </w:pPr>
          </w:p>
        </w:tc>
      </w:tr>
    </w:tbl>
    <w:p w:rsidR="00DF4055" w:rsidP="00DF4055" w:rsidRDefault="00DF4055" w14:paraId="113FF204" w14:textId="77777777"/>
    <w:p w:rsidR="007F79FF" w:rsidP="009416BB" w:rsidRDefault="007F79FF" w14:paraId="180FD6CA" w14:textId="18134C37">
      <w:pPr>
        <w:pStyle w:val="Heading1"/>
      </w:pPr>
      <w:bookmarkStart w:name="_Toc158641220" w:id="21"/>
      <w:r>
        <w:t>References</w:t>
      </w:r>
      <w:bookmarkEnd w:id="21"/>
    </w:p>
    <w:p w:rsidR="007F79FF" w:rsidP="004B7ED1" w:rsidRDefault="00E7145E" w14:paraId="375F9493" w14:textId="5FF48DA8">
      <w:pPr>
        <w:pStyle w:val="Heading2"/>
      </w:pPr>
      <w:bookmarkStart w:name="_Toc158641221" w:id="22"/>
      <w:r>
        <w:t>Templates</w:t>
      </w:r>
      <w:bookmarkEnd w:id="22"/>
    </w:p>
    <w:p w:rsidR="00E7145E" w:rsidP="00516E98" w:rsidRDefault="00E7145E" w14:paraId="43EB469D" w14:textId="703D24A1">
      <w:pPr>
        <w:pStyle w:val="Commented"/>
        <w:spacing w:after="0"/>
      </w:pPr>
      <w:r>
        <w:t>&lt;List of (or Links to) associated templates&gt;</w:t>
      </w:r>
    </w:p>
    <w:p w:rsidR="00E7145E" w:rsidP="004B7ED1" w:rsidRDefault="00E7145E" w14:paraId="7EB60EF1" w14:textId="19F93C0D">
      <w:pPr>
        <w:pStyle w:val="Heading2"/>
      </w:pPr>
      <w:bookmarkStart w:name="_Toc158641222" w:id="23"/>
      <w:r>
        <w:t>Policies</w:t>
      </w:r>
      <w:bookmarkEnd w:id="23"/>
    </w:p>
    <w:p w:rsidR="00E7145E" w:rsidP="00516E98" w:rsidRDefault="004D0A0E" w14:paraId="098178CC" w14:textId="4AF85A1C">
      <w:pPr>
        <w:pStyle w:val="Commented"/>
        <w:spacing w:after="0"/>
      </w:pPr>
      <w:hyperlink w:history="1" r:id="rId27">
        <w:r>
          <w:rPr>
            <w:rStyle w:val="Hyperlink"/>
          </w:rPr>
          <w:t>Netradyne Information Security Policy &amp; Procedure.pdf</w:t>
        </w:r>
      </w:hyperlink>
    </w:p>
    <w:p w:rsidR="004D0A0E" w:rsidP="00516E98" w:rsidRDefault="004D0A0E" w14:paraId="6CDB39FB" w14:textId="0DEF7350">
      <w:pPr>
        <w:pStyle w:val="Commented"/>
        <w:spacing w:after="0"/>
      </w:pPr>
      <w:hyperlink w:history="1" r:id="rId28">
        <w:r>
          <w:rPr>
            <w:rStyle w:val="Hyperlink"/>
          </w:rPr>
          <w:t>Netradyne Information Security Exception Process.pdf</w:t>
        </w:r>
      </w:hyperlink>
    </w:p>
    <w:p w:rsidR="004D0A0E" w:rsidP="00516E98" w:rsidRDefault="004D0A0E" w14:paraId="4481F31C" w14:textId="3830C629">
      <w:pPr>
        <w:pStyle w:val="Commented"/>
        <w:spacing w:after="0"/>
      </w:pPr>
      <w:hyperlink w:history="1" r:id="rId29">
        <w:r>
          <w:rPr>
            <w:rStyle w:val="Hyperlink"/>
          </w:rPr>
          <w:t>Acceptable Usage Policy.pdf</w:t>
        </w:r>
      </w:hyperlink>
    </w:p>
    <w:p w:rsidR="004D0A0E" w:rsidP="00516E98" w:rsidRDefault="004D0A0E" w14:paraId="50CACF13" w14:textId="77777777">
      <w:pPr>
        <w:pStyle w:val="Commented"/>
        <w:spacing w:after="0"/>
      </w:pPr>
    </w:p>
    <w:p w:rsidR="00E7145E" w:rsidP="004B7ED1" w:rsidRDefault="00E7145E" w14:paraId="1D0C6AEB" w14:textId="52AC1300">
      <w:pPr>
        <w:pStyle w:val="Heading2"/>
      </w:pPr>
      <w:bookmarkStart w:name="_Toc158641223" w:id="24"/>
      <w:r>
        <w:t>Process/Procedures</w:t>
      </w:r>
      <w:bookmarkEnd w:id="24"/>
    </w:p>
    <w:p w:rsidR="00E7145E" w:rsidP="00516E98" w:rsidRDefault="004D0A0E" w14:paraId="2E61B6BA" w14:textId="12FDCDBC">
      <w:pPr>
        <w:pStyle w:val="Commented"/>
        <w:spacing w:after="0"/>
      </w:pPr>
      <w:hyperlink w:history="1" r:id="rId30">
        <w:r>
          <w:rPr>
            <w:rStyle w:val="Hyperlink"/>
          </w:rPr>
          <w:t>NETRADYNE DISASTER RECOVERY PROCESS.pdf</w:t>
        </w:r>
      </w:hyperlink>
      <w:r>
        <w:t xml:space="preserve"> </w:t>
      </w:r>
    </w:p>
    <w:p w:rsidR="004D0A0E" w:rsidP="00516E98" w:rsidRDefault="004D0A0E" w14:paraId="4990D503" w14:textId="74334452">
      <w:pPr>
        <w:pStyle w:val="Commented"/>
        <w:spacing w:after="0"/>
      </w:pPr>
      <w:hyperlink w:history="1" r:id="rId31">
        <w:r>
          <w:rPr>
            <w:rStyle w:val="Hyperlink"/>
          </w:rPr>
          <w:t>NETRADYNE BUSINESS CONTINUITY PLAN.pdf</w:t>
        </w:r>
      </w:hyperlink>
    </w:p>
    <w:p w:rsidR="004D0A0E" w:rsidP="00516E98" w:rsidRDefault="004D0A0E" w14:paraId="644E7745" w14:textId="050E54D7">
      <w:pPr>
        <w:pStyle w:val="Commented"/>
        <w:spacing w:after="0"/>
      </w:pPr>
      <w:hyperlink w:history="1" r:id="rId32">
        <w:r>
          <w:rPr>
            <w:rStyle w:val="Hyperlink"/>
          </w:rPr>
          <w:t>Netradyne Vulnerability &amp; Patch Management Process.pdf</w:t>
        </w:r>
      </w:hyperlink>
    </w:p>
    <w:p w:rsidR="004D0A0E" w:rsidP="00516E98" w:rsidRDefault="004D0A0E" w14:paraId="32EB6E9B" w14:textId="7BE7EFD7">
      <w:pPr>
        <w:pStyle w:val="Commented"/>
        <w:spacing w:after="0"/>
      </w:pPr>
      <w:hyperlink w:history="1" r:id="rId33">
        <w:r>
          <w:rPr>
            <w:rStyle w:val="Hyperlink"/>
          </w:rPr>
          <w:t>NetradyneSecurityIncidentResponsePlan.pdf</w:t>
        </w:r>
      </w:hyperlink>
    </w:p>
    <w:p w:rsidR="00E7145E" w:rsidP="004B7ED1" w:rsidRDefault="00E7145E" w14:paraId="3920F9AD" w14:textId="76E952F4">
      <w:pPr>
        <w:pStyle w:val="Heading2"/>
      </w:pPr>
      <w:bookmarkStart w:name="_Toc158641224" w:id="25"/>
      <w:r>
        <w:t>Standards</w:t>
      </w:r>
      <w:bookmarkEnd w:id="25"/>
    </w:p>
    <w:p w:rsidR="00E7145E" w:rsidP="00516E98" w:rsidRDefault="00E7145E" w14:paraId="70205406" w14:textId="2AED516F">
      <w:pPr>
        <w:pStyle w:val="Commented"/>
        <w:spacing w:after="0"/>
      </w:pPr>
      <w:r>
        <w:t>&lt;List of (or Links to) related Netradyne Standards&gt;</w:t>
      </w:r>
    </w:p>
    <w:p w:rsidR="00E7145E" w:rsidP="004B7ED1" w:rsidRDefault="00E7145E" w14:paraId="650FBC13" w14:textId="2836DCC6">
      <w:pPr>
        <w:pStyle w:val="Heading2"/>
      </w:pPr>
      <w:bookmarkStart w:name="_Toc158641225" w:id="26"/>
      <w:r>
        <w:t>Miscellaneous</w:t>
      </w:r>
      <w:bookmarkEnd w:id="26"/>
    </w:p>
    <w:p w:rsidR="00E7145E" w:rsidP="00516E98" w:rsidRDefault="00E7145E" w14:paraId="5BC06CAC" w14:textId="69F7B2CF">
      <w:pPr>
        <w:pStyle w:val="Commented"/>
        <w:spacing w:after="0"/>
      </w:pPr>
      <w:r>
        <w:t>&lt;List of (or Links to) any relevant documentation not covered in the list above&gt;</w:t>
      </w:r>
    </w:p>
    <w:p w:rsidR="008357E0" w:rsidP="00516E98" w:rsidRDefault="008357E0" w14:paraId="5E93A822" w14:textId="3612BCF2">
      <w:pPr>
        <w:pStyle w:val="Commented"/>
        <w:spacing w:after="0"/>
      </w:pPr>
    </w:p>
    <w:p w:rsidR="008357E0" w:rsidP="00516E98" w:rsidRDefault="008357E0" w14:paraId="07E75800" w14:textId="70BDD450">
      <w:pPr>
        <w:pStyle w:val="Commented"/>
        <w:spacing w:after="0"/>
      </w:pPr>
    </w:p>
    <w:p w:rsidR="009C2790" w:rsidP="00516E98" w:rsidRDefault="009C2790" w14:paraId="25D7D6FB" w14:textId="77777777">
      <w:pPr>
        <w:pStyle w:val="Commented"/>
        <w:spacing w:after="0"/>
      </w:pPr>
    </w:p>
    <w:p w:rsidR="009C2790" w:rsidP="00516E98" w:rsidRDefault="009C2790" w14:paraId="2EBF2FB0" w14:textId="77777777">
      <w:pPr>
        <w:pStyle w:val="Commented"/>
        <w:spacing w:after="0"/>
      </w:pPr>
    </w:p>
    <w:p w:rsidR="00051868" w:rsidP="00516E98" w:rsidRDefault="00051868" w14:paraId="266EDEB0" w14:textId="77777777">
      <w:pPr>
        <w:pStyle w:val="Commented"/>
        <w:spacing w:after="0"/>
      </w:pPr>
    </w:p>
    <w:p w:rsidR="007F79FF" w:rsidP="009416BB" w:rsidRDefault="007F79FF" w14:paraId="179B14CC" w14:textId="28E54045">
      <w:pPr>
        <w:pStyle w:val="Heading1"/>
      </w:pPr>
      <w:bookmarkStart w:name="_Toc158641226" w:id="27"/>
      <w:r>
        <w:t>Appendix A: Document RACI Matrix</w:t>
      </w:r>
      <w:bookmarkEnd w:id="27"/>
    </w:p>
    <w:tbl>
      <w:tblPr>
        <w:tblStyle w:val="GridTable5Dark"/>
        <w:tblW w:w="9387" w:type="dxa"/>
        <w:tblLook w:val="04A0" w:firstRow="1" w:lastRow="0" w:firstColumn="1" w:lastColumn="0" w:noHBand="0" w:noVBand="1"/>
      </w:tblPr>
      <w:tblGrid>
        <w:gridCol w:w="1563"/>
        <w:gridCol w:w="2097"/>
        <w:gridCol w:w="1470"/>
        <w:gridCol w:w="1377"/>
        <w:gridCol w:w="1323"/>
        <w:gridCol w:w="990"/>
        <w:gridCol w:w="1349"/>
      </w:tblGrid>
      <w:tr w:rsidRPr="009040B7" w:rsidR="00527A00" w:rsidTr="00516E98" w14:paraId="14D60C99" w14:textId="77777777">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EE12C5" w:rsidRDefault="007F79FF" w14:paraId="343A1D4E" w14:textId="5D27055F">
            <w:r w:rsidRPr="009040B7">
              <w:t>Role/Activity</w:t>
            </w:r>
          </w:p>
        </w:tc>
        <w:tc>
          <w:tcPr>
            <w:tcW w:w="1701" w:type="dxa"/>
            <w:vAlign w:val="center"/>
          </w:tcPr>
          <w:p w:rsidRPr="009040B7" w:rsidR="007F79FF" w:rsidP="00EE12C5" w:rsidRDefault="007F79FF" w14:paraId="3482FAC0" w14:textId="270C5434">
            <w:pPr>
              <w:cnfStyle w:val="100000000000" w:firstRow="1" w:lastRow="0" w:firstColumn="0" w:lastColumn="0" w:oddVBand="0" w:evenVBand="0" w:oddHBand="0" w:evenHBand="0" w:firstRowFirstColumn="0" w:firstRowLastColumn="0" w:lastRowFirstColumn="0" w:lastRowLastColumn="0"/>
            </w:pPr>
            <w:r w:rsidRPr="009040B7">
              <w:t>Document Owner/Functional Area Lead</w:t>
            </w:r>
          </w:p>
        </w:tc>
        <w:tc>
          <w:tcPr>
            <w:tcW w:w="1296" w:type="dxa"/>
            <w:vAlign w:val="center"/>
          </w:tcPr>
          <w:p w:rsidRPr="009040B7" w:rsidR="007F79FF" w:rsidP="00EE12C5" w:rsidRDefault="007F79FF" w14:paraId="1FDA612F" w14:textId="25B4D811">
            <w:pPr>
              <w:cnfStyle w:val="100000000000" w:firstRow="1" w:lastRow="0" w:firstColumn="0" w:lastColumn="0" w:oddVBand="0" w:evenVBand="0" w:oddHBand="0" w:evenHBand="0" w:firstRowFirstColumn="0" w:firstRowLastColumn="0" w:lastRowFirstColumn="0" w:lastRowLastColumn="0"/>
            </w:pPr>
            <w:r w:rsidRPr="009040B7">
              <w:t>Document Contributor</w:t>
            </w:r>
          </w:p>
        </w:tc>
        <w:tc>
          <w:tcPr>
            <w:tcW w:w="1296" w:type="dxa"/>
            <w:vAlign w:val="center"/>
          </w:tcPr>
          <w:p w:rsidRPr="009040B7" w:rsidR="007F79FF" w:rsidP="00EE12C5" w:rsidRDefault="007F79FF" w14:paraId="17CEFBDA" w14:textId="6800B944">
            <w:pPr>
              <w:cnfStyle w:val="100000000000" w:firstRow="1" w:lastRow="0" w:firstColumn="0" w:lastColumn="0" w:oddVBand="0" w:evenVBand="0" w:oddHBand="0" w:evenHBand="0" w:firstRowFirstColumn="0" w:firstRowLastColumn="0" w:lastRowFirstColumn="0" w:lastRowLastColumn="0"/>
            </w:pPr>
            <w:r w:rsidRPr="009040B7">
              <w:t>ND Leadership</w:t>
            </w:r>
          </w:p>
        </w:tc>
        <w:tc>
          <w:tcPr>
            <w:tcW w:w="1283" w:type="dxa"/>
            <w:vAlign w:val="center"/>
          </w:tcPr>
          <w:p w:rsidRPr="009040B7" w:rsidR="007F79FF" w:rsidP="00EE12C5" w:rsidRDefault="007F79FF" w14:paraId="7AA0A160" w14:textId="456D67D4">
            <w:pPr>
              <w:cnfStyle w:val="100000000000" w:firstRow="1" w:lastRow="0" w:firstColumn="0" w:lastColumn="0" w:oddVBand="0" w:evenVBand="0" w:oddHBand="0" w:evenHBand="0" w:firstRowFirstColumn="0" w:firstRowLastColumn="0" w:lastRowFirstColumn="0" w:lastRowLastColumn="0"/>
            </w:pPr>
            <w:r w:rsidRPr="009040B7">
              <w:t>Functional Area Team</w:t>
            </w:r>
          </w:p>
        </w:tc>
        <w:tc>
          <w:tcPr>
            <w:tcW w:w="1309" w:type="dxa"/>
            <w:vAlign w:val="center"/>
          </w:tcPr>
          <w:p w:rsidRPr="009040B7" w:rsidR="007F79FF" w:rsidP="00EE12C5" w:rsidRDefault="009040B7" w14:paraId="7F5BCF24" w14:textId="157F31C4">
            <w:pPr>
              <w:cnfStyle w:val="100000000000" w:firstRow="1" w:lastRow="0" w:firstColumn="0" w:lastColumn="0" w:oddVBand="0" w:evenVBand="0" w:oddHBand="0" w:evenHBand="0" w:firstRowFirstColumn="0" w:firstRowLastColumn="0" w:lastRowFirstColumn="0" w:lastRowLastColumn="0"/>
            </w:pPr>
            <w:r>
              <w:t>InfoSec</w:t>
            </w:r>
          </w:p>
        </w:tc>
        <w:tc>
          <w:tcPr>
            <w:tcW w:w="1173" w:type="dxa"/>
            <w:vAlign w:val="center"/>
          </w:tcPr>
          <w:p w:rsidRPr="009040B7" w:rsidR="007F79FF" w:rsidP="00EE12C5" w:rsidRDefault="007F79FF" w14:paraId="00268E3F" w14:textId="082C5215">
            <w:pPr>
              <w:cnfStyle w:val="100000000000" w:firstRow="1" w:lastRow="0" w:firstColumn="0" w:lastColumn="0" w:oddVBand="0" w:evenVBand="0" w:oddHBand="0" w:evenHBand="0" w:firstRowFirstColumn="0" w:firstRowLastColumn="0" w:lastRowFirstColumn="0" w:lastRowLastColumn="0"/>
            </w:pPr>
            <w:r w:rsidRPr="009040B7">
              <w:t xml:space="preserve">All ND </w:t>
            </w:r>
            <w:r w:rsidR="009040B7">
              <w:t>Member(s)</w:t>
            </w:r>
          </w:p>
        </w:tc>
      </w:tr>
      <w:tr w:rsidRPr="009040B7" w:rsidR="00516E98" w:rsidTr="00516E98" w14:paraId="55FEC2CF" w14:textId="7777777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EE12C5" w:rsidRDefault="007F79FF" w14:paraId="3F6EB7EE" w14:textId="31756250">
            <w:r w:rsidRPr="009040B7">
              <w:t>Ensure document is kept current</w:t>
            </w:r>
          </w:p>
        </w:tc>
        <w:tc>
          <w:tcPr>
            <w:tcW w:w="1701" w:type="dxa"/>
            <w:vAlign w:val="center"/>
          </w:tcPr>
          <w:p w:rsidRPr="009040B7" w:rsidR="007F79FF" w:rsidP="00EE12C5" w:rsidRDefault="00157D14" w14:paraId="1592F21E" w14:textId="76F7CB9A">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rsidRPr="009040B7" w:rsidR="007F79FF" w:rsidP="00EE12C5" w:rsidRDefault="00157D14" w14:paraId="415F1568" w14:textId="1B4AD8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rsidRPr="009040B7" w:rsidR="007F79FF" w:rsidP="00EE12C5" w:rsidRDefault="00157D14" w14:paraId="77C50C92" w14:textId="04ABE870">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rsidRPr="009040B7" w:rsidR="007F79FF" w:rsidP="00EE12C5" w:rsidRDefault="00157D14" w14:paraId="5D803C6A" w14:textId="7940964B">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rsidRPr="009040B7" w:rsidR="007F79FF" w:rsidP="00EE12C5" w:rsidRDefault="00157D14" w14:paraId="1B9AA69F" w14:textId="3DD2BD52">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rsidRPr="009040B7" w:rsidR="007F79FF" w:rsidP="00EE12C5" w:rsidRDefault="00157D14" w14:paraId="16F6DBC2" w14:textId="63F991EA">
            <w:pPr>
              <w:cnfStyle w:val="000000100000" w:firstRow="0" w:lastRow="0" w:firstColumn="0" w:lastColumn="0" w:oddVBand="0" w:evenVBand="0" w:oddHBand="1" w:evenHBand="0" w:firstRowFirstColumn="0" w:firstRowLastColumn="0" w:lastRowFirstColumn="0" w:lastRowLastColumn="0"/>
            </w:pPr>
            <w:r>
              <w:t>I</w:t>
            </w:r>
          </w:p>
        </w:tc>
      </w:tr>
      <w:tr w:rsidRPr="009040B7" w:rsidR="009040B7" w:rsidTr="00516E98" w14:paraId="1C184C4C"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EE12C5" w:rsidRDefault="007F79FF" w14:paraId="5C80FF41" w14:textId="2801547E">
            <w:r w:rsidRPr="009040B7">
              <w:t>Ensure stakeholders are kept informed</w:t>
            </w:r>
          </w:p>
        </w:tc>
        <w:tc>
          <w:tcPr>
            <w:tcW w:w="1701" w:type="dxa"/>
            <w:vAlign w:val="center"/>
          </w:tcPr>
          <w:p w:rsidRPr="009040B7" w:rsidR="007F79FF" w:rsidP="00EE12C5" w:rsidRDefault="00157D14" w14:paraId="5BCD4F6E" w14:textId="3333C2F6">
            <w:pPr>
              <w:cnfStyle w:val="000000000000" w:firstRow="0" w:lastRow="0" w:firstColumn="0" w:lastColumn="0" w:oddVBand="0" w:evenVBand="0" w:oddHBand="0" w:evenHBand="0" w:firstRowFirstColumn="0" w:firstRowLastColumn="0" w:lastRowFirstColumn="0" w:lastRowLastColumn="0"/>
            </w:pPr>
            <w:r>
              <w:t>A</w:t>
            </w:r>
          </w:p>
        </w:tc>
        <w:tc>
          <w:tcPr>
            <w:tcW w:w="1296" w:type="dxa"/>
            <w:vAlign w:val="center"/>
          </w:tcPr>
          <w:p w:rsidRPr="009040B7" w:rsidR="007F79FF" w:rsidP="00EE12C5" w:rsidRDefault="00157D14" w14:paraId="6E6D2199" w14:textId="050F8ABD">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rsidRPr="009040B7" w:rsidR="007F79FF" w:rsidP="00EE12C5" w:rsidRDefault="00157D14" w14:paraId="6BAEE756" w14:textId="0F1069DC">
            <w:pPr>
              <w:cnfStyle w:val="000000000000" w:firstRow="0" w:lastRow="0" w:firstColumn="0" w:lastColumn="0" w:oddVBand="0" w:evenVBand="0" w:oddHBand="0" w:evenHBand="0" w:firstRowFirstColumn="0" w:firstRowLastColumn="0" w:lastRowFirstColumn="0" w:lastRowLastColumn="0"/>
            </w:pPr>
            <w:r>
              <w:t>-</w:t>
            </w:r>
          </w:p>
        </w:tc>
        <w:tc>
          <w:tcPr>
            <w:tcW w:w="1283" w:type="dxa"/>
            <w:vAlign w:val="center"/>
          </w:tcPr>
          <w:p w:rsidRPr="009040B7" w:rsidR="007F79FF" w:rsidP="00EE12C5" w:rsidRDefault="00157D14" w14:paraId="2FEDB8B7" w14:textId="404A2BBC">
            <w:pPr>
              <w:cnfStyle w:val="000000000000" w:firstRow="0" w:lastRow="0" w:firstColumn="0" w:lastColumn="0" w:oddVBand="0" w:evenVBand="0" w:oddHBand="0" w:evenHBand="0" w:firstRowFirstColumn="0" w:firstRowLastColumn="0" w:lastRowFirstColumn="0" w:lastRowLastColumn="0"/>
            </w:pPr>
            <w:r>
              <w:t>R</w:t>
            </w:r>
          </w:p>
        </w:tc>
        <w:tc>
          <w:tcPr>
            <w:tcW w:w="1309" w:type="dxa"/>
            <w:vAlign w:val="center"/>
          </w:tcPr>
          <w:p w:rsidRPr="009040B7" w:rsidR="007F79FF" w:rsidP="00EE12C5" w:rsidRDefault="00157D14" w14:paraId="4DD422AA" w14:textId="787C922D">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rsidRPr="009040B7" w:rsidR="007F79FF" w:rsidP="00EE12C5" w:rsidRDefault="00157D14" w14:paraId="5E42B9F5" w14:textId="03B9C6D0">
            <w:pPr>
              <w:cnfStyle w:val="000000000000" w:firstRow="0" w:lastRow="0" w:firstColumn="0" w:lastColumn="0" w:oddVBand="0" w:evenVBand="0" w:oddHBand="0" w:evenHBand="0" w:firstRowFirstColumn="0" w:firstRowLastColumn="0" w:lastRowFirstColumn="0" w:lastRowLastColumn="0"/>
            </w:pPr>
            <w:r>
              <w:t>-</w:t>
            </w:r>
          </w:p>
        </w:tc>
      </w:tr>
      <w:tr w:rsidRPr="009040B7" w:rsidR="00157D14" w:rsidTr="00516E98" w14:paraId="6FF46483" w14:textId="77777777">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EE12C5" w:rsidRDefault="00157D14" w14:paraId="27E20EF7" w14:textId="0AB3A726">
            <w:r w:rsidRPr="009040B7">
              <w:t>Ensure document contains all relevant information</w:t>
            </w:r>
          </w:p>
        </w:tc>
        <w:tc>
          <w:tcPr>
            <w:tcW w:w="1701" w:type="dxa"/>
            <w:vAlign w:val="center"/>
          </w:tcPr>
          <w:p w:rsidRPr="009040B7" w:rsidR="00157D14" w:rsidP="00EE12C5" w:rsidRDefault="00157D14" w14:paraId="2664D90C" w14:textId="090CBB49">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rsidRPr="009040B7" w:rsidR="00157D14" w:rsidP="00EE12C5" w:rsidRDefault="00157D14" w14:paraId="05E7677F" w14:textId="487988F4">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rsidRPr="009040B7" w:rsidR="00157D14" w:rsidP="00EE12C5" w:rsidRDefault="00157D14" w14:paraId="197A2737" w14:textId="19EBA2F7">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rsidRPr="009040B7" w:rsidR="00157D14" w:rsidP="00EE12C5" w:rsidRDefault="00157D14" w14:paraId="7E3F25AB" w14:textId="56E7510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rsidRPr="009040B7" w:rsidR="00157D14" w:rsidP="00EE12C5" w:rsidRDefault="00157D14" w14:paraId="57951644" w14:textId="031C23A8">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rsidRPr="009040B7" w:rsidR="00157D14" w:rsidP="00EE12C5" w:rsidRDefault="00157D14" w14:paraId="0D84265E" w14:textId="69909AA7">
            <w:pPr>
              <w:cnfStyle w:val="000000100000" w:firstRow="0" w:lastRow="0" w:firstColumn="0" w:lastColumn="0" w:oddVBand="0" w:evenVBand="0" w:oddHBand="1" w:evenHBand="0" w:firstRowFirstColumn="0" w:firstRowLastColumn="0" w:lastRowFirstColumn="0" w:lastRowLastColumn="0"/>
            </w:pPr>
            <w:r>
              <w:t>I</w:t>
            </w:r>
          </w:p>
        </w:tc>
      </w:tr>
      <w:tr w:rsidRPr="009040B7" w:rsidR="00157D14" w:rsidTr="00516E98" w14:paraId="25ED2261" w14:textId="77777777">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EE12C5" w:rsidRDefault="00157D14" w14:paraId="74FB817E" w14:textId="0C913142">
            <w:r w:rsidRPr="009040B7">
              <w:t>Ensure document adheres to document governance policy</w:t>
            </w:r>
          </w:p>
        </w:tc>
        <w:tc>
          <w:tcPr>
            <w:tcW w:w="1701" w:type="dxa"/>
            <w:vAlign w:val="center"/>
          </w:tcPr>
          <w:p w:rsidRPr="009040B7" w:rsidR="00157D14" w:rsidP="00EE12C5" w:rsidRDefault="00157D14" w14:paraId="6FA3AF03" w14:textId="7538D603">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rsidRPr="009040B7" w:rsidR="00157D14" w:rsidP="00EE12C5" w:rsidRDefault="00157D14" w14:paraId="757E0A2F" w14:textId="23C1F25B">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rsidRPr="009040B7" w:rsidR="00157D14" w:rsidP="00EE12C5" w:rsidRDefault="00157D14" w14:paraId="7F59B644" w14:textId="4A909E93">
            <w:pPr>
              <w:cnfStyle w:val="000000000000" w:firstRow="0" w:lastRow="0" w:firstColumn="0" w:lastColumn="0" w:oddVBand="0" w:evenVBand="0" w:oddHBand="0" w:evenHBand="0" w:firstRowFirstColumn="0" w:firstRowLastColumn="0" w:lastRowFirstColumn="0" w:lastRowLastColumn="0"/>
            </w:pPr>
            <w:r>
              <w:t>I</w:t>
            </w:r>
          </w:p>
        </w:tc>
        <w:tc>
          <w:tcPr>
            <w:tcW w:w="1283" w:type="dxa"/>
            <w:vAlign w:val="center"/>
          </w:tcPr>
          <w:p w:rsidRPr="009040B7" w:rsidR="00157D14" w:rsidP="00EE12C5" w:rsidRDefault="00157D14" w14:paraId="2FB23F06" w14:textId="2121D072">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rsidRPr="009040B7" w:rsidR="00157D14" w:rsidP="00EE12C5" w:rsidRDefault="00157D14" w14:paraId="64288771" w14:textId="2E068DE9">
            <w:pPr>
              <w:cnfStyle w:val="000000000000" w:firstRow="0" w:lastRow="0" w:firstColumn="0" w:lastColumn="0" w:oddVBand="0" w:evenVBand="0" w:oddHBand="0" w:evenHBand="0" w:firstRowFirstColumn="0" w:firstRowLastColumn="0" w:lastRowFirstColumn="0" w:lastRowLastColumn="0"/>
            </w:pPr>
            <w:r>
              <w:t>R, C</w:t>
            </w:r>
          </w:p>
        </w:tc>
        <w:tc>
          <w:tcPr>
            <w:tcW w:w="1173" w:type="dxa"/>
            <w:vAlign w:val="center"/>
          </w:tcPr>
          <w:p w:rsidRPr="009040B7" w:rsidR="00157D14" w:rsidP="00EE12C5" w:rsidRDefault="00157D14" w14:paraId="01E0F816" w14:textId="0BE3C7F5">
            <w:pPr>
              <w:cnfStyle w:val="000000000000" w:firstRow="0" w:lastRow="0" w:firstColumn="0" w:lastColumn="0" w:oddVBand="0" w:evenVBand="0" w:oddHBand="0" w:evenHBand="0" w:firstRowFirstColumn="0" w:firstRowLastColumn="0" w:lastRowFirstColumn="0" w:lastRowLastColumn="0"/>
            </w:pPr>
            <w:r>
              <w:t>I</w:t>
            </w:r>
          </w:p>
        </w:tc>
      </w:tr>
      <w:tr w:rsidRPr="009040B7" w:rsidR="00157D14" w:rsidTr="00516E98" w14:paraId="36196FB0"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EE12C5" w:rsidRDefault="00157D14" w14:paraId="65C00815" w14:textId="265E816A">
            <w:r w:rsidRPr="009040B7">
              <w:t>Provide SME advice</w:t>
            </w:r>
          </w:p>
        </w:tc>
        <w:tc>
          <w:tcPr>
            <w:tcW w:w="1701" w:type="dxa"/>
            <w:vAlign w:val="center"/>
          </w:tcPr>
          <w:p w:rsidRPr="009040B7" w:rsidR="00157D14" w:rsidP="00EE12C5" w:rsidRDefault="00157D14" w14:paraId="1302E7FF" w14:textId="7F9F6E24">
            <w:pPr>
              <w:cnfStyle w:val="000000100000" w:firstRow="0" w:lastRow="0" w:firstColumn="0" w:lastColumn="0" w:oddVBand="0" w:evenVBand="0" w:oddHBand="1" w:evenHBand="0" w:firstRowFirstColumn="0" w:firstRowLastColumn="0" w:lastRowFirstColumn="0" w:lastRowLastColumn="0"/>
            </w:pPr>
            <w:r>
              <w:t>I, R</w:t>
            </w:r>
          </w:p>
        </w:tc>
        <w:tc>
          <w:tcPr>
            <w:tcW w:w="1296" w:type="dxa"/>
            <w:vAlign w:val="center"/>
          </w:tcPr>
          <w:p w:rsidRPr="009040B7" w:rsidR="00157D14" w:rsidP="00EE12C5" w:rsidRDefault="00157D14" w14:paraId="718AD75C" w14:textId="6D7209E9">
            <w:pPr>
              <w:cnfStyle w:val="000000100000" w:firstRow="0" w:lastRow="0" w:firstColumn="0" w:lastColumn="0" w:oddVBand="0" w:evenVBand="0" w:oddHBand="1" w:evenHBand="0" w:firstRowFirstColumn="0" w:firstRowLastColumn="0" w:lastRowFirstColumn="0" w:lastRowLastColumn="0"/>
            </w:pPr>
            <w:r>
              <w:t>A, R</w:t>
            </w:r>
          </w:p>
        </w:tc>
        <w:tc>
          <w:tcPr>
            <w:tcW w:w="1296" w:type="dxa"/>
            <w:vAlign w:val="center"/>
          </w:tcPr>
          <w:p w:rsidRPr="009040B7" w:rsidR="00157D14" w:rsidP="00EE12C5" w:rsidRDefault="00157D14" w14:paraId="7674C753" w14:textId="48FB9758">
            <w:pPr>
              <w:cnfStyle w:val="000000100000" w:firstRow="0" w:lastRow="0" w:firstColumn="0" w:lastColumn="0" w:oddVBand="0" w:evenVBand="0" w:oddHBand="1" w:evenHBand="0" w:firstRowFirstColumn="0" w:firstRowLastColumn="0" w:lastRowFirstColumn="0" w:lastRowLastColumn="0"/>
            </w:pPr>
            <w:r>
              <w:t>I</w:t>
            </w:r>
          </w:p>
        </w:tc>
        <w:tc>
          <w:tcPr>
            <w:tcW w:w="1283" w:type="dxa"/>
            <w:vAlign w:val="center"/>
          </w:tcPr>
          <w:p w:rsidRPr="009040B7" w:rsidR="00157D14" w:rsidP="00EE12C5" w:rsidRDefault="00157D14" w14:paraId="790FB25C" w14:textId="4DD57BB9">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rsidRPr="009040B7" w:rsidR="00157D14" w:rsidP="00EE12C5" w:rsidRDefault="00157D14" w14:paraId="6A3A7352" w14:textId="1C27E980">
            <w:pPr>
              <w:cnfStyle w:val="000000100000" w:firstRow="0" w:lastRow="0" w:firstColumn="0" w:lastColumn="0" w:oddVBand="0" w:evenVBand="0" w:oddHBand="1" w:evenHBand="0" w:firstRowFirstColumn="0" w:firstRowLastColumn="0" w:lastRowFirstColumn="0" w:lastRowLastColumn="0"/>
            </w:pPr>
            <w:r>
              <w:t>I, C</w:t>
            </w:r>
          </w:p>
        </w:tc>
        <w:tc>
          <w:tcPr>
            <w:tcW w:w="1173" w:type="dxa"/>
            <w:vAlign w:val="center"/>
          </w:tcPr>
          <w:p w:rsidRPr="009040B7" w:rsidR="00157D14" w:rsidP="00EE12C5" w:rsidRDefault="00157D14" w14:paraId="5F671363" w14:textId="7A7B0A01">
            <w:pPr>
              <w:cnfStyle w:val="000000100000" w:firstRow="0" w:lastRow="0" w:firstColumn="0" w:lastColumn="0" w:oddVBand="0" w:evenVBand="0" w:oddHBand="1" w:evenHBand="0" w:firstRowFirstColumn="0" w:firstRowLastColumn="0" w:lastRowFirstColumn="0" w:lastRowLastColumn="0"/>
            </w:pPr>
            <w:r>
              <w:t>I</w:t>
            </w:r>
          </w:p>
        </w:tc>
      </w:tr>
      <w:tr w:rsidRPr="009040B7" w:rsidR="00157D14" w:rsidTr="00516E98" w14:paraId="06908548"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EE12C5" w:rsidRDefault="00157D14" w14:paraId="419BA6CE" w14:textId="09FBE1BA">
            <w:r w:rsidRPr="009040B7">
              <w:t>Gathering and adding document contents</w:t>
            </w:r>
          </w:p>
        </w:tc>
        <w:tc>
          <w:tcPr>
            <w:tcW w:w="1701" w:type="dxa"/>
            <w:vAlign w:val="center"/>
          </w:tcPr>
          <w:p w:rsidRPr="009040B7" w:rsidR="00157D14" w:rsidP="00EE12C5" w:rsidRDefault="00157D14" w14:paraId="0B5B070E" w14:textId="4E7210C6">
            <w:pPr>
              <w:cnfStyle w:val="000000000000" w:firstRow="0" w:lastRow="0" w:firstColumn="0" w:lastColumn="0" w:oddVBand="0" w:evenVBand="0" w:oddHBand="0" w:evenHBand="0" w:firstRowFirstColumn="0" w:firstRowLastColumn="0" w:lastRowFirstColumn="0" w:lastRowLastColumn="0"/>
            </w:pPr>
            <w:r>
              <w:t>I</w:t>
            </w:r>
          </w:p>
        </w:tc>
        <w:tc>
          <w:tcPr>
            <w:tcW w:w="1296" w:type="dxa"/>
            <w:vAlign w:val="center"/>
          </w:tcPr>
          <w:p w:rsidRPr="009040B7" w:rsidR="00157D14" w:rsidP="00EE12C5" w:rsidRDefault="00157D14" w14:paraId="3E2A4BE0" w14:textId="0C3C9BF4">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rsidRPr="009040B7" w:rsidR="00157D14" w:rsidP="00EE12C5" w:rsidRDefault="00157D14" w14:paraId="77AD9528" w14:textId="5D3BC57E">
            <w:pPr>
              <w:cnfStyle w:val="000000000000" w:firstRow="0" w:lastRow="0" w:firstColumn="0" w:lastColumn="0" w:oddVBand="0" w:evenVBand="0" w:oddHBand="0" w:evenHBand="0" w:firstRowFirstColumn="0" w:firstRowLastColumn="0" w:lastRowFirstColumn="0" w:lastRowLastColumn="0"/>
            </w:pPr>
            <w:r>
              <w:t>I, C</w:t>
            </w:r>
          </w:p>
        </w:tc>
        <w:tc>
          <w:tcPr>
            <w:tcW w:w="1283" w:type="dxa"/>
            <w:vAlign w:val="center"/>
          </w:tcPr>
          <w:p w:rsidRPr="009040B7" w:rsidR="00157D14" w:rsidP="00EE12C5" w:rsidRDefault="00157D14" w14:paraId="594015FE" w14:textId="591459CC">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rsidRPr="009040B7" w:rsidR="00157D14" w:rsidP="00EE12C5" w:rsidRDefault="00157D14" w14:paraId="0A9891DC" w14:textId="7CC5DDF1">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rsidRPr="009040B7" w:rsidR="00157D14" w:rsidP="00EE12C5" w:rsidRDefault="00157D14" w14:paraId="1A205D92" w14:textId="4DE069E6">
            <w:pPr>
              <w:cnfStyle w:val="000000000000" w:firstRow="0" w:lastRow="0" w:firstColumn="0" w:lastColumn="0" w:oddVBand="0" w:evenVBand="0" w:oddHBand="0" w:evenHBand="0" w:firstRowFirstColumn="0" w:firstRowLastColumn="0" w:lastRowFirstColumn="0" w:lastRowLastColumn="0"/>
            </w:pPr>
            <w:r>
              <w:t>I</w:t>
            </w:r>
          </w:p>
        </w:tc>
      </w:tr>
      <w:tr w:rsidRPr="009040B7" w:rsidR="00157D14" w:rsidTr="00516E98" w14:paraId="54E0E52B"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EE12C5" w:rsidRDefault="00157D14" w14:paraId="6591CD6A" w14:textId="0E5E2866">
            <w:r w:rsidRPr="009040B7">
              <w:t>Document Approval</w:t>
            </w:r>
          </w:p>
        </w:tc>
        <w:tc>
          <w:tcPr>
            <w:tcW w:w="1701" w:type="dxa"/>
            <w:vAlign w:val="center"/>
          </w:tcPr>
          <w:p w:rsidRPr="009040B7" w:rsidR="00157D14" w:rsidP="00EE12C5" w:rsidRDefault="00157D14" w14:paraId="25824396" w14:textId="055A880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rsidRPr="009040B7" w:rsidR="00157D14" w:rsidP="00EE12C5" w:rsidRDefault="00157D14" w14:paraId="1167906F" w14:textId="0CC1D1DE">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rsidRPr="009040B7" w:rsidR="00157D14" w:rsidP="00EE12C5" w:rsidRDefault="00157D14" w14:paraId="4D1CBBFA" w14:textId="711397B5">
            <w:pPr>
              <w:cnfStyle w:val="000000100000" w:firstRow="0" w:lastRow="0" w:firstColumn="0" w:lastColumn="0" w:oddVBand="0" w:evenVBand="0" w:oddHBand="1" w:evenHBand="0" w:firstRowFirstColumn="0" w:firstRowLastColumn="0" w:lastRowFirstColumn="0" w:lastRowLastColumn="0"/>
            </w:pPr>
            <w:r>
              <w:t>I, R</w:t>
            </w:r>
          </w:p>
        </w:tc>
        <w:tc>
          <w:tcPr>
            <w:tcW w:w="1283" w:type="dxa"/>
            <w:vAlign w:val="center"/>
          </w:tcPr>
          <w:p w:rsidRPr="009040B7" w:rsidR="00157D14" w:rsidP="00EE12C5" w:rsidRDefault="00157D14" w14:paraId="626454DD" w14:textId="6C9E68EC">
            <w:pPr>
              <w:cnfStyle w:val="000000100000" w:firstRow="0" w:lastRow="0" w:firstColumn="0" w:lastColumn="0" w:oddVBand="0" w:evenVBand="0" w:oddHBand="1" w:evenHBand="0" w:firstRowFirstColumn="0" w:firstRowLastColumn="0" w:lastRowFirstColumn="0" w:lastRowLastColumn="0"/>
            </w:pPr>
            <w:r>
              <w:t>I</w:t>
            </w:r>
          </w:p>
        </w:tc>
        <w:tc>
          <w:tcPr>
            <w:tcW w:w="1309" w:type="dxa"/>
            <w:vAlign w:val="center"/>
          </w:tcPr>
          <w:p w:rsidRPr="009040B7" w:rsidR="00157D14" w:rsidP="00EE12C5" w:rsidRDefault="00157D14" w14:paraId="3E188378" w14:textId="20E4341D">
            <w:pPr>
              <w:cnfStyle w:val="000000100000" w:firstRow="0" w:lastRow="0" w:firstColumn="0" w:lastColumn="0" w:oddVBand="0" w:evenVBand="0" w:oddHBand="1" w:evenHBand="0" w:firstRowFirstColumn="0" w:firstRowLastColumn="0" w:lastRowFirstColumn="0" w:lastRowLastColumn="0"/>
            </w:pPr>
            <w:r>
              <w:t>I, R</w:t>
            </w:r>
          </w:p>
        </w:tc>
        <w:tc>
          <w:tcPr>
            <w:tcW w:w="1173" w:type="dxa"/>
            <w:vAlign w:val="center"/>
          </w:tcPr>
          <w:p w:rsidRPr="009040B7" w:rsidR="00157D14" w:rsidP="00EE12C5" w:rsidRDefault="00157D14" w14:paraId="4D785C9F" w14:textId="682F7EF6">
            <w:pPr>
              <w:cnfStyle w:val="000000100000" w:firstRow="0" w:lastRow="0" w:firstColumn="0" w:lastColumn="0" w:oddVBand="0" w:evenVBand="0" w:oddHBand="1" w:evenHBand="0" w:firstRowFirstColumn="0" w:firstRowLastColumn="0" w:lastRowFirstColumn="0" w:lastRowLastColumn="0"/>
            </w:pPr>
            <w:r>
              <w:t>I</w:t>
            </w:r>
          </w:p>
        </w:tc>
      </w:tr>
    </w:tbl>
    <w:tbl>
      <w:tblPr>
        <w:tblStyle w:val="ListTable7Colorful"/>
        <w:tblW w:w="0" w:type="auto"/>
        <w:tblLook w:val="04A0" w:firstRow="1" w:lastRow="0" w:firstColumn="1" w:lastColumn="0" w:noHBand="0" w:noVBand="1"/>
      </w:tblPr>
      <w:tblGrid>
        <w:gridCol w:w="590"/>
        <w:gridCol w:w="2442"/>
      </w:tblGrid>
      <w:tr w:rsidRPr="007F79FF" w:rsidR="007F79FF" w:rsidTr="009416BB" w14:paraId="54548F2D" w14:textId="61C06C15">
        <w:trPr>
          <w:cnfStyle w:val="100000000000" w:firstRow="1" w:lastRow="0" w:firstColumn="0" w:lastColumn="0" w:oddVBand="0" w:evenVBand="0" w:oddHBand="0" w:evenHBand="0" w:firstRowFirstColumn="0" w:firstRowLastColumn="0" w:lastRowFirstColumn="0" w:lastRowLastColumn="0"/>
          <w:trHeight w:val="329" w:hRule="exact"/>
        </w:trPr>
        <w:tc>
          <w:tcPr>
            <w:cnfStyle w:val="001000000100" w:firstRow="0" w:lastRow="0" w:firstColumn="1" w:lastColumn="0" w:oddVBand="0" w:evenVBand="0" w:oddHBand="0" w:evenHBand="0" w:firstRowFirstColumn="1" w:firstRowLastColumn="0" w:lastRowFirstColumn="0" w:lastRowLastColumn="0"/>
            <w:tcW w:w="293" w:type="dxa"/>
            <w:vAlign w:val="center"/>
          </w:tcPr>
          <w:p w:rsidRPr="009416BB" w:rsidR="007F79FF" w:rsidP="00EE12C5" w:rsidRDefault="007F79FF" w14:paraId="7B7BB826" w14:textId="338ECCFC">
            <w:r w:rsidRPr="009416BB">
              <w:t>Key</w:t>
            </w:r>
          </w:p>
        </w:tc>
        <w:tc>
          <w:tcPr>
            <w:tcW w:w="2442" w:type="dxa"/>
            <w:vAlign w:val="center"/>
          </w:tcPr>
          <w:p w:rsidRPr="009416BB" w:rsidR="007F79FF" w:rsidP="00EE12C5" w:rsidRDefault="007F79FF" w14:paraId="2DFF5818" w14:textId="77777777">
            <w:pPr>
              <w:cnfStyle w:val="100000000000" w:firstRow="1" w:lastRow="0" w:firstColumn="0" w:lastColumn="0" w:oddVBand="0" w:evenVBand="0" w:oddHBand="0" w:evenHBand="0" w:firstRowFirstColumn="0" w:firstRowLastColumn="0" w:lastRowFirstColumn="0" w:lastRowLastColumn="0"/>
            </w:pPr>
          </w:p>
        </w:tc>
      </w:tr>
      <w:tr w:rsidRPr="007F79FF" w:rsidR="007F79FF" w:rsidTr="009416BB" w14:paraId="3090ECE7" w14:textId="37E34ADD">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EE12C5" w:rsidRDefault="007F79FF" w14:paraId="4B059779" w14:textId="207AD00B">
            <w:pPr>
              <w:rPr>
                <w:b/>
                <w:bCs/>
                <w:szCs w:val="18"/>
              </w:rPr>
            </w:pPr>
            <w:r w:rsidRPr="009040B7">
              <w:rPr>
                <w:szCs w:val="18"/>
              </w:rPr>
              <w:t xml:space="preserve">R </w:t>
            </w:r>
          </w:p>
        </w:tc>
        <w:tc>
          <w:tcPr>
            <w:tcW w:w="2442" w:type="dxa"/>
            <w:vAlign w:val="center"/>
          </w:tcPr>
          <w:p w:rsidRPr="009040B7" w:rsidR="007F79FF" w:rsidP="00EE12C5" w:rsidRDefault="007F79FF" w14:paraId="25BBD854" w14:textId="34DF6D74">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Responsible</w:t>
            </w:r>
          </w:p>
        </w:tc>
      </w:tr>
      <w:tr w:rsidRPr="007F79FF" w:rsidR="007F79FF" w:rsidTr="009416BB" w14:paraId="3779D4CB" w14:textId="3266D26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EE12C5" w:rsidRDefault="007F79FF" w14:paraId="42DD1BA1" w14:textId="3BA5CA6F">
            <w:pPr>
              <w:rPr>
                <w:b/>
                <w:bCs/>
                <w:szCs w:val="18"/>
              </w:rPr>
            </w:pPr>
            <w:r w:rsidRPr="009040B7">
              <w:rPr>
                <w:szCs w:val="18"/>
              </w:rPr>
              <w:t>A</w:t>
            </w:r>
          </w:p>
        </w:tc>
        <w:tc>
          <w:tcPr>
            <w:tcW w:w="2442" w:type="dxa"/>
            <w:vAlign w:val="center"/>
          </w:tcPr>
          <w:p w:rsidRPr="009040B7" w:rsidR="007F79FF" w:rsidP="00EE12C5" w:rsidRDefault="007F79FF" w14:paraId="2DA282A0" w14:textId="16DE227B">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Accountable</w:t>
            </w:r>
          </w:p>
        </w:tc>
      </w:tr>
      <w:tr w:rsidRPr="007F79FF" w:rsidR="007F79FF" w:rsidTr="009416BB" w14:paraId="0FD7ED1A" w14:textId="4E79F95C">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EE12C5" w:rsidRDefault="007F79FF" w14:paraId="57E53966" w14:textId="4630646F">
            <w:pPr>
              <w:rPr>
                <w:b/>
                <w:bCs/>
                <w:szCs w:val="18"/>
              </w:rPr>
            </w:pPr>
            <w:r w:rsidRPr="009040B7">
              <w:rPr>
                <w:szCs w:val="18"/>
              </w:rPr>
              <w:t>C</w:t>
            </w:r>
          </w:p>
        </w:tc>
        <w:tc>
          <w:tcPr>
            <w:tcW w:w="2442" w:type="dxa"/>
            <w:vAlign w:val="center"/>
          </w:tcPr>
          <w:p w:rsidRPr="009040B7" w:rsidR="007F79FF" w:rsidP="00EE12C5" w:rsidRDefault="007F79FF" w14:paraId="386011F8" w14:textId="0FE7D0A0">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Consulted</w:t>
            </w:r>
          </w:p>
        </w:tc>
      </w:tr>
      <w:tr w:rsidRPr="007F79FF" w:rsidR="007F79FF" w:rsidTr="009416BB" w14:paraId="15632FBC" w14:textId="589E1EE0">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EE12C5" w:rsidRDefault="007F79FF" w14:paraId="69AFB943" w14:textId="49262175">
            <w:pPr>
              <w:rPr>
                <w:b/>
                <w:bCs/>
                <w:szCs w:val="18"/>
              </w:rPr>
            </w:pPr>
            <w:r w:rsidRPr="009040B7">
              <w:rPr>
                <w:szCs w:val="18"/>
              </w:rPr>
              <w:t>I</w:t>
            </w:r>
          </w:p>
        </w:tc>
        <w:tc>
          <w:tcPr>
            <w:tcW w:w="2442" w:type="dxa"/>
            <w:vAlign w:val="center"/>
          </w:tcPr>
          <w:p w:rsidRPr="009040B7" w:rsidR="007F79FF" w:rsidP="00EE12C5" w:rsidRDefault="007F79FF" w14:paraId="451351AA" w14:textId="643BF953">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Informed</w:t>
            </w:r>
          </w:p>
        </w:tc>
      </w:tr>
    </w:tbl>
    <w:p w:rsidR="007F79FF" w:rsidP="004B7ED1" w:rsidRDefault="007F79FF" w14:paraId="3ABD5475" w14:textId="77777777">
      <w:pPr>
        <w:pStyle w:val="MainHeading"/>
        <w:numPr>
          <w:ilvl w:val="0"/>
          <w:numId w:val="0"/>
        </w:numPr>
        <w:ind w:left="720"/>
      </w:pPr>
    </w:p>
    <w:p w:rsidR="00B27B63" w:rsidP="0066248A" w:rsidRDefault="00B27B63" w14:paraId="023C9CC2" w14:textId="77777777">
      <w:pPr>
        <w:spacing w:after="300"/>
        <w:textAlignment w:val="top"/>
        <w:rPr>
          <w:rFonts w:ascii="raleway-bold" w:hAnsi="raleway-bold"/>
          <w:b/>
          <w:bCs/>
          <w:lang w:eastAsia="en-IN"/>
        </w:rPr>
      </w:pPr>
    </w:p>
    <w:sectPr w:rsidR="00B27B63" w:rsidSect="00171E24">
      <w:headerReference w:type="default" r:id="rId34"/>
      <w:footerReference w:type="default" r:id="rId35"/>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C0619" w:rsidP="00566B19" w:rsidRDefault="00FC0619" w14:paraId="6EDC88C3" w14:textId="77777777">
      <w:r>
        <w:separator/>
      </w:r>
    </w:p>
  </w:endnote>
  <w:endnote w:type="continuationSeparator" w:id="0">
    <w:p w:rsidR="00FC0619" w:rsidP="00566B19" w:rsidRDefault="00FC0619" w14:paraId="11FC8E3A" w14:textId="77777777">
      <w:r>
        <w:continuationSeparator/>
      </w:r>
    </w:p>
  </w:endnote>
  <w:endnote w:type="continuationNotice" w:id="1">
    <w:p w:rsidR="00FC0619" w:rsidRDefault="00FC0619" w14:paraId="2425C6F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w:charset w:val="4D"/>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Bookman Old Style">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bold">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rsidR="004946D9" w:rsidRDefault="004946D9" w14:paraId="43663197" w14:textId="252365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1DD1" w:rsidRDefault="005C1DD1" w14:paraId="5499E6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C0619" w:rsidP="00566B19" w:rsidRDefault="00FC0619" w14:paraId="09FD46B3" w14:textId="77777777">
      <w:r>
        <w:separator/>
      </w:r>
    </w:p>
  </w:footnote>
  <w:footnote w:type="continuationSeparator" w:id="0">
    <w:p w:rsidR="00FC0619" w:rsidP="00566B19" w:rsidRDefault="00FC0619" w14:paraId="681D05AD" w14:textId="77777777">
      <w:r>
        <w:continuationSeparator/>
      </w:r>
    </w:p>
  </w:footnote>
  <w:footnote w:type="continuationNotice" w:id="1">
    <w:p w:rsidR="00FC0619" w:rsidRDefault="00FC0619" w14:paraId="224013E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66B19" w:rsidRDefault="00317EF6" w14:paraId="57DA246D" w14:textId="620166C5">
    <w:pPr>
      <w:pStyle w:val="Header"/>
    </w:pPr>
    <w:r>
      <w:rPr>
        <w:noProof/>
      </w:rPr>
      <w:drawing>
        <wp:inline distT="0" distB="0" distL="0" distR="0" wp14:anchorId="6AD073FF" wp14:editId="2C725E16">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rsidR="00566B19" w:rsidRDefault="00566B19" w14:paraId="7DCA923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C5511"/>
    <w:multiLevelType w:val="multilevel"/>
    <w:tmpl w:val="5A5AC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83E45E2"/>
    <w:multiLevelType w:val="multilevel"/>
    <w:tmpl w:val="437EC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B8B5AE1"/>
    <w:multiLevelType w:val="hybridMultilevel"/>
    <w:tmpl w:val="7BBA13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DB72F9"/>
    <w:multiLevelType w:val="multilevel"/>
    <w:tmpl w:val="039CF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8433A54"/>
    <w:multiLevelType w:val="multilevel"/>
    <w:tmpl w:val="D3F4E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4D645A2"/>
    <w:multiLevelType w:val="hybridMultilevel"/>
    <w:tmpl w:val="22A2F05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7"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26EDC"/>
    <w:multiLevelType w:val="hybridMultilevel"/>
    <w:tmpl w:val="9162D1A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9" w15:restartNumberingAfterBreak="0">
    <w:nsid w:val="50E5314D"/>
    <w:multiLevelType w:val="multilevel"/>
    <w:tmpl w:val="15909F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4463D05"/>
    <w:multiLevelType w:val="multilevel"/>
    <w:tmpl w:val="782A5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A885CE0"/>
    <w:multiLevelType w:val="hybridMultilevel"/>
    <w:tmpl w:val="F5F2F4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4"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C036DE"/>
    <w:multiLevelType w:val="multilevel"/>
    <w:tmpl w:val="5F606B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53969F6"/>
    <w:multiLevelType w:val="multilevel"/>
    <w:tmpl w:val="CE0C3CD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726" w:hanging="576"/>
      </w:pPr>
      <w:rPr>
        <w:rFonts w:hint="default" w:ascii="Verdana" w:hAnsi="Verdana"/>
        <w:b/>
        <w:bCs/>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075909">
    <w:abstractNumId w:val="5"/>
  </w:num>
  <w:num w:numId="2" w16cid:durableId="748230596">
    <w:abstractNumId w:val="15"/>
  </w:num>
  <w:num w:numId="3" w16cid:durableId="1273323708">
    <w:abstractNumId w:val="9"/>
  </w:num>
  <w:num w:numId="4" w16cid:durableId="1731689365">
    <w:abstractNumId w:val="0"/>
  </w:num>
  <w:num w:numId="5" w16cid:durableId="900601843">
    <w:abstractNumId w:val="10"/>
  </w:num>
  <w:num w:numId="6" w16cid:durableId="1632517957">
    <w:abstractNumId w:val="1"/>
  </w:num>
  <w:num w:numId="7" w16cid:durableId="1861821461">
    <w:abstractNumId w:val="4"/>
  </w:num>
  <w:num w:numId="8" w16cid:durableId="1325550946">
    <w:abstractNumId w:val="14"/>
  </w:num>
  <w:num w:numId="9" w16cid:durableId="1518159581">
    <w:abstractNumId w:val="16"/>
  </w:num>
  <w:num w:numId="10" w16cid:durableId="1909530848">
    <w:abstractNumId w:val="6"/>
  </w:num>
  <w:num w:numId="11" w16cid:durableId="368065198">
    <w:abstractNumId w:val="7"/>
  </w:num>
  <w:num w:numId="12" w16cid:durableId="556164604">
    <w:abstractNumId w:val="16"/>
  </w:num>
  <w:num w:numId="13" w16cid:durableId="1029650255">
    <w:abstractNumId w:val="16"/>
  </w:num>
  <w:num w:numId="14" w16cid:durableId="1959482899">
    <w:abstractNumId w:val="16"/>
  </w:num>
  <w:num w:numId="15" w16cid:durableId="790637910">
    <w:abstractNumId w:val="16"/>
  </w:num>
  <w:num w:numId="16" w16cid:durableId="2130470034">
    <w:abstractNumId w:val="16"/>
  </w:num>
  <w:num w:numId="17" w16cid:durableId="42364939">
    <w:abstractNumId w:val="16"/>
  </w:num>
  <w:num w:numId="18" w16cid:durableId="2084985480">
    <w:abstractNumId w:val="17"/>
  </w:num>
  <w:num w:numId="19" w16cid:durableId="1406418453">
    <w:abstractNumId w:val="12"/>
  </w:num>
  <w:num w:numId="20" w16cid:durableId="1559785280">
    <w:abstractNumId w:val="3"/>
  </w:num>
  <w:num w:numId="21" w16cid:durableId="1972517842">
    <w:abstractNumId w:val="2"/>
  </w:num>
  <w:num w:numId="22" w16cid:durableId="1265847482">
    <w:abstractNumId w:val="13"/>
  </w:num>
  <w:num w:numId="23" w16cid:durableId="1600914553">
    <w:abstractNumId w:val="8"/>
  </w:num>
  <w:num w:numId="24" w16cid:durableId="1047530251">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3833"/>
    <w:rsid w:val="00020FEF"/>
    <w:rsid w:val="00027D9A"/>
    <w:rsid w:val="00033B1D"/>
    <w:rsid w:val="00040570"/>
    <w:rsid w:val="00051868"/>
    <w:rsid w:val="00057CC2"/>
    <w:rsid w:val="0006246B"/>
    <w:rsid w:val="000703DD"/>
    <w:rsid w:val="00070A7E"/>
    <w:rsid w:val="0007474F"/>
    <w:rsid w:val="000753D8"/>
    <w:rsid w:val="00077E29"/>
    <w:rsid w:val="00087D55"/>
    <w:rsid w:val="000B1A62"/>
    <w:rsid w:val="000F55F1"/>
    <w:rsid w:val="001037DF"/>
    <w:rsid w:val="00103D97"/>
    <w:rsid w:val="0011600F"/>
    <w:rsid w:val="001205C4"/>
    <w:rsid w:val="00133812"/>
    <w:rsid w:val="001401D0"/>
    <w:rsid w:val="00143725"/>
    <w:rsid w:val="001577AE"/>
    <w:rsid w:val="00157D14"/>
    <w:rsid w:val="00160400"/>
    <w:rsid w:val="00171E24"/>
    <w:rsid w:val="00180BB2"/>
    <w:rsid w:val="00186010"/>
    <w:rsid w:val="001910C3"/>
    <w:rsid w:val="00194475"/>
    <w:rsid w:val="001A5CC0"/>
    <w:rsid w:val="001B3830"/>
    <w:rsid w:val="001C650C"/>
    <w:rsid w:val="001F1A9D"/>
    <w:rsid w:val="001F2CE2"/>
    <w:rsid w:val="0020114C"/>
    <w:rsid w:val="0021687C"/>
    <w:rsid w:val="00224622"/>
    <w:rsid w:val="0022574F"/>
    <w:rsid w:val="002332D6"/>
    <w:rsid w:val="00234765"/>
    <w:rsid w:val="00242C48"/>
    <w:rsid w:val="00255056"/>
    <w:rsid w:val="00260FB7"/>
    <w:rsid w:val="0026641D"/>
    <w:rsid w:val="00282A09"/>
    <w:rsid w:val="0029339C"/>
    <w:rsid w:val="002979B6"/>
    <w:rsid w:val="002A081E"/>
    <w:rsid w:val="002E270E"/>
    <w:rsid w:val="00300F05"/>
    <w:rsid w:val="003049B0"/>
    <w:rsid w:val="00317EF6"/>
    <w:rsid w:val="0033258F"/>
    <w:rsid w:val="003344BF"/>
    <w:rsid w:val="00342932"/>
    <w:rsid w:val="00373998"/>
    <w:rsid w:val="0039466B"/>
    <w:rsid w:val="00397D9E"/>
    <w:rsid w:val="003A37FB"/>
    <w:rsid w:val="003A5D75"/>
    <w:rsid w:val="003B3B91"/>
    <w:rsid w:val="003C62F3"/>
    <w:rsid w:val="003D3C2E"/>
    <w:rsid w:val="003E56AC"/>
    <w:rsid w:val="003F411E"/>
    <w:rsid w:val="004019E5"/>
    <w:rsid w:val="00407E4A"/>
    <w:rsid w:val="00421563"/>
    <w:rsid w:val="004355C9"/>
    <w:rsid w:val="0045375F"/>
    <w:rsid w:val="004723FC"/>
    <w:rsid w:val="00480B40"/>
    <w:rsid w:val="0048521D"/>
    <w:rsid w:val="00493828"/>
    <w:rsid w:val="00494663"/>
    <w:rsid w:val="004946D9"/>
    <w:rsid w:val="00495CBA"/>
    <w:rsid w:val="004A7248"/>
    <w:rsid w:val="004B283C"/>
    <w:rsid w:val="004B39EB"/>
    <w:rsid w:val="004B6031"/>
    <w:rsid w:val="004B7ED1"/>
    <w:rsid w:val="004C7E5B"/>
    <w:rsid w:val="004D0629"/>
    <w:rsid w:val="004D0A0E"/>
    <w:rsid w:val="004E3AB1"/>
    <w:rsid w:val="004F02CB"/>
    <w:rsid w:val="004F1A59"/>
    <w:rsid w:val="005067F1"/>
    <w:rsid w:val="00512F6E"/>
    <w:rsid w:val="00515766"/>
    <w:rsid w:val="00516E98"/>
    <w:rsid w:val="00527A00"/>
    <w:rsid w:val="00530F4B"/>
    <w:rsid w:val="005355B3"/>
    <w:rsid w:val="005433B3"/>
    <w:rsid w:val="0055200A"/>
    <w:rsid w:val="00556C86"/>
    <w:rsid w:val="0056437D"/>
    <w:rsid w:val="00566B19"/>
    <w:rsid w:val="00573D76"/>
    <w:rsid w:val="00575D8A"/>
    <w:rsid w:val="005802F2"/>
    <w:rsid w:val="005912E7"/>
    <w:rsid w:val="00596E2D"/>
    <w:rsid w:val="005A186C"/>
    <w:rsid w:val="005A6612"/>
    <w:rsid w:val="005B7CBB"/>
    <w:rsid w:val="005C1DD1"/>
    <w:rsid w:val="005D42AE"/>
    <w:rsid w:val="005E2B3C"/>
    <w:rsid w:val="005F6750"/>
    <w:rsid w:val="006032C4"/>
    <w:rsid w:val="006048FC"/>
    <w:rsid w:val="00634A37"/>
    <w:rsid w:val="00650B52"/>
    <w:rsid w:val="0065433A"/>
    <w:rsid w:val="006555C5"/>
    <w:rsid w:val="0066248A"/>
    <w:rsid w:val="00664202"/>
    <w:rsid w:val="00674274"/>
    <w:rsid w:val="006869F9"/>
    <w:rsid w:val="006A5BC0"/>
    <w:rsid w:val="006B373A"/>
    <w:rsid w:val="006B7B46"/>
    <w:rsid w:val="006B7BA8"/>
    <w:rsid w:val="006D13A2"/>
    <w:rsid w:val="006D79D6"/>
    <w:rsid w:val="006E7E60"/>
    <w:rsid w:val="006E7FF5"/>
    <w:rsid w:val="006F2B88"/>
    <w:rsid w:val="007477F0"/>
    <w:rsid w:val="00750842"/>
    <w:rsid w:val="007512C0"/>
    <w:rsid w:val="00764234"/>
    <w:rsid w:val="0077063E"/>
    <w:rsid w:val="00771B71"/>
    <w:rsid w:val="00780F42"/>
    <w:rsid w:val="00782A76"/>
    <w:rsid w:val="00797AD4"/>
    <w:rsid w:val="007D0E88"/>
    <w:rsid w:val="007E0BF6"/>
    <w:rsid w:val="007F06FC"/>
    <w:rsid w:val="007F2F1A"/>
    <w:rsid w:val="007F79FF"/>
    <w:rsid w:val="00806749"/>
    <w:rsid w:val="00815796"/>
    <w:rsid w:val="0083002E"/>
    <w:rsid w:val="00834350"/>
    <w:rsid w:val="008357E0"/>
    <w:rsid w:val="00847670"/>
    <w:rsid w:val="008547AA"/>
    <w:rsid w:val="00865E59"/>
    <w:rsid w:val="008761A5"/>
    <w:rsid w:val="008770F2"/>
    <w:rsid w:val="008840B9"/>
    <w:rsid w:val="008931D5"/>
    <w:rsid w:val="00894678"/>
    <w:rsid w:val="00894E0A"/>
    <w:rsid w:val="008A7B4B"/>
    <w:rsid w:val="008B3BF0"/>
    <w:rsid w:val="008D0DDB"/>
    <w:rsid w:val="008D4723"/>
    <w:rsid w:val="009040B7"/>
    <w:rsid w:val="0090490F"/>
    <w:rsid w:val="009055AB"/>
    <w:rsid w:val="00906020"/>
    <w:rsid w:val="00915CA2"/>
    <w:rsid w:val="00917C6A"/>
    <w:rsid w:val="00925CCB"/>
    <w:rsid w:val="009279B2"/>
    <w:rsid w:val="00941332"/>
    <w:rsid w:val="009416BB"/>
    <w:rsid w:val="00943CEC"/>
    <w:rsid w:val="0095030E"/>
    <w:rsid w:val="00951F16"/>
    <w:rsid w:val="00954F0C"/>
    <w:rsid w:val="00961A60"/>
    <w:rsid w:val="00970658"/>
    <w:rsid w:val="00975C94"/>
    <w:rsid w:val="00997E51"/>
    <w:rsid w:val="009A1EA0"/>
    <w:rsid w:val="009A40F3"/>
    <w:rsid w:val="009A76BF"/>
    <w:rsid w:val="009C005D"/>
    <w:rsid w:val="009C0F24"/>
    <w:rsid w:val="009C2790"/>
    <w:rsid w:val="009C36DA"/>
    <w:rsid w:val="009C5E16"/>
    <w:rsid w:val="009D6DC2"/>
    <w:rsid w:val="009E3CCB"/>
    <w:rsid w:val="00A153BE"/>
    <w:rsid w:val="00A26817"/>
    <w:rsid w:val="00A30847"/>
    <w:rsid w:val="00A4246B"/>
    <w:rsid w:val="00A53A4F"/>
    <w:rsid w:val="00A6523B"/>
    <w:rsid w:val="00A6558B"/>
    <w:rsid w:val="00A65CBF"/>
    <w:rsid w:val="00A8542F"/>
    <w:rsid w:val="00AA1EE2"/>
    <w:rsid w:val="00AC750F"/>
    <w:rsid w:val="00AD77E7"/>
    <w:rsid w:val="00AE70C3"/>
    <w:rsid w:val="00AE7D45"/>
    <w:rsid w:val="00AF08EF"/>
    <w:rsid w:val="00AF746E"/>
    <w:rsid w:val="00B20D1A"/>
    <w:rsid w:val="00B21932"/>
    <w:rsid w:val="00B22AB2"/>
    <w:rsid w:val="00B23147"/>
    <w:rsid w:val="00B27B63"/>
    <w:rsid w:val="00B4582B"/>
    <w:rsid w:val="00B54F7C"/>
    <w:rsid w:val="00B57160"/>
    <w:rsid w:val="00B60416"/>
    <w:rsid w:val="00B650A7"/>
    <w:rsid w:val="00B67D39"/>
    <w:rsid w:val="00B722FD"/>
    <w:rsid w:val="00B93495"/>
    <w:rsid w:val="00BA787C"/>
    <w:rsid w:val="00BB30B0"/>
    <w:rsid w:val="00BD236A"/>
    <w:rsid w:val="00BD4458"/>
    <w:rsid w:val="00BD6BE2"/>
    <w:rsid w:val="00BE7400"/>
    <w:rsid w:val="00C017A3"/>
    <w:rsid w:val="00C102E3"/>
    <w:rsid w:val="00C32BFD"/>
    <w:rsid w:val="00C40496"/>
    <w:rsid w:val="00C46F3B"/>
    <w:rsid w:val="00C51190"/>
    <w:rsid w:val="00C54BA5"/>
    <w:rsid w:val="00C56D3E"/>
    <w:rsid w:val="00C8142F"/>
    <w:rsid w:val="00C86A5F"/>
    <w:rsid w:val="00C9059C"/>
    <w:rsid w:val="00C906BF"/>
    <w:rsid w:val="00C911A6"/>
    <w:rsid w:val="00C9461E"/>
    <w:rsid w:val="00CB33B8"/>
    <w:rsid w:val="00CC59A6"/>
    <w:rsid w:val="00CD38A2"/>
    <w:rsid w:val="00CE3023"/>
    <w:rsid w:val="00CE424F"/>
    <w:rsid w:val="00CF5210"/>
    <w:rsid w:val="00D038F7"/>
    <w:rsid w:val="00D222CB"/>
    <w:rsid w:val="00D37018"/>
    <w:rsid w:val="00D373CA"/>
    <w:rsid w:val="00D622C3"/>
    <w:rsid w:val="00D7367A"/>
    <w:rsid w:val="00D77216"/>
    <w:rsid w:val="00D77AC7"/>
    <w:rsid w:val="00D77C8A"/>
    <w:rsid w:val="00D83A03"/>
    <w:rsid w:val="00D91024"/>
    <w:rsid w:val="00D9424A"/>
    <w:rsid w:val="00D94F57"/>
    <w:rsid w:val="00DA6D3D"/>
    <w:rsid w:val="00DC761A"/>
    <w:rsid w:val="00DD3C1C"/>
    <w:rsid w:val="00DD59E3"/>
    <w:rsid w:val="00DE2DD2"/>
    <w:rsid w:val="00DF0D64"/>
    <w:rsid w:val="00DF24E5"/>
    <w:rsid w:val="00DF4055"/>
    <w:rsid w:val="00E06DDD"/>
    <w:rsid w:val="00E1632B"/>
    <w:rsid w:val="00E1700A"/>
    <w:rsid w:val="00E25F46"/>
    <w:rsid w:val="00E30BF7"/>
    <w:rsid w:val="00E3742D"/>
    <w:rsid w:val="00E401DF"/>
    <w:rsid w:val="00E475E8"/>
    <w:rsid w:val="00E52A34"/>
    <w:rsid w:val="00E52A95"/>
    <w:rsid w:val="00E53304"/>
    <w:rsid w:val="00E6336D"/>
    <w:rsid w:val="00E678CC"/>
    <w:rsid w:val="00E70E2E"/>
    <w:rsid w:val="00E7145E"/>
    <w:rsid w:val="00E7733A"/>
    <w:rsid w:val="00E96101"/>
    <w:rsid w:val="00EA726C"/>
    <w:rsid w:val="00EA7E60"/>
    <w:rsid w:val="00EC19AF"/>
    <w:rsid w:val="00EC21C8"/>
    <w:rsid w:val="00ED625B"/>
    <w:rsid w:val="00ED6957"/>
    <w:rsid w:val="00EE12C5"/>
    <w:rsid w:val="00EE7478"/>
    <w:rsid w:val="00F0333D"/>
    <w:rsid w:val="00F03B34"/>
    <w:rsid w:val="00F06B7B"/>
    <w:rsid w:val="00F16998"/>
    <w:rsid w:val="00F223B2"/>
    <w:rsid w:val="00F3765F"/>
    <w:rsid w:val="00F52AEC"/>
    <w:rsid w:val="00F5358D"/>
    <w:rsid w:val="00F765D9"/>
    <w:rsid w:val="00FC0619"/>
    <w:rsid w:val="00FC1CC3"/>
    <w:rsid w:val="00FC5D0F"/>
    <w:rsid w:val="00FC7491"/>
    <w:rsid w:val="00FC7F1C"/>
    <w:rsid w:val="00FC7FA5"/>
    <w:rsid w:val="00FD5E6C"/>
    <w:rsid w:val="00FD614F"/>
    <w:rsid w:val="00FE3158"/>
    <w:rsid w:val="00FF04FA"/>
    <w:rsid w:val="00FF1FAB"/>
    <w:rsid w:val="07B5EF91"/>
    <w:rsid w:val="07D1C4A6"/>
    <w:rsid w:val="07D7DF5A"/>
    <w:rsid w:val="07FF26CF"/>
    <w:rsid w:val="08780550"/>
    <w:rsid w:val="0A4AF224"/>
    <w:rsid w:val="0AD9D735"/>
    <w:rsid w:val="0CA71DD8"/>
    <w:rsid w:val="16995EB2"/>
    <w:rsid w:val="1B69712B"/>
    <w:rsid w:val="1D871E12"/>
    <w:rsid w:val="22EBE537"/>
    <w:rsid w:val="291C6ECF"/>
    <w:rsid w:val="2D521272"/>
    <w:rsid w:val="42551BC2"/>
    <w:rsid w:val="545E5C6F"/>
    <w:rsid w:val="577F3808"/>
    <w:rsid w:val="59735681"/>
    <w:rsid w:val="5A8E647B"/>
    <w:rsid w:val="5EEBDFE9"/>
    <w:rsid w:val="6043218B"/>
    <w:rsid w:val="616D8851"/>
    <w:rsid w:val="626CE975"/>
    <w:rsid w:val="6518AC44"/>
    <w:rsid w:val="68A8B3F9"/>
    <w:rsid w:val="68BA004F"/>
    <w:rsid w:val="68E77D52"/>
    <w:rsid w:val="6D7EDD93"/>
    <w:rsid w:val="72ED0862"/>
    <w:rsid w:val="7C453DDF"/>
    <w:rsid w:val="7CF8BC71"/>
    <w:rsid w:val="7E053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CAB25"/>
  <w15:chartTrackingRefBased/>
  <w15:docId w15:val="{953AA360-10FD-4B7C-8DFE-CA68AC064B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C2790"/>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link w:val="Heading1Char"/>
    <w:uiPriority w:val="9"/>
    <w:qFormat/>
    <w:rsid w:val="009416BB"/>
    <w:pPr>
      <w:numPr>
        <w:numId w:val="9"/>
      </w:numPr>
      <w:spacing w:before="100" w:beforeAutospacing="1" w:after="100" w:afterAutospacing="1"/>
      <w:jc w:val="both"/>
      <w:outlineLvl w:val="0"/>
    </w:pPr>
    <w:rPr>
      <w:b/>
      <w:bCs/>
      <w:kern w:val="36"/>
      <w:sz w:val="28"/>
      <w:szCs w:val="48"/>
      <w:lang w:val="en-IN" w:eastAsia="en-IN"/>
    </w:rPr>
  </w:style>
  <w:style w:type="paragraph" w:styleId="Heading2">
    <w:name w:val="heading 2"/>
    <w:aliases w:val="PolicyHeading 2"/>
    <w:basedOn w:val="Normal"/>
    <w:link w:val="Heading2Char"/>
    <w:autoRedefine/>
    <w:uiPriority w:val="9"/>
    <w:qFormat/>
    <w:rsid w:val="004B7ED1"/>
    <w:pPr>
      <w:numPr>
        <w:ilvl w:val="1"/>
        <w:numId w:val="9"/>
      </w:numPr>
      <w:spacing w:before="100" w:beforeAutospacing="1" w:after="100" w:afterAutospacing="1"/>
      <w:ind w:left="576"/>
      <w:jc w:val="both"/>
      <w:outlineLvl w:val="1"/>
    </w:pPr>
    <w:rPr>
      <w:rFonts w:ascii="Verdana" w:hAnsi="Verdana" w:cs="Arial"/>
      <w:b/>
      <w:bCs/>
      <w:sz w:val="18"/>
      <w:szCs w:val="36"/>
      <w:lang w:val="en-IN" w:eastAsia="en-IN"/>
    </w:rPr>
  </w:style>
  <w:style w:type="paragraph" w:styleId="Heading3">
    <w:name w:val="heading 3"/>
    <w:basedOn w:val="Normal"/>
    <w:link w:val="Heading3Char"/>
    <w:autoRedefine/>
    <w:uiPriority w:val="9"/>
    <w:qFormat/>
    <w:rsid w:val="00DF24E5"/>
    <w:pPr>
      <w:numPr>
        <w:ilvl w:val="2"/>
        <w:numId w:val="9"/>
      </w:numPr>
      <w:spacing w:before="100" w:beforeAutospacing="1" w:after="100" w:afterAutospacing="1"/>
      <w:ind w:left="1440"/>
      <w:jc w:val="both"/>
      <w:outlineLvl w:val="2"/>
    </w:pPr>
    <w:rPr>
      <w:rFonts w:ascii="Amasis MT Pro" w:hAnsi="Amasis MT Pro"/>
      <w:b/>
      <w:bCs/>
      <w:sz w:val="18"/>
      <w:szCs w:val="18"/>
      <w:lang w:val="en-IN" w:eastAsia="en-IN"/>
    </w:rPr>
  </w:style>
  <w:style w:type="paragraph" w:styleId="Heading4">
    <w:name w:val="heading 4"/>
    <w:basedOn w:val="Normal"/>
    <w:link w:val="Heading4Char"/>
    <w:uiPriority w:val="9"/>
    <w:qFormat/>
    <w:rsid w:val="006032C4"/>
    <w:pPr>
      <w:numPr>
        <w:ilvl w:val="3"/>
        <w:numId w:val="9"/>
      </w:numPr>
      <w:spacing w:before="100" w:beforeAutospacing="1" w:after="100" w:afterAutospacing="1"/>
      <w:ind w:left="2304"/>
      <w:jc w:val="both"/>
      <w:outlineLvl w:val="3"/>
    </w:pPr>
    <w:rPr>
      <w:rFonts w:ascii="Verdana" w:hAnsi="Verdana"/>
      <w:b/>
      <w:bCs/>
      <w:sz w:val="18"/>
      <w:lang w:val="en-IN" w:eastAsia="en-IN"/>
    </w:rPr>
  </w:style>
  <w:style w:type="paragraph" w:styleId="Heading5">
    <w:name w:val="heading 5"/>
    <w:basedOn w:val="Normal"/>
    <w:next w:val="Normal"/>
    <w:link w:val="Heading5Char"/>
    <w:uiPriority w:val="9"/>
    <w:semiHidden/>
    <w:unhideWhenUsed/>
    <w:qFormat/>
    <w:rsid w:val="007F79FF"/>
    <w:pPr>
      <w:keepNext/>
      <w:keepLines/>
      <w:numPr>
        <w:ilvl w:val="4"/>
        <w:numId w:val="9"/>
      </w:numPr>
      <w:spacing w:before="40" w:line="259" w:lineRule="auto"/>
      <w:jc w:val="both"/>
      <w:outlineLvl w:val="4"/>
    </w:pPr>
    <w:rPr>
      <w:rFonts w:asciiTheme="majorHAnsi" w:hAnsiTheme="majorHAnsi" w:eastAsiaTheme="majorEastAsia" w:cstheme="majorBidi"/>
      <w:color w:val="2F5496" w:themeColor="accent1" w:themeShade="BF"/>
      <w:sz w:val="18"/>
      <w:szCs w:val="22"/>
      <w:lang w:val="en-IN"/>
    </w:rPr>
  </w:style>
  <w:style w:type="paragraph" w:styleId="Heading6">
    <w:name w:val="heading 6"/>
    <w:basedOn w:val="Normal"/>
    <w:next w:val="Normal"/>
    <w:link w:val="Heading6Char"/>
    <w:uiPriority w:val="9"/>
    <w:semiHidden/>
    <w:unhideWhenUsed/>
    <w:qFormat/>
    <w:rsid w:val="007F79FF"/>
    <w:pPr>
      <w:keepNext/>
      <w:keepLines/>
      <w:numPr>
        <w:ilvl w:val="5"/>
        <w:numId w:val="9"/>
      </w:numPr>
      <w:spacing w:before="40" w:line="259" w:lineRule="auto"/>
      <w:jc w:val="both"/>
      <w:outlineLvl w:val="5"/>
    </w:pPr>
    <w:rPr>
      <w:rFonts w:asciiTheme="majorHAnsi" w:hAnsiTheme="majorHAnsi" w:eastAsiaTheme="majorEastAsia" w:cstheme="majorBidi"/>
      <w:color w:val="1F3763" w:themeColor="accent1" w:themeShade="7F"/>
      <w:sz w:val="18"/>
      <w:szCs w:val="22"/>
      <w:lang w:val="en-IN"/>
    </w:rPr>
  </w:style>
  <w:style w:type="paragraph" w:styleId="Heading7">
    <w:name w:val="heading 7"/>
    <w:basedOn w:val="Normal"/>
    <w:next w:val="Normal"/>
    <w:link w:val="Heading7Char"/>
    <w:uiPriority w:val="9"/>
    <w:semiHidden/>
    <w:unhideWhenUsed/>
    <w:qFormat/>
    <w:rsid w:val="007F79FF"/>
    <w:pPr>
      <w:keepNext/>
      <w:keepLines/>
      <w:numPr>
        <w:ilvl w:val="6"/>
        <w:numId w:val="9"/>
      </w:numPr>
      <w:spacing w:before="40" w:line="259" w:lineRule="auto"/>
      <w:jc w:val="both"/>
      <w:outlineLvl w:val="6"/>
    </w:pPr>
    <w:rPr>
      <w:rFonts w:asciiTheme="majorHAnsi" w:hAnsiTheme="majorHAnsi" w:eastAsiaTheme="majorEastAsia" w:cstheme="majorBidi"/>
      <w:i/>
      <w:iCs/>
      <w:color w:val="1F3763" w:themeColor="accent1" w:themeShade="7F"/>
      <w:sz w:val="18"/>
      <w:szCs w:val="22"/>
      <w:lang w:val="en-IN"/>
    </w:rPr>
  </w:style>
  <w:style w:type="paragraph" w:styleId="Heading8">
    <w:name w:val="heading 8"/>
    <w:basedOn w:val="Normal"/>
    <w:next w:val="Normal"/>
    <w:link w:val="Heading8Char"/>
    <w:uiPriority w:val="9"/>
    <w:semiHidden/>
    <w:unhideWhenUsed/>
    <w:qFormat/>
    <w:rsid w:val="007F79FF"/>
    <w:pPr>
      <w:keepNext/>
      <w:keepLines/>
      <w:numPr>
        <w:ilvl w:val="7"/>
        <w:numId w:val="9"/>
      </w:numPr>
      <w:spacing w:before="40" w:line="259" w:lineRule="auto"/>
      <w:jc w:val="both"/>
      <w:outlineLvl w:val="7"/>
    </w:pPr>
    <w:rPr>
      <w:rFonts w:asciiTheme="majorHAnsi" w:hAnsiTheme="majorHAnsi" w:eastAsiaTheme="majorEastAsia" w:cstheme="majorBidi"/>
      <w:color w:val="272727" w:themeColor="text1" w:themeTint="D8"/>
      <w:sz w:val="21"/>
      <w:szCs w:val="21"/>
      <w:lang w:val="en-IN"/>
    </w:rPr>
  </w:style>
  <w:style w:type="paragraph" w:styleId="Heading9">
    <w:name w:val="heading 9"/>
    <w:basedOn w:val="Normal"/>
    <w:next w:val="Normal"/>
    <w:link w:val="Heading9Char"/>
    <w:uiPriority w:val="9"/>
    <w:semiHidden/>
    <w:unhideWhenUsed/>
    <w:qFormat/>
    <w:rsid w:val="007F79FF"/>
    <w:pPr>
      <w:keepNext/>
      <w:keepLines/>
      <w:numPr>
        <w:ilvl w:val="8"/>
        <w:numId w:val="9"/>
      </w:numPr>
      <w:spacing w:before="40" w:line="259" w:lineRule="auto"/>
      <w:jc w:val="both"/>
      <w:outlineLvl w:val="8"/>
    </w:pPr>
    <w:rPr>
      <w:rFonts w:asciiTheme="majorHAnsi" w:hAnsiTheme="majorHAnsi" w:eastAsiaTheme="majorEastAsia" w:cstheme="majorBidi"/>
      <w:i/>
      <w:iCs/>
      <w:color w:val="272727" w:themeColor="text1" w:themeTint="D8"/>
      <w:sz w:val="21"/>
      <w:szCs w:val="21"/>
      <w:lang w:val="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16BB"/>
    <w:rPr>
      <w:rFonts w:ascii="Times New Roman" w:hAnsi="Times New Roman" w:eastAsia="Times New Roman" w:cs="Times New Roman"/>
      <w:b/>
      <w:bCs/>
      <w:kern w:val="36"/>
      <w:sz w:val="28"/>
      <w:szCs w:val="48"/>
      <w:lang w:eastAsia="en-IN"/>
    </w:rPr>
  </w:style>
  <w:style w:type="character" w:styleId="Heading2Char" w:customStyle="1">
    <w:name w:val="Heading 2 Char"/>
    <w:aliases w:val="PolicyHeading 2 Char"/>
    <w:basedOn w:val="DefaultParagraphFont"/>
    <w:link w:val="Heading2"/>
    <w:uiPriority w:val="9"/>
    <w:rsid w:val="004B7ED1"/>
    <w:rPr>
      <w:rFonts w:ascii="Verdana" w:hAnsi="Verdana" w:eastAsia="Times New Roman" w:cs="Arial"/>
      <w:b/>
      <w:bCs/>
      <w:sz w:val="18"/>
      <w:szCs w:val="36"/>
      <w:lang w:eastAsia="en-IN"/>
    </w:rPr>
  </w:style>
  <w:style w:type="character" w:styleId="Heading3Char" w:customStyle="1">
    <w:name w:val="Heading 3 Char"/>
    <w:basedOn w:val="DefaultParagraphFont"/>
    <w:link w:val="Heading3"/>
    <w:uiPriority w:val="9"/>
    <w:rsid w:val="00DF24E5"/>
    <w:rPr>
      <w:rFonts w:ascii="Amasis MT Pro" w:hAnsi="Amasis MT Pro" w:eastAsia="Times New Roman" w:cs="Times New Roman"/>
      <w:b/>
      <w:bCs/>
      <w:sz w:val="18"/>
      <w:szCs w:val="18"/>
      <w:lang w:eastAsia="en-IN"/>
    </w:rPr>
  </w:style>
  <w:style w:type="character" w:styleId="Heading4Char" w:customStyle="1">
    <w:name w:val="Heading 4 Char"/>
    <w:basedOn w:val="DefaultParagraphFont"/>
    <w:link w:val="Heading4"/>
    <w:uiPriority w:val="9"/>
    <w:rsid w:val="006032C4"/>
    <w:rPr>
      <w:rFonts w:ascii="Verdana" w:hAnsi="Verdana" w:eastAsia="Times New Roman"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jc w:val="both"/>
    </w:pPr>
    <w:rPr>
      <w:lang w:val="en-IN" w:eastAsia="en-IN"/>
    </w:rPr>
  </w:style>
  <w:style w:type="character" w:styleId="Hyperlink">
    <w:name w:val="Hyperlink"/>
    <w:basedOn w:val="DefaultParagraphFont"/>
    <w:uiPriority w:val="99"/>
    <w:unhideWhenUsed/>
    <w:rsid w:val="0066248A"/>
    <w:rPr>
      <w:color w:val="0000FF"/>
      <w:u w:val="single"/>
    </w:rPr>
  </w:style>
  <w:style w:type="character" w:styleId="superscripttext" w:customStyle="1">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spacing w:after="160" w:line="259" w:lineRule="auto"/>
      <w:ind w:left="720"/>
      <w:contextualSpacing/>
      <w:jc w:val="both"/>
    </w:pPr>
    <w:rPr>
      <w:rFonts w:ascii="Verdana" w:hAnsi="Verdana" w:eastAsiaTheme="minorHAnsi" w:cstheme="minorBidi"/>
      <w:sz w:val="18"/>
      <w:szCs w:val="22"/>
      <w:lang w:val="en-IN"/>
    </w:rPr>
  </w:style>
  <w:style w:type="paragraph" w:styleId="Header">
    <w:name w:val="header"/>
    <w:basedOn w:val="Normal"/>
    <w:link w:val="HeaderChar"/>
    <w:uiPriority w:val="99"/>
    <w:unhideWhenUsed/>
    <w:rsid w:val="00566B19"/>
    <w:pPr>
      <w:tabs>
        <w:tab w:val="center" w:pos="4513"/>
        <w:tab w:val="right" w:pos="9026"/>
      </w:tabs>
      <w:jc w:val="both"/>
    </w:pPr>
    <w:rPr>
      <w:rFonts w:ascii="Verdana" w:hAnsi="Verdana" w:eastAsiaTheme="minorHAnsi" w:cstheme="minorBidi"/>
      <w:sz w:val="18"/>
      <w:szCs w:val="22"/>
      <w:lang w:val="en-IN"/>
    </w:rPr>
  </w:style>
  <w:style w:type="character" w:styleId="HeaderChar" w:customStyle="1">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jc w:val="both"/>
    </w:pPr>
    <w:rPr>
      <w:rFonts w:ascii="Verdana" w:hAnsi="Verdana" w:eastAsiaTheme="minorHAnsi" w:cstheme="minorBidi"/>
      <w:sz w:val="18"/>
      <w:szCs w:val="22"/>
      <w:lang w:val="en-IN"/>
    </w:rPr>
  </w:style>
  <w:style w:type="character" w:styleId="FooterChar" w:customStyle="1">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contextualSpacing/>
      <w:jc w:val="both"/>
    </w:pPr>
    <w:rPr>
      <w:rFonts w:ascii="Verdana" w:hAnsi="Verdana" w:eastAsiaTheme="majorEastAsia" w:cstheme="majorBidi"/>
      <w:spacing w:val="-10"/>
      <w:kern w:val="28"/>
      <w:sz w:val="36"/>
      <w:szCs w:val="56"/>
      <w:lang w:val="en-IN"/>
    </w:rPr>
  </w:style>
  <w:style w:type="character" w:styleId="TitleChar" w:customStyle="1">
    <w:name w:val="Title Char"/>
    <w:basedOn w:val="DefaultParagraphFont"/>
    <w:link w:val="Title"/>
    <w:uiPriority w:val="10"/>
    <w:rsid w:val="009416BB"/>
    <w:rPr>
      <w:rFonts w:ascii="Verdana" w:hAnsi="Verdana" w:eastAsiaTheme="majorEastAsia" w:cstheme="majorBidi"/>
      <w:spacing w:val="-10"/>
      <w:kern w:val="28"/>
      <w:sz w:val="36"/>
      <w:szCs w:val="56"/>
    </w:rPr>
  </w:style>
  <w:style w:type="paragraph" w:styleId="MainHeading" w:customStyle="1">
    <w:name w:val="MainHeading"/>
    <w:basedOn w:val="Heading2"/>
    <w:link w:val="MainHeadingChar"/>
    <w:qFormat/>
    <w:rsid w:val="00300F05"/>
    <w:pPr>
      <w:keepNext/>
      <w:keepLines/>
      <w:spacing w:before="0" w:beforeAutospacing="0" w:after="240" w:afterAutospacing="0"/>
    </w:pPr>
    <w:rPr>
      <w:rFonts w:ascii="Arial" w:hAnsi="Arial" w:eastAsiaTheme="majorEastAsia"/>
      <w:sz w:val="24"/>
      <w:szCs w:val="24"/>
      <w:lang w:val="en-US" w:eastAsia="en-US"/>
    </w:rPr>
  </w:style>
  <w:style w:type="table" w:styleId="TableGrid">
    <w:name w:val="Table Grid"/>
    <w:basedOn w:val="TableNormal"/>
    <w:uiPriority w:val="39"/>
    <w:rsid w:val="007F7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inHeadingChar" w:customStyle="1">
    <w:name w:val="MainHeading Char"/>
    <w:basedOn w:val="Heading2Char"/>
    <w:link w:val="MainHeading"/>
    <w:rsid w:val="00300F05"/>
    <w:rPr>
      <w:rFonts w:ascii="Arial" w:hAnsi="Arial" w:cs="Arial" w:eastAsiaTheme="majorEastAsia"/>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IN"/>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l2br w:val="none" w:color="auto" w:sz="0" w:space="0"/>
          <w:tr2bl w:val="none" w:color="auto"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en-IN"/>
    </w:rPr>
    <w:tblPr>
      <w:tblStyleRowBandSize w:val="1"/>
      <w:tblStyleColBandSize w:val="1"/>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Pr>
    <w:tblStylePr w:type="firstRow">
      <w:rPr>
        <w:b/>
        <w:bCs/>
        <w:color w:val="auto"/>
      </w:rPr>
      <w:tblPr/>
      <w:tcPr>
        <w:tcBorders>
          <w:bottom w:val="single" w:color="000000" w:themeColor="text1" w:sz="4" w:space="0"/>
          <w:tl2br w:val="none" w:color="auto" w:sz="0" w:space="0"/>
          <w:tr2bl w:val="none" w:color="auto" w:sz="0" w:space="0"/>
        </w:tcBorders>
        <w:shd w:val="solid" w:color="000000" w:fill="FFFFFF"/>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5Char" w:customStyle="1">
    <w:name w:val="Heading 5 Char"/>
    <w:basedOn w:val="DefaultParagraphFont"/>
    <w:link w:val="Heading5"/>
    <w:uiPriority w:val="9"/>
    <w:semiHidden/>
    <w:rsid w:val="007F79FF"/>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F79FF"/>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7F79FF"/>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7F79F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F79FF"/>
    <w:rPr>
      <w:rFonts w:asciiTheme="majorHAnsi" w:hAnsiTheme="majorHAnsi" w:eastAsiaTheme="majorEastAsia" w:cstheme="majorBidi"/>
      <w:i/>
      <w:iCs/>
      <w:color w:val="272727" w:themeColor="text1" w:themeTint="D8"/>
      <w:sz w:val="21"/>
      <w:szCs w:val="21"/>
    </w:rPr>
  </w:style>
  <w:style w:type="paragraph" w:styleId="Commented" w:customStyle="1">
    <w:name w:val="Commented"/>
    <w:basedOn w:val="Normal"/>
    <w:link w:val="CommentedChar"/>
    <w:autoRedefine/>
    <w:qFormat/>
    <w:rsid w:val="00DF4055"/>
    <w:pPr>
      <w:spacing w:after="160" w:line="259" w:lineRule="auto"/>
      <w:jc w:val="both"/>
    </w:pPr>
    <w:rPr>
      <w:rFonts w:ascii="Verdana" w:hAnsi="Verdana" w:eastAsiaTheme="minorHAnsi" w:cstheme="minorBidi"/>
      <w:i/>
      <w:color w:val="C45911" w:themeColor="accent2" w:themeShade="BF"/>
      <w:sz w:val="18"/>
      <w:szCs w:val="22"/>
      <w:lang w:val="en-IN"/>
    </w:rPr>
  </w:style>
  <w:style w:type="character" w:styleId="CommentReference">
    <w:name w:val="annotation reference"/>
    <w:basedOn w:val="DefaultParagraphFont"/>
    <w:uiPriority w:val="99"/>
    <w:semiHidden/>
    <w:unhideWhenUsed/>
    <w:rsid w:val="00527A00"/>
    <w:rPr>
      <w:sz w:val="16"/>
      <w:szCs w:val="16"/>
    </w:rPr>
  </w:style>
  <w:style w:type="character" w:styleId="CommentedChar" w:customStyle="1">
    <w:name w:val="Commented Char"/>
    <w:basedOn w:val="DefaultParagraphFont"/>
    <w:link w:val="Commented"/>
    <w:rsid w:val="00DF4055"/>
    <w:rPr>
      <w:rFonts w:ascii="Verdana" w:hAnsi="Verdana"/>
      <w:i/>
      <w:color w:val="C45911" w:themeColor="accent2" w:themeShade="BF"/>
      <w:sz w:val="18"/>
    </w:rPr>
  </w:style>
  <w:style w:type="paragraph" w:styleId="CommentText">
    <w:name w:val="annotation text"/>
    <w:basedOn w:val="Normal"/>
    <w:link w:val="CommentTextChar"/>
    <w:uiPriority w:val="99"/>
    <w:semiHidden/>
    <w:unhideWhenUsed/>
    <w:rsid w:val="00527A00"/>
    <w:pPr>
      <w:spacing w:after="160"/>
      <w:jc w:val="both"/>
    </w:pPr>
    <w:rPr>
      <w:rFonts w:ascii="Verdana" w:hAnsi="Verdana" w:eastAsiaTheme="minorHAnsi" w:cstheme="minorBidi"/>
      <w:sz w:val="20"/>
      <w:szCs w:val="20"/>
      <w:lang w:val="en-IN"/>
    </w:rPr>
  </w:style>
  <w:style w:type="character" w:styleId="CommentTextChar" w:customStyle="1">
    <w:name w:val="Comment Text Char"/>
    <w:basedOn w:val="DefaultParagraphFont"/>
    <w:link w:val="CommentText"/>
    <w:uiPriority w:val="99"/>
    <w:semiHidden/>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styleId="CommentSubjectChar" w:customStyle="1">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line="259" w:lineRule="auto"/>
      <w:jc w:val="both"/>
    </w:pPr>
    <w:rPr>
      <w:rFonts w:asciiTheme="minorHAnsi" w:hAnsiTheme="minorHAnsi" w:eastAsiaTheme="minorHAnsi" w:cstheme="minorBidi"/>
      <w:b/>
      <w:bCs/>
      <w:caps/>
      <w:sz w:val="20"/>
      <w:szCs w:val="20"/>
      <w:lang w:val="en-IN"/>
    </w:rPr>
  </w:style>
  <w:style w:type="paragraph" w:styleId="TOC2">
    <w:name w:val="toc 2"/>
    <w:basedOn w:val="Normal"/>
    <w:next w:val="Normal"/>
    <w:autoRedefine/>
    <w:uiPriority w:val="39"/>
    <w:unhideWhenUsed/>
    <w:rsid w:val="00FE3158"/>
    <w:pPr>
      <w:spacing w:line="259" w:lineRule="auto"/>
      <w:ind w:left="180"/>
      <w:jc w:val="both"/>
    </w:pPr>
    <w:rPr>
      <w:rFonts w:asciiTheme="minorHAnsi" w:hAnsiTheme="minorHAnsi" w:eastAsiaTheme="minorHAnsi" w:cstheme="minorBidi"/>
      <w:smallCaps/>
      <w:sz w:val="20"/>
      <w:szCs w:val="20"/>
      <w:lang w:val="en-IN"/>
    </w:rPr>
  </w:style>
  <w:style w:type="paragraph" w:styleId="TOC3">
    <w:name w:val="toc 3"/>
    <w:basedOn w:val="Normal"/>
    <w:next w:val="Normal"/>
    <w:autoRedefine/>
    <w:uiPriority w:val="39"/>
    <w:unhideWhenUsed/>
    <w:rsid w:val="00FE3158"/>
    <w:pPr>
      <w:spacing w:line="259" w:lineRule="auto"/>
      <w:ind w:left="360"/>
      <w:jc w:val="both"/>
    </w:pPr>
    <w:rPr>
      <w:rFonts w:asciiTheme="minorHAnsi" w:hAnsiTheme="minorHAnsi" w:eastAsiaTheme="minorHAnsi" w:cstheme="minorBidi"/>
      <w:i/>
      <w:iCs/>
      <w:sz w:val="20"/>
      <w:szCs w:val="20"/>
      <w:lang w:val="en-IN"/>
    </w:rPr>
  </w:style>
  <w:style w:type="paragraph" w:styleId="TOC4">
    <w:name w:val="toc 4"/>
    <w:basedOn w:val="Normal"/>
    <w:next w:val="Normal"/>
    <w:autoRedefine/>
    <w:uiPriority w:val="39"/>
    <w:unhideWhenUsed/>
    <w:rsid w:val="00FE3158"/>
    <w:pPr>
      <w:spacing w:line="259" w:lineRule="auto"/>
      <w:ind w:left="540"/>
      <w:jc w:val="both"/>
    </w:pPr>
    <w:rPr>
      <w:rFonts w:asciiTheme="minorHAnsi" w:hAnsiTheme="minorHAnsi" w:eastAsiaTheme="minorHAnsi" w:cstheme="minorBidi"/>
      <w:sz w:val="18"/>
      <w:szCs w:val="18"/>
      <w:lang w:val="en-IN"/>
    </w:rPr>
  </w:style>
  <w:style w:type="paragraph" w:styleId="TOC5">
    <w:name w:val="toc 5"/>
    <w:basedOn w:val="Normal"/>
    <w:next w:val="Normal"/>
    <w:autoRedefine/>
    <w:uiPriority w:val="39"/>
    <w:unhideWhenUsed/>
    <w:rsid w:val="00FE3158"/>
    <w:pPr>
      <w:spacing w:line="259" w:lineRule="auto"/>
      <w:ind w:left="720"/>
      <w:jc w:val="both"/>
    </w:pPr>
    <w:rPr>
      <w:rFonts w:asciiTheme="minorHAnsi" w:hAnsiTheme="minorHAnsi" w:eastAsiaTheme="minorHAnsi" w:cstheme="minorBidi"/>
      <w:sz w:val="18"/>
      <w:szCs w:val="18"/>
      <w:lang w:val="en-IN"/>
    </w:rPr>
  </w:style>
  <w:style w:type="paragraph" w:styleId="TOC6">
    <w:name w:val="toc 6"/>
    <w:basedOn w:val="Normal"/>
    <w:next w:val="Normal"/>
    <w:autoRedefine/>
    <w:uiPriority w:val="39"/>
    <w:unhideWhenUsed/>
    <w:rsid w:val="00FE3158"/>
    <w:pPr>
      <w:spacing w:line="259" w:lineRule="auto"/>
      <w:ind w:left="900"/>
      <w:jc w:val="both"/>
    </w:pPr>
    <w:rPr>
      <w:rFonts w:asciiTheme="minorHAnsi" w:hAnsiTheme="minorHAnsi" w:eastAsiaTheme="minorHAnsi" w:cstheme="minorBidi"/>
      <w:sz w:val="18"/>
      <w:szCs w:val="18"/>
      <w:lang w:val="en-IN"/>
    </w:rPr>
  </w:style>
  <w:style w:type="paragraph" w:styleId="TOC7">
    <w:name w:val="toc 7"/>
    <w:basedOn w:val="Normal"/>
    <w:next w:val="Normal"/>
    <w:autoRedefine/>
    <w:uiPriority w:val="39"/>
    <w:unhideWhenUsed/>
    <w:rsid w:val="00FE3158"/>
    <w:pPr>
      <w:spacing w:line="259" w:lineRule="auto"/>
      <w:ind w:left="1080"/>
      <w:jc w:val="both"/>
    </w:pPr>
    <w:rPr>
      <w:rFonts w:asciiTheme="minorHAnsi" w:hAnsiTheme="minorHAnsi" w:eastAsiaTheme="minorHAnsi" w:cstheme="minorBidi"/>
      <w:sz w:val="18"/>
      <w:szCs w:val="18"/>
      <w:lang w:val="en-IN"/>
    </w:rPr>
  </w:style>
  <w:style w:type="paragraph" w:styleId="TOC8">
    <w:name w:val="toc 8"/>
    <w:basedOn w:val="Normal"/>
    <w:next w:val="Normal"/>
    <w:autoRedefine/>
    <w:uiPriority w:val="39"/>
    <w:unhideWhenUsed/>
    <w:rsid w:val="00FE3158"/>
    <w:pPr>
      <w:spacing w:line="259" w:lineRule="auto"/>
      <w:ind w:left="1260"/>
      <w:jc w:val="both"/>
    </w:pPr>
    <w:rPr>
      <w:rFonts w:asciiTheme="minorHAnsi" w:hAnsiTheme="minorHAnsi" w:eastAsiaTheme="minorHAnsi" w:cstheme="minorBidi"/>
      <w:sz w:val="18"/>
      <w:szCs w:val="18"/>
      <w:lang w:val="en-IN"/>
    </w:rPr>
  </w:style>
  <w:style w:type="paragraph" w:styleId="TOC9">
    <w:name w:val="toc 9"/>
    <w:basedOn w:val="Normal"/>
    <w:next w:val="Normal"/>
    <w:autoRedefine/>
    <w:uiPriority w:val="39"/>
    <w:unhideWhenUsed/>
    <w:rsid w:val="00FE3158"/>
    <w:pPr>
      <w:spacing w:line="259" w:lineRule="auto"/>
      <w:ind w:left="1440"/>
      <w:jc w:val="both"/>
    </w:pPr>
    <w:rPr>
      <w:rFonts w:asciiTheme="minorHAnsi" w:hAnsiTheme="minorHAnsi" w:eastAsiaTheme="minorHAnsi" w:cstheme="minorBidi"/>
      <w:sz w:val="18"/>
      <w:szCs w:val="18"/>
      <w:lang w:val="en-IN"/>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color="4472C4" w:themeColor="accent1" w:sz="4" w:space="10"/>
        <w:bottom w:val="single" w:color="4472C4" w:themeColor="accent1" w:sz="4" w:space="10"/>
      </w:pBdr>
      <w:spacing w:before="360" w:after="360" w:line="259" w:lineRule="auto"/>
      <w:ind w:left="864" w:right="864"/>
      <w:jc w:val="center"/>
    </w:pPr>
    <w:rPr>
      <w:rFonts w:ascii="Verdana" w:hAnsi="Verdana" w:eastAsiaTheme="minorHAnsi" w:cstheme="minorBidi"/>
      <w:i/>
      <w:iCs/>
      <w:color w:val="4472C4" w:themeColor="accent1"/>
      <w:sz w:val="18"/>
      <w:szCs w:val="22"/>
      <w:lang w:val="en-IN"/>
    </w:rPr>
  </w:style>
  <w:style w:type="character" w:styleId="IntenseQuoteChar" w:customStyle="1">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paragraph" w:styleId="paragraph" w:customStyle="1">
    <w:name w:val="paragraph"/>
    <w:basedOn w:val="Normal"/>
    <w:rsid w:val="005433B3"/>
    <w:pPr>
      <w:spacing w:before="100" w:beforeAutospacing="1" w:after="100" w:afterAutospacing="1"/>
    </w:pPr>
  </w:style>
  <w:style w:type="character" w:styleId="eop" w:customStyle="1">
    <w:name w:val="eop"/>
    <w:basedOn w:val="DefaultParagraphFont"/>
    <w:rsid w:val="005433B3"/>
  </w:style>
  <w:style w:type="character" w:styleId="normaltextrun" w:customStyle="1">
    <w:name w:val="normaltextrun"/>
    <w:basedOn w:val="DefaultParagraphFont"/>
    <w:rsid w:val="005433B3"/>
  </w:style>
  <w:style w:type="character" w:styleId="markedcontent" w:customStyle="1">
    <w:name w:val="markedcontent"/>
    <w:basedOn w:val="DefaultParagraphFont"/>
    <w:rsid w:val="00543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128675">
      <w:bodyDiv w:val="1"/>
      <w:marLeft w:val="0"/>
      <w:marRight w:val="0"/>
      <w:marTop w:val="0"/>
      <w:marBottom w:val="0"/>
      <w:divBdr>
        <w:top w:val="none" w:sz="0" w:space="0" w:color="auto"/>
        <w:left w:val="none" w:sz="0" w:space="0" w:color="auto"/>
        <w:bottom w:val="none" w:sz="0" w:space="0" w:color="auto"/>
        <w:right w:val="none" w:sz="0" w:space="0" w:color="auto"/>
      </w:divBdr>
    </w:div>
    <w:div w:id="954681139">
      <w:bodyDiv w:val="1"/>
      <w:marLeft w:val="0"/>
      <w:marRight w:val="0"/>
      <w:marTop w:val="0"/>
      <w:marBottom w:val="0"/>
      <w:divBdr>
        <w:top w:val="none" w:sz="0" w:space="0" w:color="auto"/>
        <w:left w:val="none" w:sz="0" w:space="0" w:color="auto"/>
        <w:bottom w:val="none" w:sz="0" w:space="0" w:color="auto"/>
        <w:right w:val="none" w:sz="0" w:space="0" w:color="auto"/>
      </w:divBdr>
      <w:divsChild>
        <w:div w:id="1913152714">
          <w:marLeft w:val="0"/>
          <w:marRight w:val="0"/>
          <w:marTop w:val="0"/>
          <w:marBottom w:val="0"/>
          <w:divBdr>
            <w:top w:val="none" w:sz="0" w:space="0" w:color="auto"/>
            <w:left w:val="none" w:sz="0" w:space="0" w:color="auto"/>
            <w:bottom w:val="none" w:sz="0" w:space="0" w:color="auto"/>
            <w:right w:val="none" w:sz="0" w:space="0" w:color="auto"/>
          </w:divBdr>
        </w:div>
      </w:divsChild>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20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hyperlink" Target="mailto:vinay.rai@netradyne.com" TargetMode="External" Id="rId26" /><Relationship Type="http://schemas.openxmlformats.org/officeDocument/2006/relationships/image" Target="media/image10.png" Id="rId21" /><Relationship Type="http://schemas.openxmlformats.org/officeDocument/2006/relationships/header" Target="header1.xml" Id="rId34" /><Relationship Type="http://schemas.openxmlformats.org/officeDocument/2006/relationships/settings" Target="settings.xml" Id="rId7" /><Relationship Type="http://schemas.openxmlformats.org/officeDocument/2006/relationships/hyperlink" Target="https://netorg726775.sharepoint.com/sites/InfoSecDocumentGovernanceRepository/Shared%20Documents/ISMS_ISO27001_2013/ISMS_Security%20Operations%20Center(SOC)/Netradyne%20Vulnerability%20Response%20Playbook.docx" TargetMode="External" Id="rId12" /><Relationship Type="http://schemas.openxmlformats.org/officeDocument/2006/relationships/image" Target="media/image6.png" Id="rId17" /><Relationship Type="http://schemas.openxmlformats.org/officeDocument/2006/relationships/hyperlink" Target="mailto:saravanan.sankaran@netradyne.com" TargetMode="External" Id="rId25" /><Relationship Type="http://schemas.openxmlformats.org/officeDocument/2006/relationships/hyperlink" Target="https://netorg726775.sharepoint.com/:b:/r/sites/NETRADYNEDOCUMENTMANAGEMENTPORTAL/Shared%20Documents/General/ISMS%20Published%20Documents/ISMS%202023/NetradyneSecurityIncidentResponsePlan.pdf?csf=1&amp;web=1&amp;e=Nzo34K" TargetMode="External" Id="rId33"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hyperlink" Target="https://netorg726775.sharepoint.com/:b:/r/sites/NETRADYNEDOCUMENTMANAGEMENTPORTAL/Shared%20Documents/General/ISMS%20Published%20Documents/ISMS%202023/Acceptable%20Usage%20Policy.pdf?csf=1&amp;web=1&amp;e=2jMnrk"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mailto:sudhansu.kumar@netradyne.com" TargetMode="External" Id="rId24" /><Relationship Type="http://schemas.openxmlformats.org/officeDocument/2006/relationships/hyperlink" Target="https://netorg726775.sharepoint.com/:b:/r/sites/NETRADYNEDOCUMENTMANAGEMENTPORTAL/Shared%20Documents/General/ISMS%20Published%20Documents/ISMS%202023/Netradyne%20Vulnerability%20%26%20Patch%20Management%20Process.pdf?csf=1&amp;web=1&amp;e=N697w0" TargetMode="External" Id="rId32" /><Relationship Type="http://schemas.openxmlformats.org/officeDocument/2006/relationships/theme" Target="theme/theme1.xml" Id="rId37"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hyperlink" Target="https://netorg726775.sharepoint.com/:b:/r/sites/NETRADYNEDOCUMENTMANAGEMENTPORTAL/Shared%20Documents/General/ISMS%20Published%20Documents/ISMS%202023/Netradyne%20Information%20Security%20Exception%20Process.pdf?csf=1&amp;web=1&amp;e=RbfEhO" TargetMode="External" Id="rId28" /><Relationship Type="http://schemas.openxmlformats.org/officeDocument/2006/relationships/fontTable" Target="fontTable.xml" Id="rId36"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hyperlink" Target="https://netorg726775.sharepoint.com/:b:/r/sites/NETRADYNEDOCUMENTMANAGEMENTPORTAL/Shared%20Documents/General/ISMS%20Published%20Documents/ISMS%202023/NETRADYNE%20BUSINESS%20CONTINUITY%20PLAN.pdf?csf=1&amp;web=1&amp;e=eCZUy6"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hyperlink" Target="https://netorg726775.sharepoint.com/:b:/r/sites/NETRADYNEDOCUMENTMANAGEMENTPORTAL/Shared%20Documents/General/ISMS%20Published%20Documents/ISMS%202023/Netradyne%20Information%20Security%20Policy%20%26%20Procedure.pdf?csf=1&amp;web=1&amp;e=mRSIq4" TargetMode="External" Id="rId27" /><Relationship Type="http://schemas.openxmlformats.org/officeDocument/2006/relationships/hyperlink" Target="https://netorg726775.sharepoint.com/:b:/r/sites/NETRADYNEDOCUMENTMANAGEMENTPORTAL/Shared%20Documents/General/ISMS%20Published%20Documents/ISMS%202023/NETRADYNE%20DISASTER%20RECOVERY%20PROCESS.pdf?csf=1&amp;web=1&amp;e=xTyHtp" TargetMode="External" Id="rId30" /><Relationship Type="http://schemas.openxmlformats.org/officeDocument/2006/relationships/footer" Target="footer1.xml" Id="rId35" /><Relationship Type="http://schemas.openxmlformats.org/officeDocument/2006/relationships/webSettings" Target="webSettings.xml" Id="rId8" /><Relationship Type="http://schemas.openxmlformats.org/officeDocument/2006/relationships/customXml" Target="../customXml/item3.xml" Id="rId3"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SharedWithUsers xmlns="86c93658-3e86-4f8b-89f3-61afe5bfc4aa">
      <UserInfo>
        <DisplayName>Tellakula Hemchand</DisplayName>
        <AccountId>428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86c93658-3e86-4f8b-89f3-61afe5bfc4aa"/>
    <ds:schemaRef ds:uri="fb415eba-e95e-415c-8eaf-40b5b4ad0f84"/>
  </ds:schemaRefs>
</ds:datastoreItem>
</file>

<file path=customXml/itemProps2.xml><?xml version="1.0" encoding="utf-8"?>
<ds:datastoreItem xmlns:ds="http://schemas.openxmlformats.org/officeDocument/2006/customXml" ds:itemID="{9D436E39-DB56-4851-9766-08A72E33FD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4.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Netradyne Vulnerability Response Playbook</dc:title>
  <dc:subject/>
  <dc:creator>Sudhansu Kumar</dc:creator>
  <keywords>InfoSec; Vulnerability Management</keywords>
  <dc:description/>
  <lastModifiedBy>Kapil Kumar</lastModifiedBy>
  <revision>4</revision>
  <lastPrinted>2025-07-29T01:21:00.0000000Z</lastPrinted>
  <dcterms:created xsi:type="dcterms:W3CDTF">2025-07-29T01:21:00.0000000Z</dcterms:created>
  <dcterms:modified xsi:type="dcterms:W3CDTF">2025-08-04T13:47:18.6408759Z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2023-06-28T07:12:14Z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48785156-9469-41fa-9f7d-9e737004f230</vt:lpwstr>
  </property>
  <property fmtid="{D5CDD505-2E9C-101B-9397-08002B2CF9AE}" pid="10" name="MSIP_Label_c82d1495-f368-494b-8696-ae3e76786b05_ContentBits">
    <vt:lpwstr>0</vt:lpwstr>
  </property>
  <property fmtid="{D5CDD505-2E9C-101B-9397-08002B2CF9AE}" pid="11" name="Order">
    <vt:r8>1000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