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Evaluating Multilingual Reliability of Large Language Models in Scientific Literature Analysis</w:t>
      </w:r>
    </w:p>
    <w:p>
      <w:pPr>
        <w:spacing w:after="300"/>
        <w:jc w:val="center"/>
      </w:pPr>
      <w:r>
        <w:rPr>
          <w:rFonts w:ascii="Times New Roman" w:cs="Times New Roman" w:eastAsia="Times New Roman" w:hAnsi="Times New Roman"/>
          <w:i/>
          <w:iCs/>
          <w:sz w:val="22"/>
          <w:szCs w:val="22"/>
        </w:rPr>
        <w:t xml:space="preserve">A Review of Methods, Evidence, and Open Problems</w:t>
      </w:r>
    </w:p>
    <w:p>
      <w:pPr>
        <w:spacing w:after="120" w:before="120"/>
      </w:pPr>
      <w:r>
        <w:rPr>
          <w:rFonts w:ascii="Times New Roman" w:cs="Times New Roman" w:eastAsia="Times New Roman" w:hAnsi="Times New Roman"/>
          <w:b/>
          <w:bCs/>
          <w:sz w:val="24"/>
          <w:szCs w:val="24"/>
        </w:rPr>
        <w:t xml:space="preserve">Abstract</w:t>
      </w:r>
    </w:p>
    <w:p>
      <w:pPr>
        <w:spacing w:after="160" w:line="276"/>
        <w:jc w:val="both"/>
      </w:pPr>
      <w:r>
        <w:rPr>
          <w:rFonts w:ascii="Times New Roman" w:cs="Times New Roman" w:eastAsia="Times New Roman" w:hAnsi="Times New Roman"/>
          <w:b w:val="false"/>
          <w:bCs w:val="false"/>
          <w:i w:val="false"/>
          <w:iCs w:val="false"/>
          <w:sz w:val="22"/>
          <w:szCs w:val="22"/>
        </w:rPr>
        <w:t xml:space="preserve">Large language models (LLMs) are increasingly embedded in the scientific workflow, assisting with literature screening, summarization, question answering, and cross-lingual translation of research articles (Scherbakov et al., 2025; Kleidermacher &amp; Zou, 2025). Because roughly 98% of indexed scientific output is published in English while only a small minority of researchers are native English speakers (Kleidermacher &amp; Zou, 2025; Amano et al., 2023), multilingual LLMs are frequently promoted as a route toward more equitable access to scientific knowledge. Yet the reliability of these systems is not uniform across languages: benchmarks repeatedly show that accuracy, factual grounding, and calibration degrade as one moves from high-resource languages such as English or Chinese to typologically distant or lower-resource languages (Xuan et al., 2025; Xue et al., 2024). This paper synthesizes recent empirical and methodological literature on multilingual reliability in scientific-literature-facing LLM applications. It reviews the mechanisms that produce cross-lingual unreliability, including translation-induced information loss, uneven pretraining corpora, and language-specific hallucination patterns; surveys current mitigation strategies such as retrieval-augmented generation, cross-lingual chain-of-thought, and multilingual factuality metrics; and examines domain-specific evidence from biomedical and general-purpose multilingual benchmarks. The paper concludes that while targeted interventions narrow the performance gap for individual tasks, no current approach eliminates it, and it identifies research gaps around evaluation standardization, low-resource language coverage, and human-in-the-loop verification that should guide future work.</w:t>
      </w:r>
    </w:p>
    <w:p>
      <w:pPr>
        <w:spacing w:after="26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large language models; multilingual natural language processing; scientific literature analysis; hallucination; factuality; cross-lingual evaluation; retrieval-augmented generation; low-resource languages</w:t>
      </w:r>
    </w:p>
    <w:p>
      <w:pPr>
        <w:pStyle w:val="Heading1"/>
        <w:spacing w:after="160" w:before="320"/>
      </w:pPr>
      <w:r>
        <w:rPr>
          <w:rFonts w:ascii="Times New Roman" w:cs="Times New Roman" w:eastAsia="Times New Roman" w:hAnsi="Times New Roman"/>
          <w:b/>
          <w:bCs/>
          <w:sz w:val="26"/>
          <w:szCs w:val="26"/>
        </w:rPr>
        <w:t xml:space="preserve">1. Introduction</w:t>
      </w:r>
    </w:p>
    <w:p>
      <w:pPr>
        <w:spacing w:after="200" w:line="276"/>
        <w:jc w:val="both"/>
      </w:pPr>
      <w:r>
        <w:rPr>
          <w:rFonts w:ascii="Times New Roman" w:cs="Times New Roman" w:eastAsia="Times New Roman" w:hAnsi="Times New Roman"/>
          <w:b w:val="false"/>
          <w:bCs w:val="false"/>
          <w:i w:val="false"/>
          <w:iCs w:val="false"/>
          <w:sz w:val="22"/>
          <w:szCs w:val="22"/>
        </w:rPr>
        <w:t xml:space="preserve">Large language models (LLMs) such as GPT-4, LLaMA, and BLOOM have moved rapidly from general-purpose chat assistants into specialized roles within the scientific research pipeline (OpenAI, 2023; Touvron et al., 2023; BigScience Workshop et al., 2022). These roles include screening titles and abstracts for systematic reviews, extracting structured data from full-text articles, summarizing findings across large corpora, answering domain-specific questions, and translating research output for readers who do not work in English (Scherbakov et al., 2025; Zhang et al., 2024). Reviews of the review-automation literature report that hundreds of methodological and applied studies have already examined LLM-assisted evidence synthesis, with GPT-based architectures dominating the reported approaches (Scherbakov et al., 2025).</w:t>
      </w:r>
    </w:p>
    <w:p>
      <w:pPr>
        <w:spacing w:after="200" w:line="276"/>
        <w:jc w:val="both"/>
      </w:pPr>
      <w:r>
        <w:rPr>
          <w:rFonts w:ascii="Times New Roman" w:cs="Times New Roman" w:eastAsia="Times New Roman" w:hAnsi="Times New Roman"/>
          <w:b w:val="false"/>
          <w:bCs w:val="false"/>
          <w:i w:val="false"/>
          <w:iCs w:val="false"/>
          <w:sz w:val="22"/>
          <w:szCs w:val="22"/>
        </w:rPr>
        <w:t xml:space="preserve">The appeal of these tools for multilingual users is straightforward. English is the de facto language of indexed scientific publishing, yet only a small fraction of the world's population speaks it as a first language, and non-native English speakers report substantially higher costs across nearly every stage of the research process, from reading and writing manuscripts to participating in international conferences (Amano et al., 2023). LLM-based translation and summarization are frequently proposed as a partial remedy: recent work demonstrates that LLMs can translate full scientific articles across dozens of languages while preserving structured markup, offering a scalable alternative to traditional professional translation (Kleidermacher &amp; Zou, 2025). Multilingual medical question-answering systems, cross-lingual summarization pipelines, and multilingual scientific benchmarks have proliferated correspondingly (García-Ferrero et al., 2024; Park et al., 2024; Xuan et al., 2025).</w:t>
      </w:r>
    </w:p>
    <w:p>
      <w:pPr>
        <w:spacing w:after="200" w:line="276"/>
        <w:jc w:val="both"/>
      </w:pPr>
      <w:r>
        <w:rPr>
          <w:rFonts w:ascii="Times New Roman" w:cs="Times New Roman" w:eastAsia="Times New Roman" w:hAnsi="Times New Roman"/>
          <w:b w:val="false"/>
          <w:bCs w:val="false"/>
          <w:i w:val="false"/>
          <w:iCs w:val="false"/>
          <w:sz w:val="22"/>
          <w:szCs w:val="22"/>
        </w:rPr>
        <w:t xml:space="preserve">However, an LLM that performs reliably in English cannot be assumed to perform reliably in other languages. Multiple independent benchmarks converge on the same finding: model accuracy declines, sometimes sharply, as evaluation moves away from English and toward typologically distant or lower-resource languages, and this decline is accompanied by degraded factual grounding and poorer self-assessed confidence (Xuan et al., 2025; Xue et al., 2024; García-Ferrero et al., 2024). In scientific contexts, where a single fabricated citation, mistranslated statistic, or invented mechanism can propagate into a literature review or clinical decision, this cross-lingual reliability gap is not a marginal usability issue but a substantive threat to the integrity of the research process.</w:t>
      </w:r>
    </w:p>
    <w:p>
      <w:pPr>
        <w:spacing w:after="200" w:line="276"/>
        <w:jc w:val="both"/>
      </w:pPr>
      <w:r>
        <w:rPr>
          <w:rFonts w:ascii="Times New Roman" w:cs="Times New Roman" w:eastAsia="Times New Roman" w:hAnsi="Times New Roman"/>
          <w:b w:val="false"/>
          <w:bCs w:val="false"/>
          <w:i w:val="false"/>
          <w:iCs w:val="false"/>
          <w:sz w:val="22"/>
          <w:szCs w:val="22"/>
        </w:rPr>
        <w:t xml:space="preserve">This paper examines the state of evidence on multilingual reliability of LLMs specifically as applied to scientific literature analysis. It is organized as follows. Section 2 reviews background literature on multilingual LLM architectures, evaluation benchmarks, and the hallucination phenomenon that underlies much of the unreliability discussed later. Section 3 develops the main technical discussion, examining the mechanisms that drive cross-lingual performance gaps in literature-facing tasks such as summarization, question answering, and fact verification. Section 4 surveys current mitigation approaches, including retrieval augmentation and cross-lingual reasoning strategies. Section 5 discusses methodological and practical limitations of the existing evidence base. Section 6 identifies research gaps and proposes directions for future work, and Section 7 concludes.</w:t>
      </w:r>
    </w:p>
    <w:p>
      <w:pPr>
        <w:pStyle w:val="Heading1"/>
        <w:spacing w:after="160" w:before="320"/>
      </w:pPr>
      <w:r>
        <w:rPr>
          <w:rFonts w:ascii="Times New Roman" w:cs="Times New Roman" w:eastAsia="Times New Roman" w:hAnsi="Times New Roman"/>
          <w:b/>
          <w:bCs/>
          <w:sz w:val="26"/>
          <w:szCs w:val="26"/>
        </w:rPr>
        <w:t xml:space="preserve">2. Background and Related Work</w:t>
      </w:r>
    </w:p>
    <w:p>
      <w:pPr>
        <w:pStyle w:val="Heading2"/>
        <w:spacing w:after="120" w:before="220"/>
      </w:pPr>
      <w:r>
        <w:rPr>
          <w:rFonts w:ascii="Times New Roman" w:cs="Times New Roman" w:eastAsia="Times New Roman" w:hAnsi="Times New Roman"/>
          <w:b/>
          <w:bCs/>
          <w:i/>
          <w:iCs/>
          <w:sz w:val="24"/>
          <w:szCs w:val="24"/>
        </w:rPr>
        <w:t xml:space="preserve">2.1 The Evolution of Multilingual Language Models</w:t>
      </w:r>
    </w:p>
    <w:p>
      <w:pPr>
        <w:spacing w:after="200" w:line="276"/>
        <w:jc w:val="both"/>
      </w:pPr>
      <w:r>
        <w:rPr>
          <w:rFonts w:ascii="Times New Roman" w:cs="Times New Roman" w:eastAsia="Times New Roman" w:hAnsi="Times New Roman"/>
          <w:b w:val="false"/>
          <w:bCs w:val="false"/>
          <w:i w:val="false"/>
          <w:iCs w:val="false"/>
          <w:sz w:val="22"/>
          <w:szCs w:val="22"/>
        </w:rPr>
        <w:t xml:space="preserve">Multilingual capability in LLMs has developed through several architectural generations. Early multilingual pretrained transformers such as mT5 extended the text-to-text framework across 101 languages using a Common Crawl-derived corpus, demonstrating that a single model could achieve competitive performance on classification, structured prediction, and question-answering tasks across the XTREME benchmark suite (Xue, Constant, Roberts, et al., 2021; Hu et al., 2020). BLOOM subsequently scaled this approach to 176 billion parameters trained on the ROOTS corpus, covering 46 natural and 13 programming languages through a large international collaboration, and was released openly to counter the concentration of multilingual capability within a small number of resource-rich organizations (BigScience Workshop et al., 2022). More recent general-purpose systems, including LLaMA and GPT-4, are not explicitly designed as multilingual models but nonetheless exhibit substantial multilingual competence as an emergent property of large-scale, loosely curated pretraining data (Touvron et al., 2023; OpenAI, 2023).</w:t>
      </w:r>
    </w:p>
    <w:p>
      <w:pPr>
        <w:spacing w:after="200" w:line="276"/>
        <w:jc w:val="both"/>
      </w:pPr>
      <w:r>
        <w:rPr>
          <w:rFonts w:ascii="Times New Roman" w:cs="Times New Roman" w:eastAsia="Times New Roman" w:hAnsi="Times New Roman"/>
          <w:b w:val="false"/>
          <w:bCs w:val="false"/>
          <w:i w:val="false"/>
          <w:iCs w:val="false"/>
          <w:sz w:val="22"/>
          <w:szCs w:val="22"/>
        </w:rPr>
        <w:t xml:space="preserve">A comprehensive survey of this literature categorizes the field around a taxonomy of alignment strategies, including parameter-level, representation-level, and prompting-based alignment methods intended to transfer capability from high-resource to low-resource languages (Qin et al., 2025). This survey and others observe a persistent and well-documented asymmetry: model capability strongly tracks the volume of pretraining data available for a given language, which in turn correlates with the language's economic and publishing status rather than with the number of its speakers (Qin et al., 2025).</w:t>
      </w:r>
    </w:p>
    <w:p>
      <w:pPr>
        <w:pStyle w:val="Heading2"/>
        <w:spacing w:after="120" w:before="220"/>
      </w:pPr>
      <w:r>
        <w:rPr>
          <w:rFonts w:ascii="Times New Roman" w:cs="Times New Roman" w:eastAsia="Times New Roman" w:hAnsi="Times New Roman"/>
          <w:b/>
          <w:bCs/>
          <w:i/>
          <w:iCs/>
          <w:sz w:val="24"/>
          <w:szCs w:val="24"/>
        </w:rPr>
        <w:t xml:space="preserve">2.2 Multilingual Evaluation Benchmarks</w:t>
      </w:r>
    </w:p>
    <w:p>
      <w:pPr>
        <w:spacing w:after="200" w:line="276"/>
        <w:jc w:val="both"/>
      </w:pPr>
      <w:r>
        <w:rPr>
          <w:rFonts w:ascii="Times New Roman" w:cs="Times New Roman" w:eastAsia="Times New Roman" w:hAnsi="Times New Roman"/>
          <w:b w:val="false"/>
          <w:bCs w:val="false"/>
          <w:i w:val="false"/>
          <w:iCs w:val="false"/>
          <w:sz w:val="22"/>
          <w:szCs w:val="22"/>
        </w:rPr>
        <w:t xml:space="preserve">The evaluation of multilingual LLMs has matured alongside the models themselves. XTREME established an early standard by aggregating multiple cross-lingual tasks, including question answering and structured prediction, across a typologically diverse set of languages (Hu et al., 2020). More recent benchmarks have targeted the reasoning and knowledge capabilities of contemporary LLMs specifically. MMLU-ProX extends the reasoning-focused MMLU-Pro benchmark to 29 languages using a semi-automatic translation-and-expert-review pipeline, and finds that even the strongest evaluated models exceed 70% accuracy in English but fall to roughly 40% in lower-resource languages such as Swahili (Xuan et al., 2025). Domain-specific benchmarks reveal comparable patterns: MedExpQA, the first multilingual benchmark for medical question answering to include gold-standard explanations, reports an approximately ten-point accuracy drop when moving from English to other languages, even though English itself remains far from a ceiling (García-Ferrero et al., 2024). Safety-oriented multilingual benchmarks similarly report that helpfulness and safety outcomes vary substantially across languages with comparable resource levels, indicating that resource availability alone does not fully explain the observed disparities (LinguaSafe benchmark literature, cited in Section 3).</w:t>
      </w:r>
    </w:p>
    <w:p>
      <w:pPr>
        <w:pStyle w:val="Heading2"/>
        <w:spacing w:after="120" w:before="220"/>
      </w:pPr>
      <w:r>
        <w:rPr>
          <w:rFonts w:ascii="Times New Roman" w:cs="Times New Roman" w:eastAsia="Times New Roman" w:hAnsi="Times New Roman"/>
          <w:b/>
          <w:bCs/>
          <w:i/>
          <w:iCs/>
          <w:sz w:val="24"/>
          <w:szCs w:val="24"/>
        </w:rPr>
        <w:t xml:space="preserve">2.3 Hallucination as a Reliability Problem</w:t>
      </w:r>
    </w:p>
    <w:p>
      <w:pPr>
        <w:spacing w:after="200" w:line="276"/>
        <w:jc w:val="both"/>
      </w:pPr>
      <w:r>
        <w:rPr>
          <w:rFonts w:ascii="Times New Roman" w:cs="Times New Roman" w:eastAsia="Times New Roman" w:hAnsi="Times New Roman"/>
          <w:b w:val="false"/>
          <w:bCs w:val="false"/>
          <w:i w:val="false"/>
          <w:iCs w:val="false"/>
          <w:sz w:val="22"/>
          <w:szCs w:val="22"/>
        </w:rPr>
        <w:t xml:space="preserve">Underlying much of the multilingual reliability literature is the broader phenomenon of hallucination: the tendency of LLMs to generate fluent text that is factually incorrect or unsupported by any source (Ji et al., 2023). A comprehensive taxonomy of this literature distinguishes factuality hallucinations, in which generated content contradicts verifiable real-world facts, from faithfulness hallucinations, in which generated content is inconsistent with a provided source document, and surveys mitigation strategies spanning training-time, retrieval-based, and post-hoc correction methods (Huang et al., 2025). Hallucination is not evenly distributed across languages. Investigations of conversational hallucination across Hindi, Farsi, and Mandarin report systematically different hallucination rates by language even when using the same underlying model and comparable prompts, and researchers attribute part of this variation to differences in training-data volume, script complexity, and morphological structure (Huang et al., 2025). This body of work forms the conceptual foundation for the discussion of scientific-literature-specific reliability that follows in Section 3.</w:t>
      </w:r>
    </w:p>
    <w:p>
      <w:pPr>
        <w:pStyle w:val="Heading2"/>
        <w:spacing w:after="120" w:before="220"/>
      </w:pPr>
      <w:r>
        <w:rPr>
          <w:rFonts w:ascii="Times New Roman" w:cs="Times New Roman" w:eastAsia="Times New Roman" w:hAnsi="Times New Roman"/>
          <w:b/>
          <w:bCs/>
          <w:i/>
          <w:iCs/>
          <w:sz w:val="24"/>
          <w:szCs w:val="24"/>
        </w:rPr>
        <w:t xml:space="preserve">2.4 LLMs in Literature Review and Evidence Synthesis</w:t>
      </w:r>
    </w:p>
    <w:p>
      <w:pPr>
        <w:spacing w:after="200" w:line="276"/>
        <w:jc w:val="both"/>
      </w:pPr>
      <w:r>
        <w:rPr>
          <w:rFonts w:ascii="Times New Roman" w:cs="Times New Roman" w:eastAsia="Times New Roman" w:hAnsi="Times New Roman"/>
          <w:b w:val="false"/>
          <w:bCs w:val="false"/>
          <w:i w:val="false"/>
          <w:iCs w:val="false"/>
          <w:sz w:val="22"/>
          <w:szCs w:val="22"/>
        </w:rPr>
        <w:t xml:space="preserve">A parallel line of research has evaluated LLMs directly within the systematic review and evidence-synthesis pipeline. A large-scale, LLM-assisted systematic review of this literature retrieved 3,788 candidate articles and identified 172 eligible studies describing the use of LLMs to automate stages of the review process, finding that GPT-based architectures dominated the reported implementations and that title/abstract screening was the most frequently automated stage (Scherbakov et al., 2025). Complementary work published in the Proceedings of the National Academy of Sciences evaluated eighteen different LLMs on their ability to replicate human title-and-abstract screening decisions across three systematic reviews, concluding that LLMs can substantially reduce manual screening workload but that their performance depends heavily on how inclusion and exclusion criteria are specified, and that retrieval-augmented approaches show promise for scaling the search and synthesis stages (Transforming literature screening, PNAS 2025). Almost all of this evidence, however, concerns English-language corpora and English-language prompting, leaving open the question of how such pipelines perform when applied to, or generated in, other languages -- the central concern of this paper.</w:t>
      </w:r>
    </w:p>
    <w:p>
      <w:pPr>
        <w:pStyle w:val="Heading1"/>
        <w:spacing w:after="160" w:before="320"/>
      </w:pPr>
      <w:r>
        <w:rPr>
          <w:rFonts w:ascii="Times New Roman" w:cs="Times New Roman" w:eastAsia="Times New Roman" w:hAnsi="Times New Roman"/>
          <w:b/>
          <w:bCs/>
          <w:sz w:val="26"/>
          <w:szCs w:val="26"/>
        </w:rPr>
        <w:t xml:space="preserve">3. Main Thematic and Technical Discussion: Mechanisms of Multilingual Unreliability</w:t>
      </w:r>
    </w:p>
    <w:p>
      <w:pPr>
        <w:pStyle w:val="Heading2"/>
        <w:spacing w:after="120" w:before="220"/>
      </w:pPr>
      <w:r>
        <w:rPr>
          <w:rFonts w:ascii="Times New Roman" w:cs="Times New Roman" w:eastAsia="Times New Roman" w:hAnsi="Times New Roman"/>
          <w:b/>
          <w:bCs/>
          <w:i/>
          <w:iCs/>
          <w:sz w:val="24"/>
          <w:szCs w:val="24"/>
        </w:rPr>
        <w:t xml:space="preserve">3.1 Cross-Lingual Performance Degradation</w:t>
      </w:r>
    </w:p>
    <w:p>
      <w:pPr>
        <w:spacing w:after="200" w:line="276"/>
        <w:jc w:val="both"/>
      </w:pPr>
      <w:r>
        <w:rPr>
          <w:rFonts w:ascii="Times New Roman" w:cs="Times New Roman" w:eastAsia="Times New Roman" w:hAnsi="Times New Roman"/>
          <w:b w:val="false"/>
          <w:bCs w:val="false"/>
          <w:i w:val="false"/>
          <w:iCs w:val="false"/>
          <w:sz w:val="22"/>
          <w:szCs w:val="22"/>
        </w:rPr>
        <w:t xml:space="preserve">The most consistently reported finding across multilingual benchmarks is a monotonic decline in task accuracy as evaluation languages move further from English in terms of pretraining-data volume and typological similarity. MMLU-ProX documents this decline directly across 29 languages and 25 evaluated models, showing a nearly thirty-point accuracy gap between the best- and worst-performing languages within the same model (Xuan et al., 2025). This pattern recurs in domain-specific settings: multilingual medical question answering exhibits comparable degradation even when models are provided with retrieved reference material, suggesting that the gap is not solely a knowledge-access problem but also reflects weaker cross-lingual reasoning and language-specific comprehension (García-Ferrero et al., 2024). Persian-language biomedical consumer question answering and Persian-English bilingual medical benchmarks report similar findings, reinforcing that the degradation generalizes across unrelated evaluation efforts and model families rather than being an artifact of any single benchmark's design.</w:t>
      </w:r>
    </w:p>
    <w:p>
      <w:pPr>
        <w:pStyle w:val="Heading2"/>
        <w:spacing w:after="120" w:before="220"/>
      </w:pPr>
      <w:r>
        <w:rPr>
          <w:rFonts w:ascii="Times New Roman" w:cs="Times New Roman" w:eastAsia="Times New Roman" w:hAnsi="Times New Roman"/>
          <w:b/>
          <w:bCs/>
          <w:i/>
          <w:iCs/>
          <w:sz w:val="24"/>
          <w:szCs w:val="24"/>
        </w:rPr>
        <w:t xml:space="preserve">3.2 Hallucination Patterns Across Languages</w:t>
      </w:r>
    </w:p>
    <w:p>
      <w:pPr>
        <w:spacing w:after="200" w:line="276"/>
        <w:jc w:val="both"/>
      </w:pPr>
      <w:r>
        <w:rPr>
          <w:rFonts w:ascii="Times New Roman" w:cs="Times New Roman" w:eastAsia="Times New Roman" w:hAnsi="Times New Roman"/>
          <w:b w:val="false"/>
          <w:bCs w:val="false"/>
          <w:i w:val="false"/>
          <w:iCs w:val="false"/>
          <w:sz w:val="22"/>
          <w:szCs w:val="22"/>
        </w:rPr>
        <w:t xml:space="preserve">Beyond raw accuracy, the character of model errors changes across languages. Comparative investigations of conversational hallucination in Hindi, Farsi, and Mandarin find that models hallucinate at different rates and in different ways across these languages, even holding the underlying model and task constant, with Mandarin showing comparatively lower hallucination rates than Hindi or Farsi in several evaluated systems. Surveys of the hallucination literature attribute part of this variation to noisy or low-quality multilingual pretraining data: continual pretraining on bilingual corpora containing artifacts, code-switched tokens, or emoji can distort the learned distribution of a target language and increase hallucination risk (Huang et al., 2025). Cross-lingual fact-checking research similarly finds that LLM-based verification systems remain strongly biased toward high-resource languages, and that translating non-English claims into English before verification, while sometimes improving raw accuracy, introduces new risks because hedging language, culturally specific references, and subtle claim-relevant nuance can be altered or lost in translation (Vykopal et al., 2024).</w:t>
      </w:r>
    </w:p>
    <w:p>
      <w:pPr>
        <w:pStyle w:val="Heading2"/>
        <w:spacing w:after="120" w:before="220"/>
      </w:pPr>
      <w:r>
        <w:rPr>
          <w:rFonts w:ascii="Times New Roman" w:cs="Times New Roman" w:eastAsia="Times New Roman" w:hAnsi="Times New Roman"/>
          <w:b/>
          <w:bCs/>
          <w:i/>
          <w:iCs/>
          <w:sz w:val="24"/>
          <w:szCs w:val="24"/>
        </w:rPr>
        <w:t xml:space="preserve">3.3 Confidence Miscalibration in Non-English Contexts</w:t>
      </w:r>
    </w:p>
    <w:p>
      <w:pPr>
        <w:spacing w:after="200" w:line="276"/>
        <w:jc w:val="both"/>
      </w:pPr>
      <w:r>
        <w:rPr>
          <w:rFonts w:ascii="Times New Roman" w:cs="Times New Roman" w:eastAsia="Times New Roman" w:hAnsi="Times New Roman"/>
          <w:b w:val="false"/>
          <w:bCs w:val="false"/>
          <w:i w:val="false"/>
          <w:iCs w:val="false"/>
          <w:sz w:val="22"/>
          <w:szCs w:val="22"/>
        </w:rPr>
        <w:t xml:space="preserve">A further dimension of unreliability concerns model confidence rather than accuracy alone. A systematic multilingual confidence-estimation study evaluating English, Japanese, Chinese, French, and Thai finds that English exhibits a distinctive linguistic dominance effect in confidence estimation for language-agnostic tasks such as factual question answering, mathematical reasoning, and scientific knowledge questions, meaning that models are both more accurate and better calibrated when queried in English than in other languages holding task difficulty constant (Xue et al., 2024). For tasks requiring culturally or geographically specific knowledge, however, the study finds that prompting in the language associated with the question's cultural context, rather than defaulting to English, improves calibration -- a finding the authors term a native-tone prompting effect (Xue et al., 2024). This has direct implications for scientific literature analysis: a researcher asking an LLM to assess its own confidence in a non-English scientific claim cannot assume that the reported confidence is as trustworthy as an equivalent English-language response would be.</w:t>
      </w:r>
    </w:p>
    <w:p>
      <w:pPr>
        <w:pStyle w:val="Heading2"/>
        <w:spacing w:after="120" w:before="220"/>
      </w:pPr>
      <w:r>
        <w:rPr>
          <w:rFonts w:ascii="Times New Roman" w:cs="Times New Roman" w:eastAsia="Times New Roman" w:hAnsi="Times New Roman"/>
          <w:b/>
          <w:bCs/>
          <w:i/>
          <w:iCs/>
          <w:sz w:val="24"/>
          <w:szCs w:val="24"/>
        </w:rPr>
        <w:t xml:space="preserve">3.4 Translation-Mediated Information Loss</w:t>
      </w:r>
    </w:p>
    <w:p>
      <w:pPr>
        <w:spacing w:after="200" w:line="276"/>
        <w:jc w:val="both"/>
      </w:pPr>
      <w:r>
        <w:rPr>
          <w:rFonts w:ascii="Times New Roman" w:cs="Times New Roman" w:eastAsia="Times New Roman" w:hAnsi="Times New Roman"/>
          <w:b w:val="false"/>
          <w:bCs w:val="false"/>
          <w:i w:val="false"/>
          <w:iCs w:val="false"/>
          <w:sz w:val="22"/>
          <w:szCs w:val="22"/>
        </w:rPr>
        <w:t xml:space="preserve">Because many multilingual applications rely, implicitly or explicitly, on translation as an intermediate step, translation quality itself becomes a reliability bottleneck. Work applying LLMs to translate full scientific articles across 28 languages while preserving native JATS XML formatting demonstrates that LLM-based translation can outperform earlier neural machine translation pipelines on scientific text, but also documents systematic failure modes including overtranslation, inconsistent handling of domain-specific terminology, and formatting drift in structured elements such as tables and equations (Kleidermacher &amp; Zou, 2025). Cross-lingual summarization research reports a related dynamic: while few-shot prompting substantially improves cross-lingual summarization quality for models such as GPT-3.5 and GPT-4 relative to zero-shot baselines, performance for genuinely low-resource target languages continues to lag behind high-resource pairs even after few-shot adaptation, and pipeline approaches that first summarize and then translate, or first translate and then summarize, are each vulnerable to compounding errors introduced at either stage (Park et al., 2024).</w:t>
      </w:r>
    </w:p>
    <w:p>
      <w:pPr>
        <w:pStyle w:val="Heading2"/>
        <w:spacing w:after="120" w:before="220"/>
      </w:pPr>
      <w:r>
        <w:rPr>
          <w:rFonts w:ascii="Times New Roman" w:cs="Times New Roman" w:eastAsia="Times New Roman" w:hAnsi="Times New Roman"/>
          <w:b/>
          <w:bCs/>
          <w:i/>
          <w:iCs/>
          <w:sz w:val="24"/>
          <w:szCs w:val="24"/>
        </w:rPr>
        <w:t xml:space="preserve">3.5 Uneven Coverage of Scientific and Technical Terminology</w:t>
      </w:r>
    </w:p>
    <w:p>
      <w:pPr>
        <w:spacing w:after="200" w:line="276"/>
        <w:jc w:val="both"/>
      </w:pPr>
      <w:r>
        <w:rPr>
          <w:rFonts w:ascii="Times New Roman" w:cs="Times New Roman" w:eastAsia="Times New Roman" w:hAnsi="Times New Roman"/>
          <w:b w:val="false"/>
          <w:bCs w:val="false"/>
          <w:i w:val="false"/>
          <w:iCs w:val="false"/>
          <w:sz w:val="22"/>
          <w:szCs w:val="22"/>
        </w:rPr>
        <w:t xml:space="preserve">Scientific literature analysis places unusually heavy demands on precise, domain-specific terminology, and this precision is disproportionately difficult to preserve across languages with limited scientific publishing traditions. Cross-lingual fact-extraction research targeting low-resource Indian languages finds that extracting structured factual triples from native-language scientific and encyclopedic text lags well behind monolingual English extraction, even when using massively multilingual pretrained models, because target languages frequently lack native technical vocabulary and rely on code-switched or transliterated English terms that models handle inconsistently (Singh et al., 2023). Multilingual medical-domain models trained specifically to address this gap, such as MMed-Llama 3, narrow but do not close the disparity, continuing to underperform on non-English clinical and biomedical question answering relative to their English-language performance even after targeted multilingual instruction tuning (Qiu et al., 2024).</w:t>
      </w:r>
    </w:p>
    <w:p>
      <w:pPr>
        <w:pStyle w:val="Heading1"/>
        <w:spacing w:after="160" w:before="320"/>
      </w:pPr>
      <w:r>
        <w:rPr>
          <w:rFonts w:ascii="Times New Roman" w:cs="Times New Roman" w:eastAsia="Times New Roman" w:hAnsi="Times New Roman"/>
          <w:b/>
          <w:bCs/>
          <w:sz w:val="26"/>
          <w:szCs w:val="26"/>
        </w:rPr>
        <w:t xml:space="preserve">4. Current Approaches and Developments</w:t>
      </w:r>
    </w:p>
    <w:p>
      <w:pPr>
        <w:pStyle w:val="Heading2"/>
        <w:spacing w:after="120" w:before="220"/>
      </w:pPr>
      <w:r>
        <w:rPr>
          <w:rFonts w:ascii="Times New Roman" w:cs="Times New Roman" w:eastAsia="Times New Roman" w:hAnsi="Times New Roman"/>
          <w:b/>
          <w:bCs/>
          <w:i/>
          <w:iCs/>
          <w:sz w:val="24"/>
          <w:szCs w:val="24"/>
        </w:rPr>
        <w:t xml:space="preserve">4.1 Retrieval-Augmented Generation</w:t>
      </w:r>
    </w:p>
    <w:p>
      <w:pPr>
        <w:spacing w:after="200" w:line="276"/>
        <w:jc w:val="both"/>
      </w:pPr>
      <w:r>
        <w:rPr>
          <w:rFonts w:ascii="Times New Roman" w:cs="Times New Roman" w:eastAsia="Times New Roman" w:hAnsi="Times New Roman"/>
          <w:b w:val="false"/>
          <w:bCs w:val="false"/>
          <w:i w:val="false"/>
          <w:iCs w:val="false"/>
          <w:sz w:val="22"/>
          <w:szCs w:val="22"/>
        </w:rPr>
        <w:t xml:space="preserve">Retrieval-augmented generation (RAG), originally proposed as a method for grounding language model output in retrieved non-parametric knowledge for knowledge-intensive NLP tasks, has become the most widely adopted mitigation strategy for hallucination in scientific and biomedical applications (Lewis et al., 2020). By conditioning generation on retrieved source passages rather than relying solely on parametric memory, RAG systems can substantially reduce factual errors and provide traceable citations for generated claims. Biomedical-domain evaluations of retrieval-augmented LLMs report meaningful gains in factual accuracy and robustness relative to non-retrieval baselines, though the same evaluations caution that retrieval quality, document relevance, and the model's own awareness of retrieval failure remain limiting factors. In the multilingual setting specifically, retrieval-augmented alignment strategies that retrieve culturally or linguistically relevant context before generation have been proposed as a way to inject knowledge that a model's parametric memory may lack for lower-resource languages (Qin et al., 2025). Systematic-review automation research similarly identifies RAG as a promising mechanism for scaling literature search, article selection, and synthesis while preserving traceability to source evidence (Transforming literature screening, PNAS 2025).</w:t>
      </w:r>
    </w:p>
    <w:p>
      <w:pPr>
        <w:pStyle w:val="Heading2"/>
        <w:spacing w:after="120" w:before="220"/>
      </w:pPr>
      <w:r>
        <w:rPr>
          <w:rFonts w:ascii="Times New Roman" w:cs="Times New Roman" w:eastAsia="Times New Roman" w:hAnsi="Times New Roman"/>
          <w:b/>
          <w:bCs/>
          <w:i/>
          <w:iCs/>
          <w:sz w:val="24"/>
          <w:szCs w:val="24"/>
        </w:rPr>
        <w:t xml:space="preserve">4.2 Multilingual Factuality and Confidence Metrics</w:t>
      </w:r>
    </w:p>
    <w:p>
      <w:pPr>
        <w:spacing w:after="200" w:line="276"/>
        <w:jc w:val="both"/>
      </w:pPr>
      <w:r>
        <w:rPr>
          <w:rFonts w:ascii="Times New Roman" w:cs="Times New Roman" w:eastAsia="Times New Roman" w:hAnsi="Times New Roman"/>
          <w:b w:val="false"/>
          <w:bCs w:val="false"/>
          <w:i w:val="false"/>
          <w:iCs w:val="false"/>
          <w:sz w:val="22"/>
          <w:szCs w:val="22"/>
        </w:rPr>
        <w:t xml:space="preserve">A second strand of current work focuses on developing evaluation metrics capable of detecting hallucination beyond English. Rather than building separate factuality evaluators for each target language, one proposed approach translates the supervision signal of an existing English factuality metric into the target language, producing a transferable multilingual factuality metric that can be incorporated into loss-weighted training to down-weight unfaithful training examples; applied to summarization, this approach measurably reduced hallucination and improved summary quality across six languages (mFACT approach, discussed in Huang et al., 2025). Complementary calibration research has shown that intermediate transformer layers, rather than only the final output layer, can carry more reliable multilingual calibration signals, suggesting that confidence estimation pipelines built solely on final-layer probabilities may understate model uncertainty in non-English generations.</w:t>
      </w:r>
    </w:p>
    <w:p>
      <w:pPr>
        <w:pStyle w:val="Heading2"/>
        <w:spacing w:after="120" w:before="220"/>
      </w:pPr>
      <w:r>
        <w:rPr>
          <w:rFonts w:ascii="Times New Roman" w:cs="Times New Roman" w:eastAsia="Times New Roman" w:hAnsi="Times New Roman"/>
          <w:b/>
          <w:bCs/>
          <w:i/>
          <w:iCs/>
          <w:sz w:val="24"/>
          <w:szCs w:val="24"/>
        </w:rPr>
        <w:t xml:space="preserve">4.3 Cross-Lingual Reasoning Strategies</w:t>
      </w:r>
    </w:p>
    <w:p>
      <w:pPr>
        <w:spacing w:after="200" w:line="276"/>
        <w:jc w:val="both"/>
      </w:pPr>
      <w:r>
        <w:rPr>
          <w:rFonts w:ascii="Times New Roman" w:cs="Times New Roman" w:eastAsia="Times New Roman" w:hAnsi="Times New Roman"/>
          <w:b w:val="false"/>
          <w:bCs w:val="false"/>
          <w:i w:val="false"/>
          <w:iCs w:val="false"/>
          <w:sz w:val="22"/>
          <w:szCs w:val="22"/>
        </w:rPr>
        <w:t xml:space="preserve">Prompting-based interventions constitute a third major category of current approaches. Cross-lingual chain-of-thought methods prompt a model to reason in a high-resource language, typically English, before producing a final answer in the target language, exploiting the stronger reasoning capability that models typically exhibit in English while still delivering output in the user's own language (Huang et al., 2025). Adaptive multilingual chain-of-thought approaches extend this idea by dynamically selecting a reasoning pathway based on the input language and task, aiming to preserve cultural and linguistic nuance that a rigid translate-then-reason pipeline would discard, and report narrowed performance gaps between high- and low-resource languages on cross-lingual factual reasoning tasks. Translation-alignment and restatement prompting strategies, in which a model is asked to translate or restate a multilingual query before answering, have likewise been shown in some settings to outperform external machine translation APIs as a preprocessing step (Qin et al., 2025).</w:t>
      </w:r>
    </w:p>
    <w:p>
      <w:pPr>
        <w:pStyle w:val="Heading2"/>
        <w:spacing w:after="120" w:before="220"/>
      </w:pPr>
      <w:r>
        <w:rPr>
          <w:rFonts w:ascii="Times New Roman" w:cs="Times New Roman" w:eastAsia="Times New Roman" w:hAnsi="Times New Roman"/>
          <w:b/>
          <w:bCs/>
          <w:i/>
          <w:iCs/>
          <w:sz w:val="24"/>
          <w:szCs w:val="24"/>
        </w:rPr>
        <w:t xml:space="preserve">4.4 Domain-Specific Multilingual Models and Benchmarks</w:t>
      </w:r>
    </w:p>
    <w:p>
      <w:pPr>
        <w:spacing w:after="200" w:line="276"/>
        <w:jc w:val="both"/>
      </w:pPr>
      <w:r>
        <w:rPr>
          <w:rFonts w:ascii="Times New Roman" w:cs="Times New Roman" w:eastAsia="Times New Roman" w:hAnsi="Times New Roman"/>
          <w:b w:val="false"/>
          <w:bCs w:val="false"/>
          <w:i w:val="false"/>
          <w:iCs w:val="false"/>
          <w:sz w:val="22"/>
          <w:szCs w:val="22"/>
        </w:rPr>
        <w:t xml:space="preserve">A fourth development is the emergence of domain-adapted multilingual models purpose-built for scientific and biomedical text. Medical mT5 and the MMed-Llama family extend general-purpose multilingual architectures with biomedical corpora and instruction tuning, and are evaluated against English-centric benchmarks such as MedQA, MedMCQA, and PubMedQA alongside newly constructed multilingual counterparts (Qiu et al., 2024; Jin et al., 2019). Persian-language consumer medical question-answering benchmarks and Persian-English bilingual clinical benchmarks extend this evaluation infrastructure to additional low-resource languages, using rubric-based, LLM-assisted grading validated against expert human annotators to assess response quality at scale. Outside biomedicine, general-purpose multilingual reasoning and multimodal benchmarks, including chart-understanding and e-commerce evaluation suites, apply comparable methodology -- parallel, expert-validated question sets across many languages -- and consistently reproduce the same high-resource advantage documented in the scientific-domain literature, indicating that the reliability gap is a general property of current multilingual LLMs rather than one confined to any single domain (Xie et al., 2025).</w:t>
      </w:r>
    </w:p>
    <w:p>
      <w:pPr>
        <w:pStyle w:val="Heading1"/>
        <w:spacing w:after="160" w:before="320"/>
      </w:pPr>
      <w:r>
        <w:rPr>
          <w:rFonts w:ascii="Times New Roman" w:cs="Times New Roman" w:eastAsia="Times New Roman" w:hAnsi="Times New Roman"/>
          <w:b/>
          <w:bCs/>
          <w:sz w:val="26"/>
          <w:szCs w:val="26"/>
        </w:rPr>
        <w:t xml:space="preserve">5. Research Challenges and Limitations</w:t>
      </w:r>
    </w:p>
    <w:p>
      <w:pPr>
        <w:spacing w:after="200" w:line="276"/>
        <w:jc w:val="both"/>
      </w:pPr>
      <w:r>
        <w:rPr>
          <w:rFonts w:ascii="Times New Roman" w:cs="Times New Roman" w:eastAsia="Times New Roman" w:hAnsi="Times New Roman"/>
          <w:b w:val="false"/>
          <w:bCs w:val="false"/>
          <w:i w:val="false"/>
          <w:iCs w:val="false"/>
          <w:sz w:val="22"/>
          <w:szCs w:val="22"/>
        </w:rPr>
        <w:t xml:space="preserve">Several methodological and practical limitations constrain what the current evidence base can support. First, multilingual benchmark construction itself introduces confounds. Most multilingual scientific and reasoning benchmarks are built by translating an English-language source benchmark, whether through professional translators, community volunteers, or LLM-assisted translation with expert review (Xuan et al., 2025). Even the most carefully constructed pipelines cannot fully guarantee that a translated item is exactly as difficult, or tests exactly the same construct, as its English source, meaning that some portion of an observed cross-lingual performance gap may reflect translation artifacts rather than genuine model limitations. This concern is compounded when the same LLMs used for evaluation are also used to generate the translated benchmark items, raising the possibility of circularity between benchmark construction and model assessment.</w:t>
      </w:r>
    </w:p>
    <w:p>
      <w:pPr>
        <w:spacing w:after="200" w:line="276"/>
        <w:jc w:val="both"/>
      </w:pPr>
      <w:r>
        <w:rPr>
          <w:rFonts w:ascii="Times New Roman" w:cs="Times New Roman" w:eastAsia="Times New Roman" w:hAnsi="Times New Roman"/>
          <w:b w:val="false"/>
          <w:bCs w:val="false"/>
          <w:i w:val="false"/>
          <w:iCs w:val="false"/>
          <w:sz w:val="22"/>
          <w:szCs w:val="22"/>
        </w:rPr>
        <w:t xml:space="preserve">Second, language coverage in the existing literature remains heavily skewed. High-resource languages such as Chinese, French, German, and Spanish are comparatively well represented across benchmarks, while genuinely low-resource languages, particularly those from Sub-Saharan Africa, South and Southeast Asia, and Indigenous language families, remain sparsely evaluated (Singh et al., 2023). Even benchmarks explicitly designed for typological diversity, such as MMLU-ProX's 29-language coverage, represent only a small fraction of the roughly 7,000 languages spoken worldwide, and the languages that are included tend to be those with the largest existing digital text corpora rather than a representative sample of global linguistic diversity (Xuan et al., 2025).</w:t>
      </w:r>
    </w:p>
    <w:p>
      <w:pPr>
        <w:spacing w:after="200" w:line="276"/>
        <w:jc w:val="both"/>
      </w:pPr>
      <w:r>
        <w:rPr>
          <w:rFonts w:ascii="Times New Roman" w:cs="Times New Roman" w:eastAsia="Times New Roman" w:hAnsi="Times New Roman"/>
          <w:b w:val="false"/>
          <w:bCs w:val="false"/>
          <w:i w:val="false"/>
          <w:iCs w:val="false"/>
          <w:sz w:val="22"/>
          <w:szCs w:val="22"/>
        </w:rPr>
        <w:t xml:space="preserve">Third, most reliability research evaluates isolated tasks such as question answering, classification, or summarization, rather than the full, multi-step literature-analysis pipelines that researchers actually use in practice. A real-world workflow -- for example, retrieving candidate articles, screening them for relevance, extracting data, and synthesizing findings into a narrative summary -- compounds errors across stages in ways that single-task benchmarks cannot capture. Evidence-synthesis-specific evaluations acknowledge this gap directly, noting that overlap between LLM-selected and human-selected articles in systematic review screening varies considerably depending on how inclusion and exclusion criteria are formulated, a sensitivity that single-task multilingual benchmarks do not test (Transforming literature screening, PNAS 2025).</w:t>
      </w:r>
    </w:p>
    <w:p>
      <w:pPr>
        <w:spacing w:after="200" w:line="276"/>
        <w:jc w:val="both"/>
      </w:pPr>
      <w:r>
        <w:rPr>
          <w:rFonts w:ascii="Times New Roman" w:cs="Times New Roman" w:eastAsia="Times New Roman" w:hAnsi="Times New Roman"/>
          <w:b w:val="false"/>
          <w:bCs w:val="false"/>
          <w:i w:val="false"/>
          <w:iCs w:val="false"/>
          <w:sz w:val="22"/>
          <w:szCs w:val="22"/>
        </w:rPr>
        <w:t xml:space="preserve">Fourth, the mitigation strategies reviewed in Section 4 each carry their own limitations. Retrieval-augmented generation depends on the availability and quality of a retrievable multilingual knowledge base; for many lower-resource languages, indexed scientific corpora suitable for retrieval are themselves sparse, limiting how much RAG can improve factuality regardless of the underlying model's capability. Cross-lingual chain-of-thought and translation-alignment prompting depend on the same underlying English-centric reasoning capability they are trying to leverage, and can therefore propagate English-centric framings, idioms, or cultural assumptions into ostensibly native-language output (Qin et al., 2025). Multilingual factuality metrics built by transferring English supervision signals inherit whatever biases or blind spots exist in the original English metric.</w:t>
      </w:r>
    </w:p>
    <w:p>
      <w:pPr>
        <w:spacing w:after="200" w:line="276"/>
        <w:jc w:val="both"/>
      </w:pPr>
      <w:r>
        <w:rPr>
          <w:rFonts w:ascii="Times New Roman" w:cs="Times New Roman" w:eastAsia="Times New Roman" w:hAnsi="Times New Roman"/>
          <w:b w:val="false"/>
          <w:bCs w:val="false"/>
          <w:i w:val="false"/>
          <w:iCs w:val="false"/>
          <w:sz w:val="22"/>
          <w:szCs w:val="22"/>
        </w:rPr>
        <w:t xml:space="preserve">Fifth, human evaluation, which remains the gold standard for assessing hallucination and faithfulness, is expensive to scale across many languages and requires domain-expert bilingual annotators who are themselves a scarce resource, particularly for specialized scientific subfields. Several of the benchmarks reviewed here rely on LLM-based automated grading validated against a comparatively small set of human-annotated examples, which is a pragmatic compromise but leaves open the possibility that grading errors correlate with the same language-resource asymmetries being measured.</w:t>
      </w:r>
    </w:p>
    <w:p>
      <w:pPr>
        <w:spacing w:after="200" w:line="276"/>
        <w:jc w:val="both"/>
      </w:pPr>
      <w:r>
        <w:rPr>
          <w:rFonts w:ascii="Times New Roman" w:cs="Times New Roman" w:eastAsia="Times New Roman" w:hAnsi="Times New Roman"/>
          <w:b w:val="false"/>
          <w:bCs w:val="false"/>
          <w:i w:val="false"/>
          <w:iCs w:val="false"/>
          <w:sz w:val="22"/>
          <w:szCs w:val="22"/>
        </w:rPr>
        <w:t xml:space="preserve">Finally, structural forces outside model architecture continue to shape outcomes. Language bias in scientific publishing predates LLMs and is not automatically resolved by them: recent analysis finds that bias against non-native English-speaking authors in peer review can persist even when authors use AI writing tools, because reviewers may still detect and penalize stylistic markers associated with non-native authorship, or because editorial and institutional structures continue to privilege English-medium output regardless of the tools available to authors (Stanford HAI research on AI-mediated publishing bias, 2025). This suggests that technical improvements to multilingual reliability, while necessary, are unlikely to be sufficient to achieve equitable access to scientific knowledge on their own.</w:t>
      </w:r>
    </w:p>
    <w:p>
      <w:pPr>
        <w:pStyle w:val="Heading1"/>
        <w:spacing w:after="160" w:before="320"/>
      </w:pPr>
      <w:r>
        <w:rPr>
          <w:rFonts w:ascii="Times New Roman" w:cs="Times New Roman" w:eastAsia="Times New Roman" w:hAnsi="Times New Roman"/>
          <w:b/>
          <w:bCs/>
          <w:sz w:val="26"/>
          <w:szCs w:val="26"/>
        </w:rPr>
        <w:t xml:space="preserve">6. Research Gaps and Future Directions</w:t>
      </w:r>
    </w:p>
    <w:p>
      <w:pPr>
        <w:pStyle w:val="Heading2"/>
        <w:spacing w:after="120" w:before="220"/>
      </w:pPr>
      <w:r>
        <w:rPr>
          <w:rFonts w:ascii="Times New Roman" w:cs="Times New Roman" w:eastAsia="Times New Roman" w:hAnsi="Times New Roman"/>
          <w:b/>
          <w:bCs/>
          <w:i/>
          <w:iCs/>
          <w:sz w:val="24"/>
          <w:szCs w:val="24"/>
        </w:rPr>
        <w:t xml:space="preserve">6.1 Standardized, Task-Realistic Multilingual Evaluation</w:t>
      </w:r>
    </w:p>
    <w:p>
      <w:pPr>
        <w:spacing w:after="200" w:line="276"/>
        <w:jc w:val="both"/>
      </w:pPr>
      <w:r>
        <w:rPr>
          <w:rFonts w:ascii="Times New Roman" w:cs="Times New Roman" w:eastAsia="Times New Roman" w:hAnsi="Times New Roman"/>
          <w:b w:val="false"/>
          <w:bCs w:val="false"/>
          <w:i w:val="false"/>
          <w:iCs w:val="false"/>
          <w:sz w:val="22"/>
          <w:szCs w:val="22"/>
        </w:rPr>
        <w:t xml:space="preserve">The field lacks a widely adopted, standardized protocol for evaluating multilingual reliability specifically within scientific-literature workflows, as opposed to general-purpose knowledge or reasoning tasks. Future benchmark development should prioritize end-to-end pipeline evaluation, natively authored rather than translated evaluation items where feasible, and error taxonomies that distinguish translation-induced errors from genuine reasoning or factuality failures, building on the taxonomy work already established for hallucination more broadly (Huang et al., 2025; Ji et al., 2023).</w:t>
      </w:r>
    </w:p>
    <w:p>
      <w:pPr>
        <w:pStyle w:val="Heading2"/>
        <w:spacing w:after="120" w:before="220"/>
      </w:pPr>
      <w:r>
        <w:rPr>
          <w:rFonts w:ascii="Times New Roman" w:cs="Times New Roman" w:eastAsia="Times New Roman" w:hAnsi="Times New Roman"/>
          <w:b/>
          <w:bCs/>
          <w:i/>
          <w:iCs/>
          <w:sz w:val="24"/>
          <w:szCs w:val="24"/>
        </w:rPr>
        <w:t xml:space="preserve">6.2 Expanding Coverage to Genuinely Low-Resource Languages</w:t>
      </w:r>
    </w:p>
    <w:p>
      <w:pPr>
        <w:spacing w:after="200" w:line="276"/>
        <w:jc w:val="both"/>
      </w:pPr>
      <w:r>
        <w:rPr>
          <w:rFonts w:ascii="Times New Roman" w:cs="Times New Roman" w:eastAsia="Times New Roman" w:hAnsi="Times New Roman"/>
          <w:b w:val="false"/>
          <w:bCs w:val="false"/>
          <w:i w:val="false"/>
          <w:iCs w:val="false"/>
          <w:sz w:val="22"/>
          <w:szCs w:val="22"/>
        </w:rPr>
        <w:t xml:space="preserve">Existing multilingual scientific benchmarks concentrate on languages that already have substantial digital text resources. Closing this gap requires investment in native-language scientific corpora, community-engaged terminology development for languages that currently lack standardized scientific vocabularies, and evaluation designs that do not simply reuse English-source items in translation but instead test locally relevant scientific and health knowledge, an approach partially modeled by recent Persian-language biomedical benchmarks (PerMedCQA and PersianMedQA literature) but not yet extended broadly across other under-resourced language communities.</w:t>
      </w:r>
    </w:p>
    <w:p>
      <w:pPr>
        <w:pStyle w:val="Heading2"/>
        <w:spacing w:after="120" w:before="220"/>
      </w:pPr>
      <w:r>
        <w:rPr>
          <w:rFonts w:ascii="Times New Roman" w:cs="Times New Roman" w:eastAsia="Times New Roman" w:hAnsi="Times New Roman"/>
          <w:b/>
          <w:bCs/>
          <w:i/>
          <w:iCs/>
          <w:sz w:val="24"/>
          <w:szCs w:val="24"/>
        </w:rPr>
        <w:t xml:space="preserve">6.3 Multilingual-Native Retrieval Infrastructure</w:t>
      </w:r>
    </w:p>
    <w:p>
      <w:pPr>
        <w:spacing w:after="200" w:line="276"/>
        <w:jc w:val="both"/>
      </w:pPr>
      <w:r>
        <w:rPr>
          <w:rFonts w:ascii="Times New Roman" w:cs="Times New Roman" w:eastAsia="Times New Roman" w:hAnsi="Times New Roman"/>
          <w:b w:val="false"/>
          <w:bCs w:val="false"/>
          <w:i w:val="false"/>
          <w:iCs w:val="false"/>
          <w:sz w:val="22"/>
          <w:szCs w:val="22"/>
        </w:rPr>
        <w:t xml:space="preserve">Because retrieval-augmented generation depends on the availability of a retrievable knowledge base, expanding multilingual and cross-lingual scientific retrieval infrastructure -- including multilingual embedding models, cross-lingual indices linking non-English text to authoritative English-language sources, and open multilingual scientific corpora -- represents a concrete, tractable research direction that would benefit any downstream reasoning or generation approach, independent of which underlying LLM is used (Lewis et al., 2020).</w:t>
      </w:r>
    </w:p>
    <w:p>
      <w:pPr>
        <w:pStyle w:val="Heading2"/>
        <w:spacing w:after="120" w:before="220"/>
      </w:pPr>
      <w:r>
        <w:rPr>
          <w:rFonts w:ascii="Times New Roman" w:cs="Times New Roman" w:eastAsia="Times New Roman" w:hAnsi="Times New Roman"/>
          <w:b/>
          <w:bCs/>
          <w:i/>
          <w:iCs/>
          <w:sz w:val="24"/>
          <w:szCs w:val="24"/>
        </w:rPr>
        <w:t xml:space="preserve">6.4 Calibration-Aware and Uncertainty-Communicating Systems</w:t>
      </w:r>
    </w:p>
    <w:p>
      <w:pPr>
        <w:spacing w:after="200" w:line="276"/>
        <w:jc w:val="both"/>
      </w:pPr>
      <w:r>
        <w:rPr>
          <w:rFonts w:ascii="Times New Roman" w:cs="Times New Roman" w:eastAsia="Times New Roman" w:hAnsi="Times New Roman"/>
          <w:b w:val="false"/>
          <w:bCs w:val="false"/>
          <w:i w:val="false"/>
          <w:iCs w:val="false"/>
          <w:sz w:val="22"/>
          <w:szCs w:val="22"/>
        </w:rPr>
        <w:t xml:space="preserve">Given documented cross-lingual miscalibration (Xue et al., 2024), future systems intended for scientific use should be designed to communicate uncertainty honestly rather than presenting equally confident-sounding output regardless of the underlying language's reliability profile. This could include language-aware confidence thresholds that trigger human review more readily for lower-resource-language outputs, or interface designs that surface retrieval provenance and confidence estimates directly to the user rather than embedding them invisibly in generation.</w:t>
      </w:r>
    </w:p>
    <w:p>
      <w:pPr>
        <w:pStyle w:val="Heading2"/>
        <w:spacing w:after="120" w:before="220"/>
      </w:pPr>
      <w:r>
        <w:rPr>
          <w:rFonts w:ascii="Times New Roman" w:cs="Times New Roman" w:eastAsia="Times New Roman" w:hAnsi="Times New Roman"/>
          <w:b/>
          <w:bCs/>
          <w:i/>
          <w:iCs/>
          <w:sz w:val="24"/>
          <w:szCs w:val="24"/>
        </w:rPr>
        <w:t xml:space="preserve">6.5 Integrating Technical and Structural Interventions</w:t>
      </w:r>
    </w:p>
    <w:p>
      <w:pPr>
        <w:spacing w:after="200" w:line="276"/>
        <w:jc w:val="both"/>
      </w:pPr>
      <w:r>
        <w:rPr>
          <w:rFonts w:ascii="Times New Roman" w:cs="Times New Roman" w:eastAsia="Times New Roman" w:hAnsi="Times New Roman"/>
          <w:b w:val="false"/>
          <w:bCs w:val="false"/>
          <w:i w:val="false"/>
          <w:iCs w:val="false"/>
          <w:sz w:val="22"/>
          <w:szCs w:val="22"/>
        </w:rPr>
        <w:t xml:space="preserve">Because language bias in scientific publishing and peer review has social and institutional roots that predate LLMs (Amano et al., 2023), future work should connect technical reliability research with editorial and policy interventions, such as reviewer training, dual-language submission and review pathways, and journal-level linguistic inclusivity policies, so that improved model reliability translates into more equitable outcomes rather than simply shifting the locus of bias from language competence to AI-detection or stylistic scrutiny.</w:t>
      </w:r>
    </w:p>
    <w:p>
      <w:pPr>
        <w:pStyle w:val="Heading2"/>
        <w:spacing w:after="120" w:before="220"/>
      </w:pPr>
      <w:r>
        <w:rPr>
          <w:rFonts w:ascii="Times New Roman" w:cs="Times New Roman" w:eastAsia="Times New Roman" w:hAnsi="Times New Roman"/>
          <w:b/>
          <w:bCs/>
          <w:i/>
          <w:iCs/>
          <w:sz w:val="24"/>
          <w:szCs w:val="24"/>
        </w:rPr>
        <w:t xml:space="preserve">6.6 Human-in-the-Loop Verification Workflows</w:t>
      </w:r>
    </w:p>
    <w:p>
      <w:pPr>
        <w:spacing w:after="200" w:line="276"/>
        <w:jc w:val="both"/>
      </w:pPr>
      <w:r>
        <w:rPr>
          <w:rFonts w:ascii="Times New Roman" w:cs="Times New Roman" w:eastAsia="Times New Roman" w:hAnsi="Times New Roman"/>
          <w:b w:val="false"/>
          <w:bCs w:val="false"/>
          <w:i w:val="false"/>
          <w:iCs w:val="false"/>
          <w:sz w:val="22"/>
          <w:szCs w:val="22"/>
        </w:rPr>
        <w:t xml:space="preserve">Finally, given that no reviewed mitigation strategy eliminates the cross-lingual reliability gap, future systems intended for scientific use should be designed around human-in-the-loop verification by default, particularly for non-English and lower-resource-language outputs, rather than treating human review as an optional safeguard. Evidence-synthesis-automation research already models this approach for English-language systematic reviews, where LLM output augments rather than replaces expert screening (Scherbakov et al., 2025); extending this design principle explicitly and by default to multilingual contexts is a natural and needed next step.</w:t>
      </w:r>
    </w:p>
    <w:p>
      <w:pPr>
        <w:pStyle w:val="Heading1"/>
        <w:spacing w:after="160" w:before="320"/>
      </w:pPr>
      <w:r>
        <w:rPr>
          <w:rFonts w:ascii="Times New Roman" w:cs="Times New Roman" w:eastAsia="Times New Roman" w:hAnsi="Times New Roman"/>
          <w:b/>
          <w:bCs/>
          <w:sz w:val="26"/>
          <w:szCs w:val="26"/>
        </w:rPr>
        <w:t xml:space="preserve">7. Conclusion</w:t>
      </w:r>
    </w:p>
    <w:p>
      <w:pPr>
        <w:spacing w:after="200" w:line="276"/>
        <w:jc w:val="both"/>
      </w:pPr>
      <w:r>
        <w:rPr>
          <w:rFonts w:ascii="Times New Roman" w:cs="Times New Roman" w:eastAsia="Times New Roman" w:hAnsi="Times New Roman"/>
          <w:b w:val="false"/>
          <w:bCs w:val="false"/>
          <w:i w:val="false"/>
          <w:iCs w:val="false"/>
          <w:sz w:val="22"/>
          <w:szCs w:val="22"/>
        </w:rPr>
        <w:t xml:space="preserve">Large language models offer genuine, empirically documented potential to reduce language barriers in scientific literature analysis, from translating full articles to answering domain-specific questions in a researcher's native language (Kleidermacher &amp; Zou, 2025; García-Ferrero et al., 2024). At the same time, a convergent body of evidence spanning general-purpose reasoning benchmarks, biomedical question answering, hallucination research, and confidence-calibration studies demonstrates that this potential is currently realized unevenly: model reliability declines, sometimes sharply, as evaluation moves away from English and toward lower-resource languages, and this decline manifests not only as lower accuracy but as distinct, language-specific hallucination patterns and systematic overconfidence (Xuan et al., 2025; Huang et al., 2025; Xue et al., 2024). Current mitigation strategies, including retrieval-augmented generation, multilingual factuality metrics, and cross-lingual reasoning prompts, meaningfully narrow this gap for specific tasks but do not close it, and each carries its own dependencies and limitations (Lewis et al., 2020; Qin et al., 2025). For the scientific community, this implies that multilingual LLM outputs cannot yet be trusted uniformly across languages, and that responsible deployment in literature analysis workflows requires calibrated skepticism, transparent provenance, and continued human oversight, particularly for lower-resource languages. Closing the remaining gap will require coordinated progress on standardized task-realistic evaluation, expanded low-resource language coverage, stronger multilingual retrieval infrastructure, and structural reforms to scientific publishing that address language bias directly rather than assuming it will be resolved by model improvements alone.</w:t>
      </w:r>
    </w:p>
    <w:p>
      <w:pPr>
        <w:pStyle w:val="Heading1"/>
        <w:spacing w:after="160" w:before="320"/>
      </w:pPr>
      <w:r>
        <w:rPr>
          <w:rFonts w:ascii="Times New Roman" w:cs="Times New Roman" w:eastAsia="Times New Roman" w:hAnsi="Times New Roman"/>
          <w:b/>
          <w:bCs/>
          <w:sz w:val="26"/>
          <w:szCs w:val="26"/>
        </w:rPr>
        <w:t xml:space="preserve">Complete References</w:t>
      </w:r>
    </w:p>
    <w:p>
      <w:pPr>
        <w:spacing w:after="160" w:line="264"/>
        <w:ind w:left="431" w:hanging="431"/>
        <w:jc w:val="both"/>
      </w:pPr>
      <w:r>
        <w:rPr>
          <w:rFonts w:ascii="Times New Roman" w:cs="Times New Roman" w:eastAsia="Times New Roman" w:hAnsi="Times New Roman"/>
          <w:sz w:val="20"/>
          <w:szCs w:val="20"/>
        </w:rPr>
        <w:t xml:space="preserve">Amano, T., Ramírez-Castañeda, V., Berdejo-Espinola, V., Borokini, I., Chowdhury, S., Golivets, M., González-Trujillo, J. D., Montaño-Centellas, F., Paudel, K., White, R. L., &amp; Veríssimo, D. (2023). The manifold costs of being a non-native English speaker in science. PLOS Biology, 21(7), e3002184. https://doi.org/10.1371/journal.pbio.3002184; PMID: 37463136.</w:t>
      </w:r>
    </w:p>
    <w:p>
      <w:pPr>
        <w:spacing w:after="160" w:line="264"/>
        <w:ind w:left="431" w:hanging="431"/>
        <w:jc w:val="both"/>
      </w:pPr>
      <w:r>
        <w:rPr>
          <w:rFonts w:ascii="Times New Roman" w:cs="Times New Roman" w:eastAsia="Times New Roman" w:hAnsi="Times New Roman"/>
          <w:sz w:val="20"/>
          <w:szCs w:val="20"/>
        </w:rPr>
        <w:t xml:space="preserve">BigScience Workshop, Le Scao, T., Fan, A., Akiki, C., Pavlick, E., Ilić, S., Hesslow, D., Castagné, R., Luccioni, A. S., Yvon, F., Gallé, M., Tow, J., Rush, A. M., Biderman, S., Webson, A., Ammanamanchi, P. S., Wang, T., Sagot, B., Muennighoff, N., … Raffel, C. (2022). BLOOM: A 176B-parameter open-access multilingual language model. arXiv:2211.05100. https://doi.org/10.48550/arXiv.2211.05100</w:t>
      </w:r>
    </w:p>
    <w:p>
      <w:pPr>
        <w:spacing w:after="160" w:line="264"/>
        <w:ind w:left="431" w:hanging="431"/>
        <w:jc w:val="both"/>
      </w:pPr>
      <w:r>
        <w:rPr>
          <w:rFonts w:ascii="Times New Roman" w:cs="Times New Roman" w:eastAsia="Times New Roman" w:hAnsi="Times New Roman"/>
          <w:sz w:val="20"/>
          <w:szCs w:val="20"/>
        </w:rPr>
        <w:t xml:space="preserve">García-Ferrero, I., Agerri, R., Salazar, A. A., Cabrio, E., de la Iglesia, I., Lavelli, A., Magnini, B., Martínez, B., Molinet, A., Ramírez-Romero, M., Rodríguez-Miret, J., Villegas, M., Wang, A., &amp; Zambrano, S. (2024). MedExpQA: Multilingual benchmarking of large language models for medical question answering. Artificial Intelligence in Medicine, 155, 102938. https://doi.org/10.1016/j.artmed.2024.102938</w:t>
      </w:r>
    </w:p>
    <w:p>
      <w:pPr>
        <w:spacing w:after="160" w:line="264"/>
        <w:ind w:left="431" w:hanging="431"/>
        <w:jc w:val="both"/>
      </w:pPr>
      <w:r>
        <w:rPr>
          <w:rFonts w:ascii="Times New Roman" w:cs="Times New Roman" w:eastAsia="Times New Roman" w:hAnsi="Times New Roman"/>
          <w:sz w:val="20"/>
          <w:szCs w:val="20"/>
        </w:rPr>
        <w:t xml:space="preserve">Hu, J., Ruder, S., Siddhant, A., Neubig, G., Firat, O., &amp; Johnson, M. (2020). XTREME: A massively multilingual multi-task benchmark for evaluating cross-lingual generalization. In Proceedings of the 37th International Conference on Machine Learning (ICML 2020), PMLR 119, 4411–4421.</w:t>
      </w:r>
    </w:p>
    <w:p>
      <w:pPr>
        <w:spacing w:after="160" w:line="264"/>
        <w:ind w:left="431" w:hanging="431"/>
        <w:jc w:val="both"/>
      </w:pPr>
      <w:r>
        <w:rPr>
          <w:rFonts w:ascii="Times New Roman" w:cs="Times New Roman" w:eastAsia="Times New Roman" w:hAnsi="Times New Roman"/>
          <w:sz w:val="20"/>
          <w:szCs w:val="20"/>
        </w:rPr>
        <w:t xml:space="preserve">Huang, L., Yu, W., Ma, W., Zhong, W., Feng, Z., Wang, H., Chen, Q., Peng, W., Feng, X., Qin, B., &amp; Liu, T. (2025). A survey on hallucination in large language models: Principles, taxonomy, challenges, and open questions. ACM Transactions on Information Systems, 43(2), Article 42.</w:t>
      </w:r>
    </w:p>
    <w:p>
      <w:pPr>
        <w:spacing w:after="160" w:line="264"/>
        <w:ind w:left="431" w:hanging="431"/>
        <w:jc w:val="both"/>
      </w:pPr>
      <w:r>
        <w:rPr>
          <w:rFonts w:ascii="Times New Roman" w:cs="Times New Roman" w:eastAsia="Times New Roman" w:hAnsi="Times New Roman"/>
          <w:sz w:val="20"/>
          <w:szCs w:val="20"/>
        </w:rPr>
        <w:t xml:space="preserve">Ji, Z., Lee, N., Frieske, R., Yu, T., Su, D., Xu, Y., Ishii, E., Bang, Y. J., Madotto, A., &amp; Fung, P. (2023). Survey of hallucination in natural language generation. ACM Computing Surveys, 55(12), Article 248. https://doi.org/10.1145/3571730</w:t>
      </w:r>
    </w:p>
    <w:p>
      <w:pPr>
        <w:spacing w:after="160" w:line="264"/>
        <w:ind w:left="431" w:hanging="431"/>
        <w:jc w:val="both"/>
      </w:pPr>
      <w:r>
        <w:rPr>
          <w:rFonts w:ascii="Times New Roman" w:cs="Times New Roman" w:eastAsia="Times New Roman" w:hAnsi="Times New Roman"/>
          <w:sz w:val="20"/>
          <w:szCs w:val="20"/>
        </w:rPr>
        <w:t xml:space="preserve">Jin, Q., Dhingra, B., Liu, Z., Cohen, W. W., &amp; Lu, X. (2019). PubMedQA: A dataset for biomedical research question answering. In Proceedings of the 2019 Conference on Empirical Methods in Natural Language Processing and the 9th International Joint Conference on Natural Language Processing (EMNLP-IJCNLP), 2567–2577.</w:t>
      </w:r>
    </w:p>
    <w:p>
      <w:pPr>
        <w:spacing w:after="160" w:line="264"/>
        <w:ind w:left="431" w:hanging="431"/>
        <w:jc w:val="both"/>
      </w:pPr>
      <w:r>
        <w:rPr>
          <w:rFonts w:ascii="Times New Roman" w:cs="Times New Roman" w:eastAsia="Times New Roman" w:hAnsi="Times New Roman"/>
          <w:sz w:val="20"/>
          <w:szCs w:val="20"/>
        </w:rPr>
        <w:t xml:space="preserve">Kleidermacher, H. C., &amp; Zou, J. (2025). Science across languages: Assessing LLM multilingual translation of scientific papers. arXiv:2502.17882. https://doi.org/10.48550/arXiv.2502.17882</w:t>
      </w:r>
    </w:p>
    <w:p>
      <w:pPr>
        <w:spacing w:after="160" w:line="264"/>
        <w:ind w:left="431" w:hanging="431"/>
        <w:jc w:val="both"/>
      </w:pPr>
      <w:r>
        <w:rPr>
          <w:rFonts w:ascii="Times New Roman" w:cs="Times New Roman" w:eastAsia="Times New Roman" w:hAnsi="Times New Roman"/>
          <w:sz w:val="20"/>
          <w:szCs w:val="20"/>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spacing w:after="160" w:line="264"/>
        <w:ind w:left="431" w:hanging="431"/>
        <w:jc w:val="both"/>
      </w:pPr>
      <w:r>
        <w:rPr>
          <w:rFonts w:ascii="Times New Roman" w:cs="Times New Roman" w:eastAsia="Times New Roman" w:hAnsi="Times New Roman"/>
          <w:sz w:val="20"/>
          <w:szCs w:val="20"/>
        </w:rPr>
        <w:t xml:space="preserve">Nori, H., King, N., McKinney, S. M., Carignan, D., &amp; Horvitz, E. (2023). Capabilities of GPT-4 on medical challenge problems. arXiv:2303.13375.</w:t>
      </w:r>
    </w:p>
    <w:p>
      <w:pPr>
        <w:spacing w:after="160" w:line="264"/>
        <w:ind w:left="431" w:hanging="431"/>
        <w:jc w:val="both"/>
      </w:pPr>
      <w:r>
        <w:rPr>
          <w:rFonts w:ascii="Times New Roman" w:cs="Times New Roman" w:eastAsia="Times New Roman" w:hAnsi="Times New Roman"/>
          <w:sz w:val="20"/>
          <w:szCs w:val="20"/>
        </w:rPr>
        <w:t xml:space="preserve">OpenAI. (2023). GPT-4 technical report. arXiv:2303.08774. https://doi.org/10.48550/arXiv.2303.08774</w:t>
      </w:r>
    </w:p>
    <w:p>
      <w:pPr>
        <w:spacing w:after="160" w:line="264"/>
        <w:ind w:left="431" w:hanging="431"/>
        <w:jc w:val="both"/>
      </w:pPr>
      <w:r>
        <w:rPr>
          <w:rFonts w:ascii="Times New Roman" w:cs="Times New Roman" w:eastAsia="Times New Roman" w:hAnsi="Times New Roman"/>
          <w:sz w:val="20"/>
          <w:szCs w:val="20"/>
        </w:rPr>
        <w:t xml:space="preserve">Park, G., Hwang, S., &amp; Lee, H. (2024). Low-resource cross-lingual summarization through few-shot learning with large language models. arXiv:2406.04630.</w:t>
      </w:r>
    </w:p>
    <w:p>
      <w:pPr>
        <w:spacing w:after="160" w:line="264"/>
        <w:ind w:left="431" w:hanging="431"/>
        <w:jc w:val="both"/>
      </w:pPr>
      <w:r>
        <w:rPr>
          <w:rFonts w:ascii="Times New Roman" w:cs="Times New Roman" w:eastAsia="Times New Roman" w:hAnsi="Times New Roman"/>
          <w:sz w:val="20"/>
          <w:szCs w:val="20"/>
        </w:rPr>
        <w:t xml:space="preserve">Qin, L., Chen, Q., Zhou, Y., Chen, Z., Li, Y., Liao, L., Li, M., Che, W., &amp; Yu, P. S. (2025). A survey of multilingual large language models. Patterns, 6(1), 101118. https://doi.org/10.1016/j.patter.2024.101118</w:t>
      </w:r>
    </w:p>
    <w:p>
      <w:pPr>
        <w:spacing w:after="160" w:line="264"/>
        <w:ind w:left="431" w:hanging="431"/>
        <w:jc w:val="both"/>
      </w:pPr>
      <w:r>
        <w:rPr>
          <w:rFonts w:ascii="Times New Roman" w:cs="Times New Roman" w:eastAsia="Times New Roman" w:hAnsi="Times New Roman"/>
          <w:sz w:val="20"/>
          <w:szCs w:val="20"/>
        </w:rPr>
        <w:t xml:space="preserve">Qiu, P., Wu, C., Zhang, X., Lin, W., Wang, H., Zhang, Y., Wang, Y., &amp; Xie, W. (2024). Towards building multilingual language model for medicine. Nature Communications, 15, 8384. https://doi.org/10.1038/s41467-024-52417-z</w:t>
      </w:r>
    </w:p>
    <w:p>
      <w:pPr>
        <w:spacing w:after="160" w:line="264"/>
        <w:ind w:left="431" w:hanging="431"/>
        <w:jc w:val="both"/>
      </w:pPr>
      <w:r>
        <w:rPr>
          <w:rFonts w:ascii="Times New Roman" w:cs="Times New Roman" w:eastAsia="Times New Roman" w:hAnsi="Times New Roman"/>
          <w:sz w:val="20"/>
          <w:szCs w:val="20"/>
        </w:rPr>
        <w:t xml:space="preserve">Scherbakov, D., Hubig, N., Jansari, V., Bakumenko, A., &amp; Lenert, L. A. (2025). The emergence of large language models as tools in literature reviews: A large language model-assisted systematic review. Journal of the American Medical Informatics Association, 32(6), 1071–1086. https://doi.org/10.1093/jamia/ocaf063</w:t>
      </w:r>
    </w:p>
    <w:p>
      <w:pPr>
        <w:spacing w:after="160" w:line="264"/>
        <w:ind w:left="431" w:hanging="431"/>
        <w:jc w:val="both"/>
      </w:pPr>
      <w:r>
        <w:rPr>
          <w:rFonts w:ascii="Times New Roman" w:cs="Times New Roman" w:eastAsia="Times New Roman" w:hAnsi="Times New Roman"/>
          <w:sz w:val="20"/>
          <w:szCs w:val="20"/>
        </w:rPr>
        <w:t xml:space="preserve">Singh, B., Kandru, P., Sharma, A., &amp; Varma, V. (2023). Massively multilingual language models for cross lingual fact extraction from low resource Indian languages. arXiv:2302.04790.</w:t>
      </w:r>
    </w:p>
    <w:p>
      <w:pPr>
        <w:spacing w:after="160" w:line="264"/>
        <w:ind w:left="431" w:hanging="431"/>
        <w:jc w:val="both"/>
      </w:pPr>
      <w:r>
        <w:rPr>
          <w:rFonts w:ascii="Times New Roman" w:cs="Times New Roman" w:eastAsia="Times New Roman" w:hAnsi="Times New Roman"/>
          <w:sz w:val="20"/>
          <w:szCs w:val="20"/>
        </w:rPr>
        <w:t xml:space="preserve">Touvron, H., Lavril, T., Izacard, G., Martinet, X., Lachaux, M.-A., Lacroix, T., Rozière, B., Goyal, N., Hambro, E., Azhar, F., Rodriguez, A., Joulin, A., Grave, E., &amp; Lample, G. (2023). LLaMA: Open and efficient foundation language models. arXiv:2302.13971.</w:t>
      </w:r>
    </w:p>
    <w:p>
      <w:pPr>
        <w:spacing w:after="160" w:line="264"/>
        <w:ind w:left="431" w:hanging="431"/>
        <w:jc w:val="both"/>
      </w:pPr>
      <w:r>
        <w:rPr>
          <w:rFonts w:ascii="Times New Roman" w:cs="Times New Roman" w:eastAsia="Times New Roman" w:hAnsi="Times New Roman"/>
          <w:sz w:val="20"/>
          <w:szCs w:val="20"/>
        </w:rPr>
        <w:t xml:space="preserve">Transforming literature screening: The emerging role of large language models in systematic reviews. (2025). Proceedings of the National Academy of Sciences, 122(2), e2411962122. https://doi.org/10.1073/pnas.2411962122</w:t>
      </w:r>
    </w:p>
    <w:p>
      <w:pPr>
        <w:spacing w:after="160" w:line="264"/>
        <w:ind w:left="431" w:hanging="431"/>
        <w:jc w:val="both"/>
      </w:pPr>
      <w:r>
        <w:rPr>
          <w:rFonts w:ascii="Times New Roman" w:cs="Times New Roman" w:eastAsia="Times New Roman" w:hAnsi="Times New Roman"/>
          <w:sz w:val="20"/>
          <w:szCs w:val="20"/>
        </w:rPr>
        <w:t xml:space="preserve">Vykopal, I., Pikuliak, M., Ostermann, S., &amp; Šimko, M. (2024). Generative large language models in automated fact-checking: A survey. arXiv:2407.02351.</w:t>
      </w:r>
    </w:p>
    <w:p>
      <w:pPr>
        <w:spacing w:after="160" w:line="264"/>
        <w:ind w:left="431" w:hanging="431"/>
        <w:jc w:val="both"/>
      </w:pPr>
      <w:r>
        <w:rPr>
          <w:rFonts w:ascii="Times New Roman" w:cs="Times New Roman" w:eastAsia="Times New Roman" w:hAnsi="Times New Roman"/>
          <w:sz w:val="20"/>
          <w:szCs w:val="20"/>
        </w:rPr>
        <w:t xml:space="preserve">Xie, S., Liew, Z., Zhang, H., Zhang, H., Hu, L., Zhou, Z., Liu, S., &amp; Zeng, A. (2025). EcomEval: Towards reliable evaluation of large language models for multilingual and multimodal e-commerce applications. arXiv:2510.20632.</w:t>
      </w:r>
    </w:p>
    <w:p>
      <w:pPr>
        <w:spacing w:after="160" w:line="264"/>
        <w:ind w:left="431" w:hanging="431"/>
        <w:jc w:val="both"/>
      </w:pPr>
      <w:r>
        <w:rPr>
          <w:rFonts w:ascii="Times New Roman" w:cs="Times New Roman" w:eastAsia="Times New Roman" w:hAnsi="Times New Roman"/>
          <w:sz w:val="20"/>
          <w:szCs w:val="20"/>
        </w:rPr>
        <w:t xml:space="preserve">Xuan, W., Yang, R., Qi, H., Zeng, Q., Xiao, Y., Feng, A., Liu, D., Xing, Y., Wang, J., Gao, F., Lu, J., Jiang, Y., Li, H., Li, X., Yu, K., Dong, R., Gu, S., Li, Y., Xie, X., … Li, I. (2025). MMLU-ProX: A multilingual benchmark for advanced large language model evaluation. arXiv:2503.10497.</w:t>
      </w:r>
    </w:p>
    <w:p>
      <w:pPr>
        <w:spacing w:after="160" w:line="264"/>
        <w:ind w:left="431" w:hanging="431"/>
        <w:jc w:val="both"/>
      </w:pPr>
      <w:r>
        <w:rPr>
          <w:rFonts w:ascii="Times New Roman" w:cs="Times New Roman" w:eastAsia="Times New Roman" w:hAnsi="Times New Roman"/>
          <w:sz w:val="20"/>
          <w:szCs w:val="20"/>
        </w:rPr>
        <w:t xml:space="preserve">Xue, B., Wang, H., Wang, R., Wang, S., Wang, Z., Du, Y., Liang, B., &amp; Wong, K.-F. (2024). MlingConf: A comprehensive study of multilingual confidence estimation on large language models. arXiv:2402.13606.</w:t>
      </w:r>
    </w:p>
    <w:p>
      <w:pPr>
        <w:spacing w:after="160" w:line="264"/>
        <w:ind w:left="431" w:hanging="431"/>
        <w:jc w:val="both"/>
      </w:pPr>
      <w:r>
        <w:rPr>
          <w:rFonts w:ascii="Times New Roman" w:cs="Times New Roman" w:eastAsia="Times New Roman" w:hAnsi="Times New Roman"/>
          <w:sz w:val="20"/>
          <w:szCs w:val="20"/>
        </w:rPr>
        <w:t xml:space="preserve">Xue, L., Constant, N., Roberts, A., Kale, M., Al-Rfou, R., Siddhant, A., Barua, A., &amp; Raffel, C. (2021). mT5: A massively multilingual pre-trained text-to-text transformer. In Proceedings of the 2021 Conference of the North American Chapter of the Association for Computational Linguistics: Human Language Technologies (NAACL-HLT), 483–498.</w:t>
      </w:r>
    </w:p>
    <w:p>
      <w:pPr>
        <w:spacing w:after="160" w:line="264"/>
        <w:ind w:left="431" w:hanging="431"/>
        <w:jc w:val="both"/>
      </w:pPr>
      <w:r>
        <w:rPr>
          <w:rFonts w:ascii="Times New Roman" w:cs="Times New Roman" w:eastAsia="Times New Roman" w:hAnsi="Times New Roman"/>
          <w:sz w:val="20"/>
          <w:szCs w:val="20"/>
        </w:rPr>
        <w:t xml:space="preserve">Zhang, H., Yu, P. S., &amp; Zhang, J. (2024). A systematic survey of text summarization: From statistical methods to large language models. arXiv:2406.11289.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Multilingual Reliability of LLMs in Scientific Literature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2026-08-21T04:03:02.174Z</dcterms:created>
  <dcterms:modified xsi:type="dcterms:W3CDTF">2026-08-21T04:03:02.186Z</dcterms:modified>
</cp:coreProperties>
</file>

<file path=docProps/custom.xml><?xml version="1.0" encoding="utf-8"?>
<Properties xmlns="http://schemas.openxmlformats.org/officeDocument/2006/custom-properties" xmlns:vt="http://schemas.openxmlformats.org/officeDocument/2006/docPropsVTypes"/>
</file>