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F2583" w14:textId="6E580568" w:rsidR="00785B35" w:rsidRDefault="00D8631E">
      <w:r>
        <w:t>D</w:t>
      </w:r>
      <w:r>
        <w:rPr>
          <w:rFonts w:hint="eastAsia"/>
        </w:rPr>
        <w:t>ata</w:t>
      </w:r>
    </w:p>
    <w:p w14:paraId="07B43A72" w14:textId="77777777" w:rsidR="00D8631E" w:rsidRDefault="00D8631E"/>
    <w:p w14:paraId="2FD120CB" w14:textId="77777777" w:rsidR="00D8631E" w:rsidRPr="00D8631E" w:rsidRDefault="00D8631E" w:rsidP="00D8631E">
      <w:pPr>
        <w:widowControl/>
        <w:spacing w:after="100" w:afterAutospacing="1"/>
        <w:jc w:val="left"/>
        <w:outlineLvl w:val="2"/>
        <w:rPr>
          <w:rFonts w:ascii="Arial" w:eastAsia="宋体" w:hAnsi="Arial" w:cs="Arial"/>
          <w:b/>
          <w:bCs/>
          <w:kern w:val="0"/>
          <w:sz w:val="27"/>
          <w:szCs w:val="27"/>
        </w:rPr>
      </w:pPr>
      <w:r w:rsidRPr="00D8631E">
        <w:rPr>
          <w:rFonts w:ascii="Arial" w:eastAsia="宋体" w:hAnsi="Arial" w:cs="Arial"/>
          <w:b/>
          <w:bCs/>
          <w:kern w:val="0"/>
          <w:sz w:val="27"/>
          <w:szCs w:val="27"/>
        </w:rPr>
        <w:t>Task 1: Data Acquisition &amp; Infrastructure Versioning</w:t>
      </w:r>
    </w:p>
    <w:p w14:paraId="04E3CFC9" w14:textId="77777777" w:rsidR="00D8631E" w:rsidRPr="00D8631E" w:rsidRDefault="00D8631E" w:rsidP="00D8631E">
      <w:pPr>
        <w:widowControl/>
        <w:spacing w:after="100" w:afterAutospacing="1"/>
        <w:jc w:val="left"/>
        <w:rPr>
          <w:rFonts w:ascii="Arial" w:eastAsia="宋体" w:hAnsi="Arial" w:cs="Arial"/>
          <w:kern w:val="0"/>
          <w:sz w:val="24"/>
        </w:rPr>
      </w:pPr>
      <w:r w:rsidRPr="00D8631E">
        <w:rPr>
          <w:rFonts w:ascii="Arial" w:eastAsia="宋体" w:hAnsi="Arial" w:cs="Arial"/>
          <w:b/>
          <w:bCs/>
          <w:kern w:val="0"/>
          <w:sz w:val="24"/>
        </w:rPr>
        <w:t>Objective:</w:t>
      </w:r>
      <w:r w:rsidRPr="00D8631E">
        <w:rPr>
          <w:rFonts w:ascii="Arial" w:eastAsia="宋体" w:hAnsi="Arial" w:cs="Arial"/>
          <w:kern w:val="0"/>
          <w:sz w:val="24"/>
        </w:rPr>
        <w:t xml:space="preserve"> To establish a robust, automated pipeline for retrieving macroeconomic indicators and ensuring data provenance.</w:t>
      </w:r>
    </w:p>
    <w:p w14:paraId="32A702CD" w14:textId="77777777" w:rsidR="00D8631E" w:rsidRPr="00D8631E" w:rsidRDefault="00D8631E" w:rsidP="00D8631E">
      <w:pPr>
        <w:widowControl/>
        <w:spacing w:after="100" w:afterAutospacing="1"/>
        <w:jc w:val="left"/>
        <w:rPr>
          <w:rFonts w:ascii="Arial" w:eastAsia="宋体" w:hAnsi="Arial" w:cs="Arial"/>
          <w:kern w:val="0"/>
          <w:sz w:val="24"/>
        </w:rPr>
      </w:pPr>
      <w:r w:rsidRPr="00D8631E">
        <w:rPr>
          <w:rFonts w:ascii="Arial" w:eastAsia="宋体" w:hAnsi="Arial" w:cs="Arial"/>
          <w:b/>
          <w:bCs/>
          <w:kern w:val="0"/>
          <w:sz w:val="24"/>
        </w:rPr>
        <w:t>Key Talking Points:</w:t>
      </w:r>
    </w:p>
    <w:p w14:paraId="4C232F77" w14:textId="77777777" w:rsidR="00D8631E" w:rsidRPr="00D8631E" w:rsidRDefault="00D8631E" w:rsidP="00D8631E">
      <w:pPr>
        <w:widowControl/>
        <w:numPr>
          <w:ilvl w:val="0"/>
          <w:numId w:val="1"/>
        </w:numPr>
        <w:spacing w:after="100" w:afterAutospacing="1"/>
        <w:jc w:val="left"/>
        <w:rPr>
          <w:rFonts w:ascii="Arial" w:eastAsia="宋体" w:hAnsi="Arial" w:cs="Arial"/>
          <w:kern w:val="0"/>
          <w:szCs w:val="21"/>
        </w:rPr>
      </w:pPr>
      <w:r w:rsidRPr="00D8631E">
        <w:rPr>
          <w:rFonts w:ascii="Arial" w:eastAsia="宋体" w:hAnsi="Arial" w:cs="Arial"/>
          <w:b/>
          <w:bCs/>
          <w:kern w:val="0"/>
          <w:szCs w:val="21"/>
        </w:rPr>
        <w:t>Automated API Pipeline:</w:t>
      </w:r>
      <w:r w:rsidRPr="00D8631E">
        <w:rPr>
          <w:rFonts w:ascii="Arial" w:eastAsia="宋体" w:hAnsi="Arial" w:cs="Arial"/>
          <w:kern w:val="0"/>
          <w:szCs w:val="21"/>
        </w:rPr>
        <w:t xml:space="preserve"> Rather than relying on static, manually downloaded CSV files, we implemented a fully reproducible data pipeline using Python and the FRED API. This allows us to systematically pull the required macroeconomic series, including the NBER Recession Indicator (USRECD), yield curve spreads (T10Y2Y), unemployment rate (UNRATE), and credit spreads (BAA10Y, TEDRATE).</w:t>
      </w:r>
    </w:p>
    <w:p w14:paraId="7CE0BC85" w14:textId="77777777" w:rsidR="00D8631E" w:rsidRPr="00D8631E" w:rsidRDefault="00D8631E" w:rsidP="00D8631E">
      <w:pPr>
        <w:widowControl/>
        <w:numPr>
          <w:ilvl w:val="0"/>
          <w:numId w:val="1"/>
        </w:numPr>
        <w:spacing w:after="100" w:afterAutospacing="1"/>
        <w:jc w:val="left"/>
        <w:rPr>
          <w:rFonts w:ascii="Arial" w:eastAsia="宋体" w:hAnsi="Arial" w:cs="Arial"/>
          <w:kern w:val="0"/>
          <w:szCs w:val="21"/>
        </w:rPr>
      </w:pPr>
      <w:r w:rsidRPr="00D8631E">
        <w:rPr>
          <w:rFonts w:ascii="Arial" w:eastAsia="宋体" w:hAnsi="Arial" w:cs="Arial"/>
          <w:b/>
          <w:bCs/>
          <w:kern w:val="0"/>
          <w:szCs w:val="21"/>
        </w:rPr>
        <w:t>Master Dataset Compilation:</w:t>
      </w:r>
      <w:r w:rsidRPr="00D8631E">
        <w:rPr>
          <w:rFonts w:ascii="Arial" w:eastAsia="宋体" w:hAnsi="Arial" w:cs="Arial"/>
          <w:kern w:val="0"/>
          <w:szCs w:val="21"/>
        </w:rPr>
        <w:t xml:space="preserve"> The pipeline dynamically concatenates these disparate time series into a unified, wide-format matrix indexed by observation date.</w:t>
      </w:r>
    </w:p>
    <w:p w14:paraId="54AD47C8" w14:textId="77777777" w:rsidR="00D8631E" w:rsidRPr="00D8631E" w:rsidRDefault="00D8631E" w:rsidP="00D8631E">
      <w:pPr>
        <w:widowControl/>
        <w:numPr>
          <w:ilvl w:val="0"/>
          <w:numId w:val="1"/>
        </w:numPr>
        <w:spacing w:after="100" w:afterAutospacing="1"/>
        <w:jc w:val="left"/>
        <w:rPr>
          <w:rFonts w:ascii="Arial" w:eastAsia="宋体" w:hAnsi="Arial" w:cs="Arial"/>
          <w:kern w:val="0"/>
          <w:szCs w:val="21"/>
        </w:rPr>
      </w:pPr>
      <w:r w:rsidRPr="00D8631E">
        <w:rPr>
          <w:rFonts w:ascii="Arial" w:eastAsia="宋体" w:hAnsi="Arial" w:cs="Arial"/>
          <w:b/>
          <w:bCs/>
          <w:kern w:val="0"/>
          <w:szCs w:val="21"/>
        </w:rPr>
        <w:t>Version Control &amp; Preventing Data Drift:</w:t>
      </w:r>
      <w:r w:rsidRPr="00D8631E">
        <w:rPr>
          <w:rFonts w:ascii="Arial" w:eastAsia="宋体" w:hAnsi="Arial" w:cs="Arial"/>
          <w:kern w:val="0"/>
          <w:szCs w:val="21"/>
        </w:rPr>
        <w:t xml:space="preserve"> Macroeconomic data is frequently subject to retroactive revisions by publishing agencies. To prevent "silent data drift" from compromising our model's reproducibility, our pipeline automatically appends a precise execution timestamp to the output file (e.g., master_dataset_vYYYYMMDD.csv). This creates a locked, immutable schema that all downstream modeling teams must use, ensuring fair and standardized model comparisons.</w:t>
      </w:r>
    </w:p>
    <w:p w14:paraId="16A79B1A" w14:textId="77777777" w:rsidR="00D8631E" w:rsidRPr="00D8631E" w:rsidRDefault="00D8631E" w:rsidP="00D8631E">
      <w:pPr>
        <w:widowControl/>
        <w:jc w:val="left"/>
        <w:rPr>
          <w:rFonts w:ascii="Arial" w:eastAsia="宋体" w:hAnsi="Arial" w:cs="Arial"/>
          <w:kern w:val="0"/>
          <w:sz w:val="24"/>
        </w:rPr>
      </w:pPr>
      <w:r w:rsidRPr="00D8631E">
        <w:rPr>
          <w:rFonts w:ascii="宋体" w:eastAsia="宋体" w:hAnsi="宋体" w:cs="宋体"/>
          <w:noProof/>
          <w:kern w:val="0"/>
          <w:sz w:val="24"/>
        </w:rPr>
      </w:r>
      <w:r w:rsidR="00D8631E" w:rsidRPr="00D8631E">
        <w:rPr>
          <w:rFonts w:ascii="宋体" w:eastAsia="宋体" w:hAnsi="宋体" w:cs="宋体"/>
          <w:noProof/>
          <w:kern w:val="0"/>
          <w:sz w:val="24"/>
        </w:rPr>
        <w:pict w14:anchorId="49BB419E">
          <v:rect id="_x0000_i1030" alt="" style="width:415.3pt;height:.05pt;mso-width-percent:0;mso-height-percent:0;mso-width-percent:0;mso-height-percent:0" o:hralign="center" o:hrstd="t" o:hr="t" fillcolor="#a0a0a0" stroked="f"/>
        </w:pict>
      </w:r>
    </w:p>
    <w:p w14:paraId="36F5E6F3" w14:textId="77777777" w:rsidR="00D8631E" w:rsidRPr="00D8631E" w:rsidRDefault="00D8631E" w:rsidP="00D8631E">
      <w:pPr>
        <w:widowControl/>
        <w:spacing w:after="100" w:afterAutospacing="1"/>
        <w:jc w:val="left"/>
        <w:outlineLvl w:val="2"/>
        <w:rPr>
          <w:rFonts w:ascii="Arial" w:eastAsia="宋体" w:hAnsi="Arial" w:cs="Arial"/>
          <w:b/>
          <w:bCs/>
          <w:kern w:val="0"/>
          <w:sz w:val="27"/>
          <w:szCs w:val="27"/>
        </w:rPr>
      </w:pPr>
      <w:r w:rsidRPr="00D8631E">
        <w:rPr>
          <w:rFonts w:ascii="Arial" w:eastAsia="宋体" w:hAnsi="Arial" w:cs="Arial"/>
          <w:b/>
          <w:bCs/>
          <w:kern w:val="0"/>
          <w:sz w:val="27"/>
          <w:szCs w:val="27"/>
        </w:rPr>
        <w:t>Task 2: Frequency Alignment &amp; Label Engineering</w:t>
      </w:r>
    </w:p>
    <w:p w14:paraId="12A9BC17" w14:textId="77777777" w:rsidR="00D8631E" w:rsidRPr="00D8631E" w:rsidRDefault="00D8631E" w:rsidP="00D8631E">
      <w:pPr>
        <w:widowControl/>
        <w:spacing w:after="100" w:afterAutospacing="1"/>
        <w:jc w:val="left"/>
        <w:rPr>
          <w:rFonts w:ascii="Arial" w:eastAsia="宋体" w:hAnsi="Arial" w:cs="Arial"/>
          <w:kern w:val="0"/>
          <w:sz w:val="24"/>
        </w:rPr>
      </w:pPr>
      <w:r w:rsidRPr="00D8631E">
        <w:rPr>
          <w:rFonts w:ascii="Arial" w:eastAsia="宋体" w:hAnsi="Arial" w:cs="Arial"/>
          <w:b/>
          <w:bCs/>
          <w:kern w:val="0"/>
          <w:sz w:val="24"/>
        </w:rPr>
        <w:t>Objective:</w:t>
      </w:r>
      <w:r w:rsidRPr="00D8631E">
        <w:rPr>
          <w:rFonts w:ascii="Arial" w:eastAsia="宋体" w:hAnsi="Arial" w:cs="Arial"/>
          <w:kern w:val="0"/>
          <w:sz w:val="24"/>
        </w:rPr>
        <w:t xml:space="preserve"> To standardize mixed-frequency data into a cohesive quarterly framework and construct predictive targets while strictly preventing information leakage.</w:t>
      </w:r>
    </w:p>
    <w:p w14:paraId="14A18098" w14:textId="77777777" w:rsidR="00D8631E" w:rsidRPr="00D8631E" w:rsidRDefault="00D8631E" w:rsidP="00D8631E">
      <w:pPr>
        <w:widowControl/>
        <w:spacing w:after="100" w:afterAutospacing="1"/>
        <w:jc w:val="left"/>
        <w:rPr>
          <w:rFonts w:ascii="Arial" w:eastAsia="宋体" w:hAnsi="Arial" w:cs="Arial"/>
          <w:kern w:val="0"/>
          <w:sz w:val="24"/>
        </w:rPr>
      </w:pPr>
      <w:r w:rsidRPr="00D8631E">
        <w:rPr>
          <w:rFonts w:ascii="Arial" w:eastAsia="宋体" w:hAnsi="Arial" w:cs="Arial"/>
          <w:b/>
          <w:bCs/>
          <w:kern w:val="0"/>
          <w:sz w:val="24"/>
        </w:rPr>
        <w:t>Key Talking Points:</w:t>
      </w:r>
    </w:p>
    <w:p w14:paraId="12CF1094" w14:textId="77777777" w:rsidR="00D8631E" w:rsidRPr="00D8631E" w:rsidRDefault="00D8631E" w:rsidP="00D8631E">
      <w:pPr>
        <w:widowControl/>
        <w:numPr>
          <w:ilvl w:val="0"/>
          <w:numId w:val="2"/>
        </w:numPr>
        <w:spacing w:after="100" w:afterAutospacing="1"/>
        <w:jc w:val="left"/>
        <w:rPr>
          <w:rFonts w:ascii="Arial" w:eastAsia="宋体" w:hAnsi="Arial" w:cs="Arial"/>
          <w:kern w:val="0"/>
          <w:szCs w:val="21"/>
        </w:rPr>
      </w:pPr>
      <w:r w:rsidRPr="00D8631E">
        <w:rPr>
          <w:rFonts w:ascii="Arial" w:eastAsia="宋体" w:hAnsi="Arial" w:cs="Arial"/>
          <w:b/>
          <w:bCs/>
          <w:kern w:val="0"/>
          <w:szCs w:val="21"/>
        </w:rPr>
        <w:t>Frequency Aggregation Mechanism:</w:t>
      </w:r>
      <w:r w:rsidRPr="00D8631E">
        <w:rPr>
          <w:rFonts w:ascii="Arial" w:eastAsia="宋体" w:hAnsi="Arial" w:cs="Arial"/>
          <w:kern w:val="0"/>
          <w:szCs w:val="21"/>
        </w:rPr>
        <w:t xml:space="preserve"> The raw data consists of daily and monthly frequencies. We </w:t>
      </w:r>
      <w:proofErr w:type="spellStart"/>
      <w:r w:rsidRPr="00D8631E">
        <w:rPr>
          <w:rFonts w:ascii="Arial" w:eastAsia="宋体" w:hAnsi="Arial" w:cs="Arial"/>
          <w:kern w:val="0"/>
          <w:szCs w:val="21"/>
        </w:rPr>
        <w:t>downsampled</w:t>
      </w:r>
      <w:proofErr w:type="spellEnd"/>
      <w:r w:rsidRPr="00D8631E">
        <w:rPr>
          <w:rFonts w:ascii="Arial" w:eastAsia="宋体" w:hAnsi="Arial" w:cs="Arial"/>
          <w:kern w:val="0"/>
          <w:szCs w:val="21"/>
        </w:rPr>
        <w:t xml:space="preserve"> this data to a strict quarterly frequency using divergent aggregation logic based on the variable type:</w:t>
      </w:r>
    </w:p>
    <w:p w14:paraId="2CBBAA93" w14:textId="77777777" w:rsidR="00D8631E" w:rsidRPr="00D8631E" w:rsidRDefault="00D8631E" w:rsidP="00D8631E">
      <w:pPr>
        <w:widowControl/>
        <w:numPr>
          <w:ilvl w:val="1"/>
          <w:numId w:val="2"/>
        </w:numPr>
        <w:spacing w:after="100" w:afterAutospacing="1"/>
        <w:jc w:val="left"/>
        <w:rPr>
          <w:rFonts w:ascii="Arial" w:eastAsia="宋体" w:hAnsi="Arial" w:cs="Arial"/>
          <w:kern w:val="0"/>
          <w:szCs w:val="21"/>
        </w:rPr>
      </w:pPr>
      <w:r w:rsidRPr="00D8631E">
        <w:rPr>
          <w:rFonts w:ascii="Arial" w:eastAsia="宋体" w:hAnsi="Arial" w:cs="Arial"/>
          <w:kern w:val="0"/>
          <w:szCs w:val="21"/>
        </w:rPr>
        <w:t>For continuous macroeconomic features (denoted as $</w:t>
      </w:r>
      <w:proofErr w:type="spellStart"/>
      <w:r w:rsidRPr="00D8631E">
        <w:rPr>
          <w:rFonts w:ascii="Arial" w:eastAsia="宋体" w:hAnsi="Arial" w:cs="Arial"/>
          <w:kern w:val="0"/>
          <w:szCs w:val="21"/>
        </w:rPr>
        <w:t>X_t</w:t>
      </w:r>
      <w:proofErr w:type="spellEnd"/>
      <w:r w:rsidRPr="00D8631E">
        <w:rPr>
          <w:rFonts w:ascii="Arial" w:eastAsia="宋体" w:hAnsi="Arial" w:cs="Arial"/>
          <w:kern w:val="0"/>
          <w:szCs w:val="21"/>
        </w:rPr>
        <w:t>$), we applied the quarterly mean to capture the average economic condition over the three-month period.</w:t>
      </w:r>
    </w:p>
    <w:p w14:paraId="368B94B5" w14:textId="77777777" w:rsidR="00D8631E" w:rsidRPr="00D8631E" w:rsidRDefault="00D8631E" w:rsidP="00D8631E">
      <w:pPr>
        <w:widowControl/>
        <w:numPr>
          <w:ilvl w:val="1"/>
          <w:numId w:val="2"/>
        </w:numPr>
        <w:spacing w:after="100" w:afterAutospacing="1"/>
        <w:jc w:val="left"/>
        <w:rPr>
          <w:rFonts w:ascii="Arial" w:eastAsia="宋体" w:hAnsi="Arial" w:cs="Arial"/>
          <w:kern w:val="0"/>
          <w:szCs w:val="21"/>
        </w:rPr>
      </w:pPr>
      <w:r w:rsidRPr="00D8631E">
        <w:rPr>
          <w:rFonts w:ascii="Arial" w:eastAsia="宋体" w:hAnsi="Arial" w:cs="Arial"/>
          <w:kern w:val="0"/>
          <w:szCs w:val="21"/>
        </w:rPr>
        <w:t>For the binary target variable, the NBER recession indicator ($</w:t>
      </w:r>
      <w:proofErr w:type="spellStart"/>
      <w:r w:rsidRPr="00D8631E">
        <w:rPr>
          <w:rFonts w:ascii="Arial" w:eastAsia="宋体" w:hAnsi="Arial" w:cs="Arial"/>
          <w:kern w:val="0"/>
          <w:szCs w:val="21"/>
        </w:rPr>
        <w:t>Y_t</w:t>
      </w:r>
      <w:proofErr w:type="spellEnd"/>
      <w:r w:rsidRPr="00D8631E">
        <w:rPr>
          <w:rFonts w:ascii="Arial" w:eastAsia="宋体" w:hAnsi="Arial" w:cs="Arial"/>
          <w:kern w:val="0"/>
          <w:szCs w:val="21"/>
        </w:rPr>
        <w:t>$), we applied the quarterly maximum. Mathematically, if any single month within quarter $t$ registers a value of $1$, the entire quarter $t$ is designated as a recessionary state.</w:t>
      </w:r>
    </w:p>
    <w:p w14:paraId="23D4AC49" w14:textId="77777777" w:rsidR="00D8631E" w:rsidRPr="00D8631E" w:rsidRDefault="00D8631E" w:rsidP="00D8631E">
      <w:pPr>
        <w:widowControl/>
        <w:numPr>
          <w:ilvl w:val="0"/>
          <w:numId w:val="2"/>
        </w:numPr>
        <w:spacing w:after="100" w:afterAutospacing="1"/>
        <w:jc w:val="left"/>
        <w:rPr>
          <w:rFonts w:ascii="Arial" w:eastAsia="宋体" w:hAnsi="Arial" w:cs="Arial"/>
          <w:kern w:val="0"/>
          <w:szCs w:val="21"/>
        </w:rPr>
      </w:pPr>
      <w:r w:rsidRPr="00D8631E">
        <w:rPr>
          <w:rFonts w:ascii="Arial" w:eastAsia="宋体" w:hAnsi="Arial" w:cs="Arial"/>
          <w:b/>
          <w:bCs/>
          <w:kern w:val="0"/>
          <w:szCs w:val="21"/>
        </w:rPr>
        <w:lastRenderedPageBreak/>
        <w:t>Target Engineering ($h$-Step Ahead):</w:t>
      </w:r>
      <w:r w:rsidRPr="00D8631E">
        <w:rPr>
          <w:rFonts w:ascii="Arial" w:eastAsia="宋体" w:hAnsi="Arial" w:cs="Arial"/>
          <w:kern w:val="0"/>
          <w:szCs w:val="21"/>
        </w:rPr>
        <w:t xml:space="preserve"> Since our fundamental objective is forecasting rather than concurrent classification, we constructed forward-shifted target matrices for horizons $h \in </w:t>
      </w:r>
      <w:proofErr w:type="gramStart"/>
      <w:r w:rsidRPr="00D8631E">
        <w:rPr>
          <w:rFonts w:ascii="Arial" w:eastAsia="宋体" w:hAnsi="Arial" w:cs="Arial"/>
          <w:kern w:val="0"/>
          <w:szCs w:val="21"/>
        </w:rPr>
        <w:t>\{</w:t>
      </w:r>
      <w:proofErr w:type="gramEnd"/>
      <w:r w:rsidRPr="00D8631E">
        <w:rPr>
          <w:rFonts w:ascii="Arial" w:eastAsia="宋体" w:hAnsi="Arial" w:cs="Arial"/>
          <w:kern w:val="0"/>
          <w:szCs w:val="21"/>
        </w:rPr>
        <w:t>1, 2, 3</w:t>
      </w:r>
      <w:proofErr w:type="gramStart"/>
      <w:r w:rsidRPr="00D8631E">
        <w:rPr>
          <w:rFonts w:ascii="Arial" w:eastAsia="宋体" w:hAnsi="Arial" w:cs="Arial"/>
          <w:kern w:val="0"/>
          <w:szCs w:val="21"/>
        </w:rPr>
        <w:t>\}$</w:t>
      </w:r>
      <w:proofErr w:type="gramEnd"/>
      <w:r w:rsidRPr="00D8631E">
        <w:rPr>
          <w:rFonts w:ascii="Arial" w:eastAsia="宋体" w:hAnsi="Arial" w:cs="Arial"/>
          <w:kern w:val="0"/>
          <w:szCs w:val="21"/>
        </w:rPr>
        <w:t xml:space="preserve"> quarters. We utilized negative indexing shifts to bring future recession states backward in the </w:t>
      </w:r>
      <w:proofErr w:type="spellStart"/>
      <w:r w:rsidRPr="00D8631E">
        <w:rPr>
          <w:rFonts w:ascii="Arial" w:eastAsia="宋体" w:hAnsi="Arial" w:cs="Arial"/>
          <w:kern w:val="0"/>
          <w:szCs w:val="21"/>
        </w:rPr>
        <w:t>dataframe</w:t>
      </w:r>
      <w:proofErr w:type="spellEnd"/>
      <w:r w:rsidRPr="00D8631E">
        <w:rPr>
          <w:rFonts w:ascii="Arial" w:eastAsia="宋体" w:hAnsi="Arial" w:cs="Arial"/>
          <w:kern w:val="0"/>
          <w:szCs w:val="21"/>
        </w:rPr>
        <w:t>.</w:t>
      </w:r>
    </w:p>
    <w:p w14:paraId="30E23FC4" w14:textId="77777777" w:rsidR="00D8631E" w:rsidRPr="00D8631E" w:rsidRDefault="00D8631E" w:rsidP="00D8631E">
      <w:pPr>
        <w:widowControl/>
        <w:numPr>
          <w:ilvl w:val="0"/>
          <w:numId w:val="2"/>
        </w:numPr>
        <w:spacing w:after="100" w:afterAutospacing="1"/>
        <w:jc w:val="left"/>
        <w:rPr>
          <w:rFonts w:ascii="Arial" w:eastAsia="宋体" w:hAnsi="Arial" w:cs="Arial"/>
          <w:kern w:val="0"/>
          <w:szCs w:val="21"/>
        </w:rPr>
      </w:pPr>
      <w:r w:rsidRPr="00D8631E">
        <w:rPr>
          <w:rFonts w:ascii="Arial" w:eastAsia="宋体" w:hAnsi="Arial" w:cs="Arial"/>
          <w:b/>
          <w:bCs/>
          <w:kern w:val="0"/>
          <w:szCs w:val="21"/>
        </w:rPr>
        <w:t>Eradication of Look-Ahead Bias:</w:t>
      </w:r>
      <w:r w:rsidRPr="00D8631E">
        <w:rPr>
          <w:rFonts w:ascii="Arial" w:eastAsia="宋体" w:hAnsi="Arial" w:cs="Arial"/>
          <w:kern w:val="0"/>
          <w:szCs w:val="21"/>
        </w:rPr>
        <w:t xml:space="preserve"> By structurally decoupling the feature aggregation from the target shifting, we logically guarantee zero look-ahead bias. The feature vector $</w:t>
      </w:r>
      <w:proofErr w:type="spellStart"/>
      <w:r w:rsidRPr="00D8631E">
        <w:rPr>
          <w:rFonts w:ascii="Arial" w:eastAsia="宋体" w:hAnsi="Arial" w:cs="Arial"/>
          <w:kern w:val="0"/>
          <w:szCs w:val="21"/>
        </w:rPr>
        <w:t>X_t</w:t>
      </w:r>
      <w:proofErr w:type="spellEnd"/>
      <w:r w:rsidRPr="00D8631E">
        <w:rPr>
          <w:rFonts w:ascii="Arial" w:eastAsia="宋体" w:hAnsi="Arial" w:cs="Arial"/>
          <w:kern w:val="0"/>
          <w:szCs w:val="21"/>
        </w:rPr>
        <w:t>$ at time $t$ is exclusively mapped to the recession target $Y_{</w:t>
      </w:r>
      <w:proofErr w:type="spellStart"/>
      <w:r w:rsidRPr="00D8631E">
        <w:rPr>
          <w:rFonts w:ascii="Arial" w:eastAsia="宋体" w:hAnsi="Arial" w:cs="Arial"/>
          <w:kern w:val="0"/>
          <w:szCs w:val="21"/>
        </w:rPr>
        <w:t>t+</w:t>
      </w:r>
      <w:proofErr w:type="gramStart"/>
      <w:r w:rsidRPr="00D8631E">
        <w:rPr>
          <w:rFonts w:ascii="Arial" w:eastAsia="宋体" w:hAnsi="Arial" w:cs="Arial"/>
          <w:kern w:val="0"/>
          <w:szCs w:val="21"/>
        </w:rPr>
        <w:t>h</w:t>
      </w:r>
      <w:proofErr w:type="spellEnd"/>
      <w:r w:rsidRPr="00D8631E">
        <w:rPr>
          <w:rFonts w:ascii="Arial" w:eastAsia="宋体" w:hAnsi="Arial" w:cs="Arial"/>
          <w:kern w:val="0"/>
          <w:szCs w:val="21"/>
        </w:rPr>
        <w:t>}$</w:t>
      </w:r>
      <w:proofErr w:type="gramEnd"/>
      <w:r w:rsidRPr="00D8631E">
        <w:rPr>
          <w:rFonts w:ascii="Arial" w:eastAsia="宋体" w:hAnsi="Arial" w:cs="Arial"/>
          <w:kern w:val="0"/>
          <w:szCs w:val="21"/>
        </w:rPr>
        <w:t>. This strict alignment ensures that the model is trained relying only on historical information formally available at the conclusion of quarter $t$ to predict the probability of a recession in quarter $</w:t>
      </w:r>
      <w:proofErr w:type="spellStart"/>
      <w:r w:rsidRPr="00D8631E">
        <w:rPr>
          <w:rFonts w:ascii="Arial" w:eastAsia="宋体" w:hAnsi="Arial" w:cs="Arial"/>
          <w:kern w:val="0"/>
          <w:szCs w:val="21"/>
        </w:rPr>
        <w:t>t+h</w:t>
      </w:r>
      <w:proofErr w:type="spellEnd"/>
      <w:r w:rsidRPr="00D8631E">
        <w:rPr>
          <w:rFonts w:ascii="Arial" w:eastAsia="宋体" w:hAnsi="Arial" w:cs="Arial"/>
          <w:kern w:val="0"/>
          <w:szCs w:val="21"/>
        </w:rPr>
        <w:t>$.</w:t>
      </w:r>
    </w:p>
    <w:p w14:paraId="413257F1" w14:textId="77777777" w:rsidR="00D8631E" w:rsidRDefault="00D8631E"/>
    <w:p w14:paraId="7BCD694C" w14:textId="77777777" w:rsidR="00D8631E" w:rsidRDefault="00D8631E"/>
    <w:p w14:paraId="42EE0C17" w14:textId="7545C98A" w:rsidR="00D8631E" w:rsidRDefault="00D8631E">
      <w:r>
        <w:rPr>
          <w:rFonts w:hint="eastAsia"/>
        </w:rPr>
        <w:t>PS！</w:t>
      </w:r>
    </w:p>
    <w:p w14:paraId="5CEC62F8" w14:textId="77777777" w:rsidR="00D8631E" w:rsidRDefault="00D8631E" w:rsidP="00D8631E">
      <w:r>
        <w:t>Why are there missing values in the 1948–1950s data?</w:t>
      </w:r>
    </w:p>
    <w:p w14:paraId="2F3FB1D3" w14:textId="3BA55EE4" w:rsidR="00D8631E" w:rsidRDefault="00D8631E" w:rsidP="00D8631E">
      <w:r>
        <w:t>The fundamental reason is that certain financial instruments or statistical indicators simply did not exist during that era. Our code compiles all indicators into a unified timeline starting from 1948; consequently, indicators that were developed later naturally appear as empty values (</w:t>
      </w:r>
      <w:proofErr w:type="spellStart"/>
      <w:r>
        <w:t>NaN</w:t>
      </w:r>
      <w:proofErr w:type="spellEnd"/>
      <w:r>
        <w:t>) in the early periods.</w:t>
      </w:r>
    </w:p>
    <w:p w14:paraId="00C54E2E" w14:textId="77777777" w:rsidR="00D8631E" w:rsidRDefault="00D8631E" w:rsidP="00D8631E">
      <w:pPr>
        <w:rPr>
          <w:rFonts w:hint="eastAsia"/>
        </w:rPr>
      </w:pPr>
    </w:p>
    <w:p w14:paraId="3995C09F" w14:textId="7C4CF495" w:rsidR="00D8631E" w:rsidRDefault="00D8631E" w:rsidP="00D8631E">
      <w:pPr>
        <w:pStyle w:val="a9"/>
        <w:numPr>
          <w:ilvl w:val="0"/>
          <w:numId w:val="4"/>
        </w:numPr>
      </w:pPr>
      <w:r>
        <w:t>T10Y2Y (10-Year minus 2-Year Treasury Yield Spread): You will notice this column is entirely empty in the early snapshots. This is because the U.S. Department of the Treasury did not begin issuing 2-year Treasury notes until 1976. Since the 2-year note did not exist in 1948, the yield spread could not be calculated. This column is destined to be entirely missing prior to June 1976.</w:t>
      </w:r>
    </w:p>
    <w:p w14:paraId="410B6CDA" w14:textId="77777777" w:rsidR="00D8631E" w:rsidRDefault="00D8631E" w:rsidP="00D8631E"/>
    <w:p w14:paraId="6E5BBFE8" w14:textId="3EB111FA" w:rsidR="00D8631E" w:rsidRDefault="00D8631E" w:rsidP="00D8631E">
      <w:pPr>
        <w:pStyle w:val="a9"/>
        <w:numPr>
          <w:ilvl w:val="0"/>
          <w:numId w:val="4"/>
        </w:numPr>
      </w:pPr>
      <w:r>
        <w:t>FEDFUNDS (Federal Funds Effective Rate): Observation of the master dataset shows that the FEDFUNDS column is blank from 1948 until April 1954. The first value (1.03) only appears on 1954-07-01. This is because the Federal Reserve only began officially publishing daily effective federal funds rate data in July 1954.</w:t>
      </w:r>
    </w:p>
    <w:p w14:paraId="50DE29E1" w14:textId="77777777" w:rsidR="00D8631E" w:rsidRDefault="00D8631E" w:rsidP="00D8631E"/>
    <w:p w14:paraId="07A44D0C" w14:textId="60F66CCC" w:rsidR="00D8631E" w:rsidRDefault="00D8631E" w:rsidP="00D8631E">
      <w:pPr>
        <w:pStyle w:val="a9"/>
        <w:numPr>
          <w:ilvl w:val="0"/>
          <w:numId w:val="4"/>
        </w:numPr>
      </w:pPr>
      <w:r>
        <w:t>TEDRATE (TED Spread): The TED spread is the difference between the three-month LIBOR rate on Eurodollars and the three-month Treasury bill rate. The concepts of the Eurodollar market and LIBOR did not mature or become widely recorded until the 1970s and 1980s. Therefore, in 1948, immediately following World War II, this column is inevitably empty.</w:t>
      </w:r>
    </w:p>
    <w:p w14:paraId="725DD441" w14:textId="77777777" w:rsidR="00D8631E" w:rsidRDefault="00D8631E" w:rsidP="00D8631E">
      <w:pPr>
        <w:pStyle w:val="a9"/>
        <w:rPr>
          <w:rFonts w:hint="eastAsia"/>
        </w:rPr>
      </w:pPr>
    </w:p>
    <w:p w14:paraId="3F03082F" w14:textId="0146EC04" w:rsidR="00D8631E" w:rsidRPr="00D8631E" w:rsidRDefault="00D8631E" w:rsidP="00D8631E">
      <w:pPr>
        <w:rPr>
          <w:rFonts w:hint="eastAsia"/>
        </w:rPr>
      </w:pPr>
      <w:r>
        <w:rPr>
          <w:rFonts w:hint="eastAsia"/>
        </w:rPr>
        <w:t>SO TASK WILL SOLVE THESE</w:t>
      </w:r>
    </w:p>
    <w:sectPr w:rsidR="00D8631E" w:rsidRPr="00D863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4833"/>
    <w:multiLevelType w:val="hybridMultilevel"/>
    <w:tmpl w:val="53345160"/>
    <w:lvl w:ilvl="0" w:tplc="9A24C1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D8627E"/>
    <w:multiLevelType w:val="multilevel"/>
    <w:tmpl w:val="8B860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32505"/>
    <w:multiLevelType w:val="multilevel"/>
    <w:tmpl w:val="ECBA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75660B"/>
    <w:multiLevelType w:val="multilevel"/>
    <w:tmpl w:val="E5CE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562276">
    <w:abstractNumId w:val="3"/>
  </w:num>
  <w:num w:numId="2" w16cid:durableId="2015254534">
    <w:abstractNumId w:val="1"/>
  </w:num>
  <w:num w:numId="3" w16cid:durableId="360784570">
    <w:abstractNumId w:val="2"/>
  </w:num>
  <w:num w:numId="4" w16cid:durableId="1047416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31E"/>
    <w:rsid w:val="001D3E3A"/>
    <w:rsid w:val="002F363B"/>
    <w:rsid w:val="00785B35"/>
    <w:rsid w:val="00C14FE9"/>
    <w:rsid w:val="00D863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1026"/>
  <w15:chartTrackingRefBased/>
  <w15:docId w15:val="{3301533E-7754-7A42-9655-E294021AF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8631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631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8631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631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631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8631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631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631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8631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631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8631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8631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631E"/>
    <w:rPr>
      <w:rFonts w:cstheme="majorBidi"/>
      <w:color w:val="0F4761" w:themeColor="accent1" w:themeShade="BF"/>
      <w:sz w:val="28"/>
      <w:szCs w:val="28"/>
    </w:rPr>
  </w:style>
  <w:style w:type="character" w:customStyle="1" w:styleId="50">
    <w:name w:val="标题 5 字符"/>
    <w:basedOn w:val="a0"/>
    <w:link w:val="5"/>
    <w:uiPriority w:val="9"/>
    <w:semiHidden/>
    <w:rsid w:val="00D8631E"/>
    <w:rPr>
      <w:rFonts w:cstheme="majorBidi"/>
      <w:color w:val="0F4761" w:themeColor="accent1" w:themeShade="BF"/>
      <w:sz w:val="24"/>
    </w:rPr>
  </w:style>
  <w:style w:type="character" w:customStyle="1" w:styleId="60">
    <w:name w:val="标题 6 字符"/>
    <w:basedOn w:val="a0"/>
    <w:link w:val="6"/>
    <w:uiPriority w:val="9"/>
    <w:semiHidden/>
    <w:rsid w:val="00D8631E"/>
    <w:rPr>
      <w:rFonts w:cstheme="majorBidi"/>
      <w:b/>
      <w:bCs/>
      <w:color w:val="0F4761" w:themeColor="accent1" w:themeShade="BF"/>
    </w:rPr>
  </w:style>
  <w:style w:type="character" w:customStyle="1" w:styleId="70">
    <w:name w:val="标题 7 字符"/>
    <w:basedOn w:val="a0"/>
    <w:link w:val="7"/>
    <w:uiPriority w:val="9"/>
    <w:semiHidden/>
    <w:rsid w:val="00D8631E"/>
    <w:rPr>
      <w:rFonts w:cstheme="majorBidi"/>
      <w:b/>
      <w:bCs/>
      <w:color w:val="595959" w:themeColor="text1" w:themeTint="A6"/>
    </w:rPr>
  </w:style>
  <w:style w:type="character" w:customStyle="1" w:styleId="80">
    <w:name w:val="标题 8 字符"/>
    <w:basedOn w:val="a0"/>
    <w:link w:val="8"/>
    <w:uiPriority w:val="9"/>
    <w:semiHidden/>
    <w:rsid w:val="00D8631E"/>
    <w:rPr>
      <w:rFonts w:cstheme="majorBidi"/>
      <w:color w:val="595959" w:themeColor="text1" w:themeTint="A6"/>
    </w:rPr>
  </w:style>
  <w:style w:type="character" w:customStyle="1" w:styleId="90">
    <w:name w:val="标题 9 字符"/>
    <w:basedOn w:val="a0"/>
    <w:link w:val="9"/>
    <w:uiPriority w:val="9"/>
    <w:semiHidden/>
    <w:rsid w:val="00D8631E"/>
    <w:rPr>
      <w:rFonts w:eastAsiaTheme="majorEastAsia" w:cstheme="majorBidi"/>
      <w:color w:val="595959" w:themeColor="text1" w:themeTint="A6"/>
    </w:rPr>
  </w:style>
  <w:style w:type="paragraph" w:styleId="a3">
    <w:name w:val="Title"/>
    <w:basedOn w:val="a"/>
    <w:next w:val="a"/>
    <w:link w:val="a4"/>
    <w:uiPriority w:val="10"/>
    <w:qFormat/>
    <w:rsid w:val="00D8631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63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631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631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631E"/>
    <w:pPr>
      <w:spacing w:before="160" w:after="160"/>
      <w:jc w:val="center"/>
    </w:pPr>
    <w:rPr>
      <w:i/>
      <w:iCs/>
      <w:color w:val="404040" w:themeColor="text1" w:themeTint="BF"/>
    </w:rPr>
  </w:style>
  <w:style w:type="character" w:customStyle="1" w:styleId="a8">
    <w:name w:val="引用 字符"/>
    <w:basedOn w:val="a0"/>
    <w:link w:val="a7"/>
    <w:uiPriority w:val="29"/>
    <w:rsid w:val="00D8631E"/>
    <w:rPr>
      <w:i/>
      <w:iCs/>
      <w:color w:val="404040" w:themeColor="text1" w:themeTint="BF"/>
    </w:rPr>
  </w:style>
  <w:style w:type="paragraph" w:styleId="a9">
    <w:name w:val="List Paragraph"/>
    <w:basedOn w:val="a"/>
    <w:uiPriority w:val="34"/>
    <w:qFormat/>
    <w:rsid w:val="00D8631E"/>
    <w:pPr>
      <w:ind w:left="720"/>
      <w:contextualSpacing/>
    </w:pPr>
  </w:style>
  <w:style w:type="character" w:styleId="aa">
    <w:name w:val="Intense Emphasis"/>
    <w:basedOn w:val="a0"/>
    <w:uiPriority w:val="21"/>
    <w:qFormat/>
    <w:rsid w:val="00D8631E"/>
    <w:rPr>
      <w:i/>
      <w:iCs/>
      <w:color w:val="0F4761" w:themeColor="accent1" w:themeShade="BF"/>
    </w:rPr>
  </w:style>
  <w:style w:type="paragraph" w:styleId="ab">
    <w:name w:val="Intense Quote"/>
    <w:basedOn w:val="a"/>
    <w:next w:val="a"/>
    <w:link w:val="ac"/>
    <w:uiPriority w:val="30"/>
    <w:qFormat/>
    <w:rsid w:val="00D86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631E"/>
    <w:rPr>
      <w:i/>
      <w:iCs/>
      <w:color w:val="0F4761" w:themeColor="accent1" w:themeShade="BF"/>
    </w:rPr>
  </w:style>
  <w:style w:type="character" w:styleId="ad">
    <w:name w:val="Intense Reference"/>
    <w:basedOn w:val="a0"/>
    <w:uiPriority w:val="32"/>
    <w:qFormat/>
    <w:rsid w:val="00D8631E"/>
    <w:rPr>
      <w:b/>
      <w:bCs/>
      <w:smallCaps/>
      <w:color w:val="0F4761" w:themeColor="accent1" w:themeShade="BF"/>
      <w:spacing w:val="5"/>
    </w:rPr>
  </w:style>
  <w:style w:type="paragraph" w:styleId="ae">
    <w:name w:val="Normal (Web)"/>
    <w:basedOn w:val="a"/>
    <w:uiPriority w:val="99"/>
    <w:semiHidden/>
    <w:unhideWhenUsed/>
    <w:rsid w:val="00D8631E"/>
    <w:pPr>
      <w:widowControl/>
      <w:spacing w:before="100" w:beforeAutospacing="1" w:after="100" w:afterAutospacing="1"/>
      <w:jc w:val="left"/>
    </w:pPr>
    <w:rPr>
      <w:rFonts w:ascii="宋体" w:eastAsia="宋体" w:hAnsi="宋体" w:cs="宋体"/>
      <w:kern w:val="0"/>
      <w:sz w:val="24"/>
    </w:rPr>
  </w:style>
  <w:style w:type="character" w:styleId="HTML">
    <w:name w:val="HTML Code"/>
    <w:basedOn w:val="a0"/>
    <w:uiPriority w:val="99"/>
    <w:semiHidden/>
    <w:unhideWhenUsed/>
    <w:rsid w:val="00D8631E"/>
    <w:rPr>
      <w:rFonts w:ascii="宋体" w:eastAsia="宋体" w:hAnsi="宋体" w:cs="宋体"/>
      <w:sz w:val="24"/>
      <w:szCs w:val="24"/>
    </w:rPr>
  </w:style>
  <w:style w:type="character" w:customStyle="1" w:styleId="math-inline">
    <w:name w:val="math-inline"/>
    <w:basedOn w:val="a0"/>
    <w:rsid w:val="00D863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855</Words>
  <Characters>3422</Characters>
  <Application>Microsoft Office Word</Application>
  <DocSecurity>0</DocSecurity>
  <Lines>1711</Lines>
  <Paragraphs>855</Paragraphs>
  <ScaleCrop>false</ScaleCrop>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JINGFANG (UG)</dc:creator>
  <cp:keywords/>
  <dc:description/>
  <cp:lastModifiedBy>LUO, JINGFANG (UG)</cp:lastModifiedBy>
  <cp:revision>1</cp:revision>
  <dcterms:created xsi:type="dcterms:W3CDTF">2026-03-04T16:18:00Z</dcterms:created>
  <dcterms:modified xsi:type="dcterms:W3CDTF">2026-03-04T16:22:00Z</dcterms:modified>
</cp:coreProperties>
</file>