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22"/>
        </w:rPr>
        <w:t>ALL INDIA COUNCIL FOR TECHNICAL EDUCATION (AICTE)</w:t>
        <w:br/>
      </w:r>
      <w:r>
        <w:rPr>
          <w:rFonts w:ascii="Arial" w:hAnsi="Arial"/>
          <w:b/>
          <w:color w:val="0F172A"/>
          <w:sz w:val="36"/>
        </w:rPr>
        <w:t>AI-POWERED DOCUMENT SCRUTINY &amp; APPROVAL VERIFICATION PLATFORM</w:t>
        <w:br/>
      </w:r>
      <w:r>
        <w:rPr>
          <w:rFonts w:ascii="Arial" w:hAnsi="Arial"/>
          <w:i/>
          <w:color w:val="475569"/>
          <w:sz w:val="20"/>
        </w:rPr>
        <w:t>Complete Top-to-Bottom Technical Architecture, Multi-Agent Engineering, Flowchart, Tech Stack Rationale &amp; Accuracy Benchmark Specification</w:t>
        <w:br/>
      </w:r>
    </w:p>
    <w:p>
      <w:pPr>
        <w:spacing w:after="160"/>
      </w:pPr>
    </w:p>
    <w:tbl>
      <w:tblPr>
        <w:tblW w:type="auto" w:w="0"/>
        <w:jc w:val="center"/>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Pr>
          <w:p>
            <w:r>
              <w:rPr>
                <w:rFonts w:ascii="Arial" w:hAnsi="Arial"/>
                <w:b/>
                <w:color w:val="0F172A"/>
                <w:sz w:val="19"/>
              </w:rPr>
              <w:t>Application Scope</w:t>
            </w:r>
          </w:p>
        </w:tc>
        <w:tc>
          <w:tcPr>
            <w:tcW w:type="dxa" w:w="6624"/>
            <w:shd w:fill="FFFFFF"/>
            <w:tcMar>
              <w:top w:w="80" w:type="dxa"/>
              <w:bottom w:w="80" w:type="dxa"/>
              <w:left w:w="120" w:type="dxa"/>
              <w:right w:w="120" w:type="dxa"/>
            </w:tcMar>
          </w:tcPr>
          <w:p>
            <w:r>
              <w:rPr>
                <w:rFonts w:ascii="Arial" w:hAnsi="Arial"/>
                <w:color w:val="475569"/>
                <w:sz w:val="19"/>
              </w:rPr>
              <w:t>AICTE Approval Process Handbook (APH 2024–2027) Compliance &amp; Pre-Scrutiny Engine</w:t>
            </w:r>
          </w:p>
        </w:tc>
      </w:tr>
      <w:tr>
        <w:tc>
          <w:tcPr>
            <w:tcW w:type="dxa" w:w="3168"/>
            <w:shd w:fill="F1F5F9"/>
            <w:tcMar>
              <w:top w:w="80" w:type="dxa"/>
              <w:bottom w:w="80" w:type="dxa"/>
              <w:left w:w="120" w:type="dxa"/>
              <w:right w:w="120" w:type="dxa"/>
            </w:tcMar>
          </w:tcPr>
          <w:p>
            <w:r>
              <w:rPr>
                <w:rFonts w:ascii="Arial" w:hAnsi="Arial"/>
                <w:b/>
                <w:color w:val="0F172A"/>
                <w:sz w:val="19"/>
              </w:rPr>
              <w:t>System Architecture</w:t>
            </w:r>
          </w:p>
        </w:tc>
        <w:tc>
          <w:tcPr>
            <w:tcW w:type="dxa" w:w="6624"/>
            <w:shd w:fill="FFFFFF"/>
            <w:tcMar>
              <w:top w:w="80" w:type="dxa"/>
              <w:bottom w:w="80" w:type="dxa"/>
              <w:left w:w="120" w:type="dxa"/>
              <w:right w:w="120" w:type="dxa"/>
            </w:tcMar>
          </w:tcPr>
          <w:p>
            <w:r>
              <w:rPr>
                <w:rFonts w:ascii="Arial" w:hAnsi="Arial"/>
                <w:color w:val="475569"/>
                <w:sz w:val="19"/>
              </w:rPr>
              <w:t>Dual-Portal Role Auth + Multi-Agent AI Core + MySQL 8.0 + Cryptographic SHA-256 Ledger</w:t>
            </w:r>
          </w:p>
        </w:tc>
      </w:tr>
      <w:tr>
        <w:tc>
          <w:tcPr>
            <w:tcW w:type="dxa" w:w="3168"/>
            <w:shd w:fill="F1F5F9"/>
            <w:tcMar>
              <w:top w:w="80" w:type="dxa"/>
              <w:bottom w:w="80" w:type="dxa"/>
              <w:left w:w="120" w:type="dxa"/>
              <w:right w:w="120" w:type="dxa"/>
            </w:tcMar>
          </w:tcPr>
          <w:p>
            <w:r>
              <w:rPr>
                <w:rFonts w:ascii="Arial" w:hAnsi="Arial"/>
                <w:b/>
                <w:color w:val="0F172A"/>
                <w:sz w:val="19"/>
              </w:rPr>
              <w:t>Core Principle</w:t>
            </w:r>
          </w:p>
        </w:tc>
        <w:tc>
          <w:tcPr>
            <w:tcW w:type="dxa" w:w="6624"/>
            <w:shd w:fill="FFFFFF"/>
            <w:tcMar>
              <w:top w:w="80" w:type="dxa"/>
              <w:bottom w:w="80" w:type="dxa"/>
              <w:left w:w="120" w:type="dxa"/>
              <w:right w:w="120" w:type="dxa"/>
            </w:tcMar>
          </w:tcPr>
          <w:p>
            <w:r>
              <w:rPr>
                <w:rFonts w:ascii="Arial" w:hAnsi="Arial"/>
                <w:color w:val="475569"/>
                <w:sz w:val="19"/>
              </w:rPr>
              <w:t>Human-in-the-Loop: AI Only Advises &amp; Scores Evidence; Scrutiny Officers Retain Statutory Sign-Off</w:t>
            </w:r>
          </w:p>
        </w:tc>
      </w:tr>
      <w:tr>
        <w:tc>
          <w:tcPr>
            <w:tcW w:type="dxa" w:w="3168"/>
            <w:shd w:fill="F1F5F9"/>
            <w:tcMar>
              <w:top w:w="80" w:type="dxa"/>
              <w:bottom w:w="80" w:type="dxa"/>
              <w:left w:w="120" w:type="dxa"/>
              <w:right w:w="120" w:type="dxa"/>
            </w:tcMar>
          </w:tcPr>
          <w:p>
            <w:r>
              <w:rPr>
                <w:rFonts w:ascii="Arial" w:hAnsi="Arial"/>
                <w:b/>
                <w:color w:val="0F172A"/>
                <w:sz w:val="19"/>
              </w:rPr>
              <w:t>Official Git Repository</w:t>
            </w:r>
          </w:p>
        </w:tc>
        <w:tc>
          <w:tcPr>
            <w:tcW w:type="dxa" w:w="6624"/>
            <w:shd w:fill="FFFFFF"/>
            <w:tcMar>
              <w:top w:w="80" w:type="dxa"/>
              <w:bottom w:w="80" w:type="dxa"/>
              <w:left w:w="120" w:type="dxa"/>
              <w:right w:w="120" w:type="dxa"/>
            </w:tcMar>
          </w:tcPr>
          <w:p>
            <w:r>
              <w:rPr>
                <w:rFonts w:ascii="Arial" w:hAnsi="Arial"/>
                <w:color w:val="475569"/>
                <w:sz w:val="19"/>
              </w:rPr>
              <w:t>https://github.com/Sanjit2505/AICTE-AI-Verification-Platform.git (Branch: main)</w:t>
            </w:r>
          </w:p>
        </w:tc>
      </w:tr>
    </w:tbl>
    <w:p>
      <w:pPr>
        <w:spacing w:after="280"/>
      </w:pPr>
    </w:p>
    <w:p>
      <w:pPr>
        <w:spacing w:before="280" w:after="80"/>
      </w:pPr>
      <w:r>
        <w:rPr>
          <w:rFonts w:ascii="Arial" w:hAnsi="Arial"/>
          <w:b/>
          <w:color w:val="2563EB"/>
          <w:sz w:val="26"/>
        </w:rPr>
        <w:t>1. Executive Summary &amp; Problem Formulation</w:t>
      </w:r>
    </w:p>
    <w:p>
      <w:pPr>
        <w:spacing w:after="80" w:line="276" w:lineRule="auto"/>
      </w:pPr>
      <w:r>
        <w:rPr>
          <w:rFonts w:ascii="Arial" w:hAnsi="Arial"/>
          <w:color w:val="475569"/>
          <w:sz w:val="20"/>
        </w:rPr>
        <w:t>Every year, technical institutions across India apply for Approval, Extension of Approval (EoA), Intake Variation, or New Institution Setup under the All India Council for Technical Education (AICTE). Historically, this scrutiny process required administrative committees to manually review hundreds of thousands of complex statutory PDFs (Land Deeds, Building Plans, Fire Safety NOCs, Faculty Registers, and Financial Statements). This manual process was vulnerable to undetected document tampering, digital seal splicing, duplicate certificate re-use, and 'ghost faculty' simultaneously claimed across multiple colleges.</w:t>
      </w:r>
    </w:p>
    <w:p>
      <w:pPr>
        <w:spacing w:after="80" w:line="276" w:lineRule="auto"/>
      </w:pPr>
      <w:r>
        <w:rPr>
          <w:rFonts w:ascii="Arial" w:hAnsi="Arial"/>
          <w:color w:val="475569"/>
          <w:sz w:val="20"/>
        </w:rPr>
        <w:t>This platform delivers an enterprise, production-grade AI-powered verification engine connected directly to a relational MySQL 8.0 database. It combines deep document parsing, pretrained natural language classification, forensic image analysis, statutory regulatory logic (APH 2024–27), cross-institutional graph collision detection, and YOLOv8 computer vision to automate pre-scrutiny in under 2 seconds per document while maintaining a tamper-proof cryptographic audit trail.</w:t>
      </w:r>
    </w:p>
    <w:p>
      <w:pPr>
        <w:spacing w:before="280" w:after="80"/>
      </w:pPr>
      <w:r>
        <w:rPr>
          <w:rFonts w:ascii="Arial" w:hAnsi="Arial"/>
          <w:b/>
          <w:color w:val="2563EB"/>
          <w:sz w:val="26"/>
        </w:rPr>
        <w:t>2. Full Technology Stack &amp; Engineering Rationale</w:t>
      </w:r>
    </w:p>
    <w:p>
      <w:pPr>
        <w:spacing w:after="80" w:line="276" w:lineRule="auto"/>
      </w:pPr>
      <w:r>
        <w:rPr>
          <w:rFonts w:ascii="Arial" w:hAnsi="Arial"/>
          <w:color w:val="475569"/>
          <w:sz w:val="20"/>
        </w:rPr>
        <w:t>The table below specifies every framework, database, ML model, and library utilized in this system, along with the concrete engineering justification for its selection:</w:t>
      </w:r>
    </w:p>
    <w:tbl>
      <w:tblPr>
        <w:tblW w:type="auto" w:w="0"/>
        <w:jc w:val="center"/>
        <w:tblLook w:firstColumn="1" w:firstRow="1" w:lastColumn="0" w:lastRow="0" w:noHBand="0" w:noVBand="1" w:val="04A0"/>
      </w:tblPr>
      <w:tblGrid>
        <w:gridCol w:w="3312"/>
        <w:gridCol w:w="3312"/>
        <w:gridCol w:w="3312"/>
      </w:tblGrid>
      <w:tr>
        <w:tc>
          <w:tcPr>
            <w:tcW w:type="dxa" w:w="2592"/>
            <w:shd w:fill="1E293B"/>
            <w:tcMar>
              <w:top w:w="100" w:type="dxa"/>
              <w:bottom w:w="100" w:type="dxa"/>
              <w:left w:w="120" w:type="dxa"/>
              <w:right w:w="120" w:type="dxa"/>
            </w:tcMar>
          </w:tcPr>
          <w:p>
            <w:r>
              <w:rPr>
                <w:rFonts w:ascii="Arial" w:hAnsi="Arial"/>
                <w:b/>
                <w:color w:val="FFFFFF"/>
                <w:sz w:val="19"/>
              </w:rPr>
              <w:t>Layer / Component</w:t>
            </w:r>
          </w:p>
        </w:tc>
        <w:tc>
          <w:tcPr>
            <w:tcW w:type="dxa" w:w="2592"/>
            <w:shd w:fill="1E293B"/>
            <w:tcMar>
              <w:top w:w="100" w:type="dxa"/>
              <w:bottom w:w="100" w:type="dxa"/>
              <w:left w:w="120" w:type="dxa"/>
              <w:right w:w="120" w:type="dxa"/>
            </w:tcMar>
          </w:tcPr>
          <w:p>
            <w:r>
              <w:rPr>
                <w:rFonts w:ascii="Arial" w:hAnsi="Arial"/>
                <w:b/>
                <w:color w:val="FFFFFF"/>
                <w:sz w:val="19"/>
              </w:rPr>
              <w:t>Technology Selected</w:t>
            </w:r>
          </w:p>
        </w:tc>
        <w:tc>
          <w:tcPr>
            <w:tcW w:type="dxa" w:w="4608"/>
            <w:shd w:fill="1E293B"/>
            <w:tcMar>
              <w:top w:w="100" w:type="dxa"/>
              <w:bottom w:w="100" w:type="dxa"/>
              <w:left w:w="120" w:type="dxa"/>
              <w:right w:w="120" w:type="dxa"/>
            </w:tcMar>
          </w:tcPr>
          <w:p>
            <w:r>
              <w:rPr>
                <w:rFonts w:ascii="Arial" w:hAnsi="Arial"/>
                <w:b/>
                <w:color w:val="FFFFFF"/>
                <w:sz w:val="19"/>
              </w:rPr>
              <w:t>Engineering Rationale &amp; Justification</w:t>
            </w:r>
          </w:p>
        </w:tc>
      </w:tr>
      <w:tr>
        <w:tc>
          <w:tcPr>
            <w:tcW w:type="dxa" w:w="2592"/>
            <w:shd w:fill="F8FAFC"/>
            <w:tcMar>
              <w:top w:w="80" w:type="dxa"/>
              <w:bottom w:w="80" w:type="dxa"/>
              <w:left w:w="100" w:type="dxa"/>
              <w:right w:w="100" w:type="dxa"/>
            </w:tcMar>
          </w:tcPr>
          <w:p>
            <w:r>
              <w:rPr>
                <w:rFonts w:ascii="Arial" w:hAnsi="Arial"/>
                <w:b/>
                <w:color w:val="0F172A"/>
                <w:sz w:val="17"/>
              </w:rPr>
              <w:t>Backend Web Framework</w:t>
            </w:r>
          </w:p>
        </w:tc>
        <w:tc>
          <w:tcPr>
            <w:tcW w:type="dxa" w:w="2592"/>
            <w:shd w:fill="FFFFFF"/>
            <w:tcMar>
              <w:top w:w="80" w:type="dxa"/>
              <w:bottom w:w="80" w:type="dxa"/>
              <w:left w:w="100" w:type="dxa"/>
              <w:right w:w="100" w:type="dxa"/>
            </w:tcMar>
          </w:tcPr>
          <w:p>
            <w:r>
              <w:rPr>
                <w:rFonts w:ascii="Arial" w:hAnsi="Arial"/>
                <w:b/>
                <w:color w:val="0F172A"/>
                <w:sz w:val="17"/>
              </w:rPr>
              <w:t>FastAPI (Python 3.13) + Uvicorn ASGI</w:t>
            </w:r>
          </w:p>
        </w:tc>
        <w:tc>
          <w:tcPr>
            <w:tcW w:type="dxa" w:w="4608"/>
            <w:shd w:fill="FFFFFF"/>
            <w:tcMar>
              <w:top w:w="80" w:type="dxa"/>
              <w:bottom w:w="80" w:type="dxa"/>
              <w:left w:w="100" w:type="dxa"/>
              <w:right w:w="100" w:type="dxa"/>
            </w:tcMar>
          </w:tcPr>
          <w:p>
            <w:r>
              <w:rPr>
                <w:rFonts w:ascii="Arial" w:hAnsi="Arial"/>
                <w:b w:val="0"/>
                <w:color w:val="475569"/>
                <w:sz w:val="17"/>
              </w:rPr>
              <w:t>Ultra-fast asynchronous processing, automatic OpenAPI/Swagger documentation, strict request/response validation with Pydantic, and native concurrency for multi-agent ML workflows.</w:t>
            </w:r>
          </w:p>
        </w:tc>
      </w:tr>
      <w:tr>
        <w:tc>
          <w:tcPr>
            <w:tcW w:type="dxa" w:w="2592"/>
            <w:shd w:fill="F8FAFC"/>
            <w:tcMar>
              <w:top w:w="80" w:type="dxa"/>
              <w:bottom w:w="80" w:type="dxa"/>
              <w:left w:w="100" w:type="dxa"/>
              <w:right w:w="100" w:type="dxa"/>
            </w:tcMar>
          </w:tcPr>
          <w:p>
            <w:r>
              <w:rPr>
                <w:rFonts w:ascii="Arial" w:hAnsi="Arial"/>
                <w:b/>
                <w:color w:val="0F172A"/>
                <w:sz w:val="17"/>
              </w:rPr>
              <w:t>Relational Database</w:t>
            </w:r>
          </w:p>
        </w:tc>
        <w:tc>
          <w:tcPr>
            <w:tcW w:type="dxa" w:w="2592"/>
            <w:shd w:fill="FFFFFF"/>
            <w:tcMar>
              <w:top w:w="80" w:type="dxa"/>
              <w:bottom w:w="80" w:type="dxa"/>
              <w:left w:w="100" w:type="dxa"/>
              <w:right w:w="100" w:type="dxa"/>
            </w:tcMar>
          </w:tcPr>
          <w:p>
            <w:r>
              <w:rPr>
                <w:rFonts w:ascii="Arial" w:hAnsi="Arial"/>
                <w:b/>
                <w:color w:val="0F172A"/>
                <w:sz w:val="17"/>
              </w:rPr>
              <w:t>MySQL 8.0 Community Edition (Workbench)</w:t>
            </w:r>
          </w:p>
        </w:tc>
        <w:tc>
          <w:tcPr>
            <w:tcW w:type="dxa" w:w="4608"/>
            <w:shd w:fill="FFFFFF"/>
            <w:tcMar>
              <w:top w:w="80" w:type="dxa"/>
              <w:bottom w:w="80" w:type="dxa"/>
              <w:left w:w="100" w:type="dxa"/>
              <w:right w:w="100" w:type="dxa"/>
            </w:tcMar>
          </w:tcPr>
          <w:p>
            <w:r>
              <w:rPr>
                <w:rFonts w:ascii="Arial" w:hAnsi="Arial"/>
                <w:b w:val="0"/>
                <w:color w:val="475569"/>
                <w:sz w:val="17"/>
              </w:rPr>
              <w:t>ACID-compliant relational engine required for legal audit trails, JSON column support for dynamic document parameters, foreign key integrity, and zero simulated in-memory state.</w:t>
            </w:r>
          </w:p>
        </w:tc>
      </w:tr>
      <w:tr>
        <w:tc>
          <w:tcPr>
            <w:tcW w:type="dxa" w:w="2592"/>
            <w:shd w:fill="F8FAFC"/>
            <w:tcMar>
              <w:top w:w="80" w:type="dxa"/>
              <w:bottom w:w="80" w:type="dxa"/>
              <w:left w:w="100" w:type="dxa"/>
              <w:right w:w="100" w:type="dxa"/>
            </w:tcMar>
          </w:tcPr>
          <w:p>
            <w:r>
              <w:rPr>
                <w:rFonts w:ascii="Arial" w:hAnsi="Arial"/>
                <w:b/>
                <w:color w:val="0F172A"/>
                <w:sz w:val="17"/>
              </w:rPr>
              <w:t>Document Parsing &amp; OCR</w:t>
            </w:r>
          </w:p>
        </w:tc>
        <w:tc>
          <w:tcPr>
            <w:tcW w:type="dxa" w:w="2592"/>
            <w:shd w:fill="FFFFFF"/>
            <w:tcMar>
              <w:top w:w="80" w:type="dxa"/>
              <w:bottom w:w="80" w:type="dxa"/>
              <w:left w:w="100" w:type="dxa"/>
              <w:right w:w="100" w:type="dxa"/>
            </w:tcMar>
          </w:tcPr>
          <w:p>
            <w:r>
              <w:rPr>
                <w:rFonts w:ascii="Arial" w:hAnsi="Arial"/>
                <w:b/>
                <w:color w:val="0F172A"/>
                <w:sz w:val="17"/>
              </w:rPr>
              <w:t>pdfplumber + pdfminer.six + pypdf</w:t>
            </w:r>
          </w:p>
        </w:tc>
        <w:tc>
          <w:tcPr>
            <w:tcW w:type="dxa" w:w="4608"/>
            <w:shd w:fill="FFFFFF"/>
            <w:tcMar>
              <w:top w:w="80" w:type="dxa"/>
              <w:bottom w:w="80" w:type="dxa"/>
              <w:left w:w="100" w:type="dxa"/>
              <w:right w:w="100" w:type="dxa"/>
            </w:tcMar>
          </w:tcPr>
          <w:p>
            <w:r>
              <w:rPr>
                <w:rFonts w:ascii="Arial" w:hAnsi="Arial"/>
                <w:b w:val="0"/>
                <w:color w:val="475569"/>
                <w:sz w:val="17"/>
              </w:rPr>
              <w:t>Deterministic pure-Python extraction of layout-preserved text, coordinate tables, and embedded fonts without external C++ Tesseract/MSVC build dependencies on Windows.</w:t>
            </w:r>
          </w:p>
        </w:tc>
      </w:tr>
      <w:tr>
        <w:tc>
          <w:tcPr>
            <w:tcW w:type="dxa" w:w="2592"/>
            <w:shd w:fill="F8FAFC"/>
            <w:tcMar>
              <w:top w:w="80" w:type="dxa"/>
              <w:bottom w:w="80" w:type="dxa"/>
              <w:left w:w="100" w:type="dxa"/>
              <w:right w:w="100" w:type="dxa"/>
            </w:tcMar>
          </w:tcPr>
          <w:p>
            <w:r>
              <w:rPr>
                <w:rFonts w:ascii="Arial" w:hAnsi="Arial"/>
                <w:b/>
                <w:color w:val="0F172A"/>
                <w:sz w:val="17"/>
              </w:rPr>
              <w:t>NLP Document Classifier</w:t>
            </w:r>
          </w:p>
        </w:tc>
        <w:tc>
          <w:tcPr>
            <w:tcW w:type="dxa" w:w="2592"/>
            <w:shd w:fill="FFFFFF"/>
            <w:tcMar>
              <w:top w:w="80" w:type="dxa"/>
              <w:bottom w:w="80" w:type="dxa"/>
              <w:left w:w="100" w:type="dxa"/>
              <w:right w:w="100" w:type="dxa"/>
            </w:tcMar>
          </w:tcPr>
          <w:p>
            <w:r>
              <w:rPr>
                <w:rFonts w:ascii="Arial" w:hAnsi="Arial"/>
                <w:b/>
                <w:color w:val="0F172A"/>
                <w:sz w:val="17"/>
              </w:rPr>
              <w:t>Scikit-Learn (TF-IDF + Logistic Regression)</w:t>
            </w:r>
          </w:p>
        </w:tc>
        <w:tc>
          <w:tcPr>
            <w:tcW w:type="dxa" w:w="4608"/>
            <w:shd w:fill="FFFFFF"/>
            <w:tcMar>
              <w:top w:w="80" w:type="dxa"/>
              <w:bottom w:w="80" w:type="dxa"/>
              <w:left w:w="100" w:type="dxa"/>
              <w:right w:w="100" w:type="dxa"/>
            </w:tcMar>
          </w:tcPr>
          <w:p>
            <w:r>
              <w:rPr>
                <w:rFonts w:ascii="Arial" w:hAnsi="Arial"/>
                <w:b w:val="0"/>
                <w:color w:val="475569"/>
                <w:sz w:val="17"/>
              </w:rPr>
              <w:t>Pretrained &amp; fine-tuned on AICTE technical education certificates. Delivers sub-15ms inference latency without the memory footprint, costs, or cold-start overhead of heavyweight LLMs.</w:t>
            </w:r>
          </w:p>
        </w:tc>
      </w:tr>
      <w:tr>
        <w:tc>
          <w:tcPr>
            <w:tcW w:type="dxa" w:w="2592"/>
            <w:shd w:fill="F8FAFC"/>
            <w:tcMar>
              <w:top w:w="80" w:type="dxa"/>
              <w:bottom w:w="80" w:type="dxa"/>
              <w:left w:w="100" w:type="dxa"/>
              <w:right w:w="100" w:type="dxa"/>
            </w:tcMar>
          </w:tcPr>
          <w:p>
            <w:r>
              <w:rPr>
                <w:rFonts w:ascii="Arial" w:hAnsi="Arial"/>
                <w:b/>
                <w:color w:val="0F172A"/>
                <w:sz w:val="17"/>
              </w:rPr>
              <w:t>Forensic Vision Agent</w:t>
            </w:r>
          </w:p>
        </w:tc>
        <w:tc>
          <w:tcPr>
            <w:tcW w:type="dxa" w:w="2592"/>
            <w:shd w:fill="FFFFFF"/>
            <w:tcMar>
              <w:top w:w="80" w:type="dxa"/>
              <w:bottom w:w="80" w:type="dxa"/>
              <w:left w:w="100" w:type="dxa"/>
              <w:right w:w="100" w:type="dxa"/>
            </w:tcMar>
          </w:tcPr>
          <w:p>
            <w:r>
              <w:rPr>
                <w:rFonts w:ascii="Arial" w:hAnsi="Arial"/>
                <w:b/>
                <w:color w:val="0F172A"/>
                <w:sz w:val="17"/>
              </w:rPr>
              <w:t>Pillow ELA (Error Level Analysis)</w:t>
            </w:r>
          </w:p>
        </w:tc>
        <w:tc>
          <w:tcPr>
            <w:tcW w:type="dxa" w:w="4608"/>
            <w:shd w:fill="FFFFFF"/>
            <w:tcMar>
              <w:top w:w="80" w:type="dxa"/>
              <w:bottom w:w="80" w:type="dxa"/>
              <w:left w:w="100" w:type="dxa"/>
              <w:right w:w="100" w:type="dxa"/>
            </w:tcMar>
          </w:tcPr>
          <w:p>
            <w:r>
              <w:rPr>
                <w:rFonts w:ascii="Arial" w:hAnsi="Arial"/>
                <w:b w:val="0"/>
                <w:color w:val="475569"/>
                <w:sz w:val="17"/>
              </w:rPr>
              <w:t>Performs double-compression JPEG re-saving at 90% quality and calculates pixel-level difference matrices to identify digitally spliced text, forged stamps, and altered numbers.</w:t>
            </w:r>
          </w:p>
        </w:tc>
      </w:tr>
      <w:tr>
        <w:tc>
          <w:tcPr>
            <w:tcW w:type="dxa" w:w="2592"/>
            <w:shd w:fill="F8FAFC"/>
            <w:tcMar>
              <w:top w:w="80" w:type="dxa"/>
              <w:bottom w:w="80" w:type="dxa"/>
              <w:left w:w="100" w:type="dxa"/>
              <w:right w:w="100" w:type="dxa"/>
            </w:tcMar>
          </w:tcPr>
          <w:p>
            <w:r>
              <w:rPr>
                <w:rFonts w:ascii="Arial" w:hAnsi="Arial"/>
                <w:b/>
                <w:color w:val="0F172A"/>
                <w:sz w:val="17"/>
              </w:rPr>
              <w:t>Infrastructure CV</w:t>
            </w:r>
          </w:p>
        </w:tc>
        <w:tc>
          <w:tcPr>
            <w:tcW w:type="dxa" w:w="2592"/>
            <w:shd w:fill="FFFFFF"/>
            <w:tcMar>
              <w:top w:w="80" w:type="dxa"/>
              <w:bottom w:w="80" w:type="dxa"/>
              <w:left w:w="100" w:type="dxa"/>
              <w:right w:w="100" w:type="dxa"/>
            </w:tcMar>
          </w:tcPr>
          <w:p>
            <w:r>
              <w:rPr>
                <w:rFonts w:ascii="Arial" w:hAnsi="Arial"/>
                <w:b/>
                <w:color w:val="0F172A"/>
                <w:sz w:val="17"/>
              </w:rPr>
              <w:t>Ultralytics YOLOv8 Nano (yolov8n.pt)</w:t>
            </w:r>
          </w:p>
        </w:tc>
        <w:tc>
          <w:tcPr>
            <w:tcW w:type="dxa" w:w="4608"/>
            <w:shd w:fill="FFFFFF"/>
            <w:tcMar>
              <w:top w:w="80" w:type="dxa"/>
              <w:bottom w:w="80" w:type="dxa"/>
              <w:left w:w="100" w:type="dxa"/>
              <w:right w:w="100" w:type="dxa"/>
            </w:tcMar>
          </w:tcPr>
          <w:p>
            <w:r>
              <w:rPr>
                <w:rFonts w:ascii="Arial" w:hAnsi="Arial"/>
                <w:b w:val="0"/>
                <w:color w:val="475569"/>
                <w:sz w:val="17"/>
              </w:rPr>
              <w:t>Real-time deep learning object detection for computers, monitors, lab tables, and chairs in infrastructure photos, paired with EXIF GPS coordinate validation against college premises.</w:t>
            </w:r>
          </w:p>
        </w:tc>
      </w:tr>
      <w:tr>
        <w:tc>
          <w:tcPr>
            <w:tcW w:type="dxa" w:w="2592"/>
            <w:shd w:fill="F8FAFC"/>
            <w:tcMar>
              <w:top w:w="80" w:type="dxa"/>
              <w:bottom w:w="80" w:type="dxa"/>
              <w:left w:w="100" w:type="dxa"/>
              <w:right w:w="100" w:type="dxa"/>
            </w:tcMar>
          </w:tcPr>
          <w:p>
            <w:r>
              <w:rPr>
                <w:rFonts w:ascii="Arial" w:hAnsi="Arial"/>
                <w:b/>
                <w:color w:val="0F172A"/>
                <w:sz w:val="17"/>
              </w:rPr>
              <w:t>Cross-Institution Graph</w:t>
            </w:r>
          </w:p>
        </w:tc>
        <w:tc>
          <w:tcPr>
            <w:tcW w:type="dxa" w:w="2592"/>
            <w:shd w:fill="FFFFFF"/>
            <w:tcMar>
              <w:top w:w="80" w:type="dxa"/>
              <w:bottom w:w="80" w:type="dxa"/>
              <w:left w:w="100" w:type="dxa"/>
              <w:right w:w="100" w:type="dxa"/>
            </w:tcMar>
          </w:tcPr>
          <w:p>
            <w:r>
              <w:rPr>
                <w:rFonts w:ascii="Arial" w:hAnsi="Arial"/>
                <w:b/>
                <w:color w:val="0F172A"/>
                <w:sz w:val="17"/>
              </w:rPr>
              <w:t>MySQL 8.0 Relational Joins &amp; Set Operations</w:t>
            </w:r>
          </w:p>
        </w:tc>
        <w:tc>
          <w:tcPr>
            <w:tcW w:type="dxa" w:w="4608"/>
            <w:shd w:fill="FFFFFF"/>
            <w:tcMar>
              <w:top w:w="80" w:type="dxa"/>
              <w:bottom w:w="80" w:type="dxa"/>
              <w:left w:w="100" w:type="dxa"/>
              <w:right w:w="100" w:type="dxa"/>
            </w:tcMar>
          </w:tcPr>
          <w:p>
            <w:r>
              <w:rPr>
                <w:rFonts w:ascii="Arial" w:hAnsi="Arial"/>
                <w:b w:val="0"/>
                <w:color w:val="475569"/>
                <w:sz w:val="17"/>
              </w:rPr>
              <w:t>O(1) indexed set operations that identify duplicate document hashes and detect 'ghost faculty' claimed concurrently across distinct college registration numbers.</w:t>
            </w:r>
          </w:p>
        </w:tc>
      </w:tr>
      <w:tr>
        <w:tc>
          <w:tcPr>
            <w:tcW w:type="dxa" w:w="2592"/>
            <w:shd w:fill="F8FAFC"/>
            <w:tcMar>
              <w:top w:w="80" w:type="dxa"/>
              <w:bottom w:w="80" w:type="dxa"/>
              <w:left w:w="100" w:type="dxa"/>
              <w:right w:w="100" w:type="dxa"/>
            </w:tcMar>
          </w:tcPr>
          <w:p>
            <w:r>
              <w:rPr>
                <w:rFonts w:ascii="Arial" w:hAnsi="Arial"/>
                <w:b/>
                <w:color w:val="0F172A"/>
                <w:sz w:val="17"/>
              </w:rPr>
              <w:t>Trust &amp; Audit Chain</w:t>
            </w:r>
          </w:p>
        </w:tc>
        <w:tc>
          <w:tcPr>
            <w:tcW w:type="dxa" w:w="2592"/>
            <w:shd w:fill="FFFFFF"/>
            <w:tcMar>
              <w:top w:w="80" w:type="dxa"/>
              <w:bottom w:w="80" w:type="dxa"/>
              <w:left w:w="100" w:type="dxa"/>
              <w:right w:w="100" w:type="dxa"/>
            </w:tcMar>
          </w:tcPr>
          <w:p>
            <w:r>
              <w:rPr>
                <w:rFonts w:ascii="Arial" w:hAnsi="Arial"/>
                <w:b/>
                <w:color w:val="0F172A"/>
                <w:sz w:val="17"/>
              </w:rPr>
              <w:t>Cryptographic SHA-256 Merkle Ledger</w:t>
            </w:r>
          </w:p>
        </w:tc>
        <w:tc>
          <w:tcPr>
            <w:tcW w:type="dxa" w:w="4608"/>
            <w:shd w:fill="FFFFFF"/>
            <w:tcMar>
              <w:top w:w="80" w:type="dxa"/>
              <w:bottom w:w="80" w:type="dxa"/>
              <w:left w:w="100" w:type="dxa"/>
              <w:right w:w="100" w:type="dxa"/>
            </w:tcMar>
          </w:tcPr>
          <w:p>
            <w:r>
              <w:rPr>
                <w:rFonts w:ascii="Arial" w:hAnsi="Arial"/>
                <w:b w:val="0"/>
                <w:color w:val="475569"/>
                <w:sz w:val="17"/>
              </w:rPr>
              <w:t>Every application submission, file upload, agent analysis, and officer sign-off is linked via previous_hash + payload_hash + timestamp, rendering historical records unforgeable.</w:t>
            </w:r>
          </w:p>
        </w:tc>
      </w:tr>
      <w:tr>
        <w:tc>
          <w:tcPr>
            <w:tcW w:type="dxa" w:w="2592"/>
            <w:shd w:fill="F8FAFC"/>
            <w:tcMar>
              <w:top w:w="80" w:type="dxa"/>
              <w:bottom w:w="80" w:type="dxa"/>
              <w:left w:w="100" w:type="dxa"/>
              <w:right w:w="100" w:type="dxa"/>
            </w:tcMar>
          </w:tcPr>
          <w:p>
            <w:r>
              <w:rPr>
                <w:rFonts w:ascii="Arial" w:hAnsi="Arial"/>
                <w:b/>
                <w:color w:val="0F172A"/>
                <w:sz w:val="17"/>
              </w:rPr>
              <w:t>Security &amp; Auth</w:t>
            </w:r>
          </w:p>
        </w:tc>
        <w:tc>
          <w:tcPr>
            <w:tcW w:type="dxa" w:w="2592"/>
            <w:shd w:fill="FFFFFF"/>
            <w:tcMar>
              <w:top w:w="80" w:type="dxa"/>
              <w:bottom w:w="80" w:type="dxa"/>
              <w:left w:w="100" w:type="dxa"/>
              <w:right w:w="100" w:type="dxa"/>
            </w:tcMar>
          </w:tcPr>
          <w:p>
            <w:r>
              <w:rPr>
                <w:rFonts w:ascii="Arial" w:hAnsi="Arial"/>
                <w:b/>
                <w:color w:val="0F172A"/>
                <w:sz w:val="17"/>
              </w:rPr>
              <w:t>BCrypt Password Hashing + JWT Tokens</w:t>
            </w:r>
          </w:p>
        </w:tc>
        <w:tc>
          <w:tcPr>
            <w:tcW w:type="dxa" w:w="4608"/>
            <w:shd w:fill="FFFFFF"/>
            <w:tcMar>
              <w:top w:w="80" w:type="dxa"/>
              <w:bottom w:w="80" w:type="dxa"/>
              <w:left w:w="100" w:type="dxa"/>
              <w:right w:w="100" w:type="dxa"/>
            </w:tcMar>
          </w:tcPr>
          <w:p>
            <w:r>
              <w:rPr>
                <w:rFonts w:ascii="Arial" w:hAnsi="Arial"/>
                <w:b w:val="0"/>
                <w:color w:val="475569"/>
                <w:sz w:val="17"/>
              </w:rPr>
              <w:t>Dual-role authentication enforcing strict separation between Institution Applicants and AICTE Regional Scrutiny Officers.</w:t>
            </w:r>
          </w:p>
        </w:tc>
      </w:tr>
      <w:tr>
        <w:tc>
          <w:tcPr>
            <w:tcW w:type="dxa" w:w="2592"/>
            <w:shd w:fill="F8FAFC"/>
            <w:tcMar>
              <w:top w:w="80" w:type="dxa"/>
              <w:bottom w:w="80" w:type="dxa"/>
              <w:left w:w="100" w:type="dxa"/>
              <w:right w:w="100" w:type="dxa"/>
            </w:tcMar>
          </w:tcPr>
          <w:p>
            <w:r>
              <w:rPr>
                <w:rFonts w:ascii="Arial" w:hAnsi="Arial"/>
                <w:b/>
                <w:color w:val="0F172A"/>
                <w:sz w:val="17"/>
              </w:rPr>
              <w:t>Frontend Application</w:t>
            </w:r>
          </w:p>
        </w:tc>
        <w:tc>
          <w:tcPr>
            <w:tcW w:type="dxa" w:w="2592"/>
            <w:shd w:fill="FFFFFF"/>
            <w:tcMar>
              <w:top w:w="80" w:type="dxa"/>
              <w:bottom w:w="80" w:type="dxa"/>
              <w:left w:w="100" w:type="dxa"/>
              <w:right w:w="100" w:type="dxa"/>
            </w:tcMar>
          </w:tcPr>
          <w:p>
            <w:r>
              <w:rPr>
                <w:rFonts w:ascii="Arial" w:hAnsi="Arial"/>
                <w:b/>
                <w:color w:val="0F172A"/>
                <w:sz w:val="17"/>
              </w:rPr>
              <w:t>Vanilla ES6 JavaScript + Glassmorphic CSS</w:t>
            </w:r>
          </w:p>
        </w:tc>
        <w:tc>
          <w:tcPr>
            <w:tcW w:type="dxa" w:w="4608"/>
            <w:shd w:fill="FFFFFF"/>
            <w:tcMar>
              <w:top w:w="80" w:type="dxa"/>
              <w:bottom w:w="80" w:type="dxa"/>
              <w:left w:w="100" w:type="dxa"/>
              <w:right w:w="100" w:type="dxa"/>
            </w:tcMar>
          </w:tcPr>
          <w:p>
            <w:r>
              <w:rPr>
                <w:rFonts w:ascii="Arial" w:hAnsi="Arial"/>
                <w:b w:val="0"/>
                <w:color w:val="475569"/>
                <w:sz w:val="17"/>
              </w:rPr>
              <w:t>Modern, zero-compile web application delivering instant split-screen document verification, reactive readiness gauges, and interactive officer decision desks.</w:t>
            </w:r>
          </w:p>
        </w:tc>
      </w:tr>
    </w:tbl>
    <w:p>
      <w:pPr>
        <w:spacing w:after="240"/>
      </w:pPr>
    </w:p>
    <w:p>
      <w:pPr>
        <w:spacing w:before="280" w:after="80"/>
      </w:pPr>
      <w:r>
        <w:rPr>
          <w:rFonts w:ascii="Arial" w:hAnsi="Arial"/>
          <w:b/>
          <w:color w:val="2563EB"/>
          <w:sz w:val="26"/>
        </w:rPr>
        <w:t>3. System Flowchart &amp; Multi-Agent Architecture</w:t>
      </w:r>
    </w:p>
    <w:p>
      <w:pPr>
        <w:spacing w:after="80" w:line="276" w:lineRule="auto"/>
      </w:pPr>
      <w:r>
        <w:rPr>
          <w:rFonts w:ascii="Arial" w:hAnsi="Arial"/>
          <w:color w:val="475569"/>
          <w:sz w:val="20"/>
        </w:rPr>
        <w:t>The platform is organized into three decoupled layers: Client Portals, FastAPI Gateway &amp; Agent Orchestrator, and MySQL Data &amp; Trust Ledger. When a college submits an application or uploads statutory documents, the Multi-Agent Orchestrator triggers parallel verification routines across specialized sub-agents:</w:t>
      </w:r>
    </w:p>
    <w:p>
      <w:pPr>
        <w:spacing w:after="80" w:line="276" w:lineRule="auto"/>
      </w:pPr>
      <w:r>
        <w:rPr>
          <w:rFonts w:ascii="Arial" w:hAnsi="Arial"/>
          <w:b/>
          <w:color w:val="0F172A"/>
          <w:sz w:val="20"/>
        </w:rPr>
        <w:t xml:space="preserve">Step 1: Document Upload &amp; Cryptographic Hashing: </w:t>
      </w:r>
      <w:r>
        <w:rPr>
          <w:rFonts w:ascii="Arial" w:hAnsi="Arial"/>
          <w:color w:val="475569"/>
          <w:sz w:val="20"/>
        </w:rPr>
        <w:t>The applicant uploads a statutory PDF or infrastructure photo. The gateway computes its SHA-256 fingerprint immediately to guarantee immutability before saving to secured storage.</w:t>
      </w:r>
    </w:p>
    <w:p>
      <w:pPr>
        <w:spacing w:after="80" w:line="276" w:lineRule="auto"/>
      </w:pPr>
      <w:r>
        <w:rPr>
          <w:rFonts w:ascii="Arial" w:hAnsi="Arial"/>
          <w:b/>
          <w:color w:val="0F172A"/>
          <w:sz w:val="20"/>
        </w:rPr>
        <w:t xml:space="preserve">Step 2: Deterministic Extraction: </w:t>
      </w:r>
      <w:r>
        <w:rPr>
          <w:rFonts w:ascii="Arial" w:hAnsi="Arial"/>
          <w:color w:val="475569"/>
          <w:sz w:val="20"/>
        </w:rPr>
        <w:t>pdfplumber extracts text blocks, tabular faculty rosters, land survey coordinates, issue/expiry dates, and registration IDs.</w:t>
      </w:r>
    </w:p>
    <w:p>
      <w:pPr>
        <w:spacing w:after="80" w:line="276" w:lineRule="auto"/>
      </w:pPr>
      <w:r>
        <w:rPr>
          <w:rFonts w:ascii="Arial" w:hAnsi="Arial"/>
          <w:b/>
          <w:color w:val="0F172A"/>
          <w:sz w:val="20"/>
        </w:rPr>
        <w:t xml:space="preserve">Step 3: Document Type Classification: </w:t>
      </w:r>
      <w:r>
        <w:rPr>
          <w:rFonts w:ascii="Arial" w:hAnsi="Arial"/>
          <w:color w:val="475569"/>
          <w:sz w:val="20"/>
        </w:rPr>
        <w:t>The pretrained TF-IDF model verifies whether the declared document category matches the actual semantic content of the PDF (preventing fraudulent mislabeling).</w:t>
      </w:r>
    </w:p>
    <w:p>
      <w:pPr>
        <w:spacing w:after="80" w:line="276" w:lineRule="auto"/>
      </w:pPr>
      <w:r>
        <w:rPr>
          <w:rFonts w:ascii="Arial" w:hAnsi="Arial"/>
          <w:b/>
          <w:color w:val="0F172A"/>
          <w:sz w:val="20"/>
        </w:rPr>
        <w:t xml:space="preserve">Step 4: Forensic &amp; Metadata Inspection: </w:t>
      </w:r>
      <w:r>
        <w:rPr>
          <w:rFonts w:ascii="Arial" w:hAnsi="Arial"/>
          <w:color w:val="475569"/>
          <w:sz w:val="20"/>
        </w:rPr>
        <w:t>The Forensic Agent inspects PDF binary headers for editing tools (Photoshop, Canva, Illustrator, Sejda) and generates an Error Level Analysis (ELA) heatmap to highlight digitally altered text.</w:t>
      </w:r>
    </w:p>
    <w:p>
      <w:pPr>
        <w:spacing w:after="80" w:line="276" w:lineRule="auto"/>
      </w:pPr>
      <w:r>
        <w:rPr>
          <w:rFonts w:ascii="Arial" w:hAnsi="Arial"/>
          <w:b/>
          <w:color w:val="0F172A"/>
          <w:sz w:val="20"/>
        </w:rPr>
        <w:t xml:space="preserve">Step 5: Regulatory Compliance Evaluation: </w:t>
      </w:r>
      <w:r>
        <w:rPr>
          <w:rFonts w:ascii="Arial" w:hAnsi="Arial"/>
          <w:color w:val="475569"/>
          <w:sz w:val="20"/>
        </w:rPr>
        <w:t>The Regulatory Agent executes statutory formulas from APH 2024–27: verifying Student-to-Faculty Ratio (SFR 1:20 UG / 1:12 PG), Cadre Ratio (1:2:6), Intake Expansion Capping (+60 limit without NBA), and Computer Terminal ratios (1:4).</w:t>
      </w:r>
    </w:p>
    <w:p>
      <w:pPr>
        <w:spacing w:after="80" w:line="276" w:lineRule="auto"/>
      </w:pPr>
      <w:r>
        <w:rPr>
          <w:rFonts w:ascii="Arial" w:hAnsi="Arial"/>
          <w:b/>
          <w:color w:val="0F172A"/>
          <w:sz w:val="20"/>
        </w:rPr>
        <w:t xml:space="preserve">Step 6: Relational Graph Cross-Check: </w:t>
      </w:r>
      <w:r>
        <w:rPr>
          <w:rFonts w:ascii="Arial" w:hAnsi="Arial"/>
          <w:color w:val="475569"/>
          <w:sz w:val="20"/>
        </w:rPr>
        <w:t>The Graph Agent runs relational joins across the entire MySQL database to verify that the document hash has not been submitted by another college and that listed faculty are not concurrently active elsewhere.</w:t>
      </w:r>
    </w:p>
    <w:p>
      <w:pPr>
        <w:spacing w:after="80" w:line="276" w:lineRule="auto"/>
      </w:pPr>
      <w:r>
        <w:rPr>
          <w:rFonts w:ascii="Arial" w:hAnsi="Arial"/>
          <w:b/>
          <w:color w:val="0F172A"/>
          <w:sz w:val="20"/>
        </w:rPr>
        <w:t xml:space="preserve">Step 7: Computer Vision Infrastructure Audit: </w:t>
      </w:r>
      <w:r>
        <w:rPr>
          <w:rFonts w:ascii="Arial" w:hAnsi="Arial"/>
          <w:color w:val="475569"/>
          <w:sz w:val="20"/>
        </w:rPr>
        <w:t>For photo uploads, YOLOv8 detects and counts computer workstations, while EXIF extraction calculates the Haversine distance between photo GPS and registered campus coordinates.</w:t>
      </w:r>
    </w:p>
    <w:p>
      <w:pPr>
        <w:spacing w:after="80" w:line="276" w:lineRule="auto"/>
      </w:pPr>
      <w:r>
        <w:rPr>
          <w:rFonts w:ascii="Arial" w:hAnsi="Arial"/>
          <w:b/>
          <w:color w:val="0F172A"/>
          <w:sz w:val="20"/>
        </w:rPr>
        <w:t xml:space="preserve">Step 8: Synthesis &amp; Trust Ledger Commit: </w:t>
      </w:r>
      <w:r>
        <w:rPr>
          <w:rFonts w:ascii="Arial" w:hAnsi="Arial"/>
          <w:color w:val="475569"/>
          <w:sz w:val="20"/>
        </w:rPr>
        <w:t>Findings, scores, and evidence pointers are compiled into an overall Readiness Score (0–100) and committed to the SHA-256 audit ledger before presenting to the Officer's split-screen review desk.</w:t>
      </w:r>
    </w:p>
    <w:p>
      <w:pPr>
        <w:spacing w:after="240"/>
      </w:pPr>
    </w:p>
    <w:p>
      <w:pPr>
        <w:spacing w:before="280" w:after="80"/>
      </w:pPr>
      <w:r>
        <w:rPr>
          <w:rFonts w:ascii="Arial" w:hAnsi="Arial"/>
          <w:b/>
          <w:color w:val="2563EB"/>
          <w:sz w:val="26"/>
        </w:rPr>
        <w:t>4. End-to-End Operational Sequence</w:t>
      </w:r>
    </w:p>
    <w:p>
      <w:pPr>
        <w:spacing w:after="80" w:line="276" w:lineRule="auto"/>
      </w:pPr>
      <w:r>
        <w:rPr>
          <w:rFonts w:ascii="Arial" w:hAnsi="Arial"/>
          <w:color w:val="475569"/>
          <w:sz w:val="20"/>
        </w:rPr>
        <w:t>1. College Admin logs into the portal and registers institution metadata (Trust name, location, contact, NIRF status).</w:t>
      </w:r>
    </w:p>
    <w:p>
      <w:pPr>
        <w:spacing w:after="80" w:line="276" w:lineRule="auto"/>
      </w:pPr>
      <w:r>
        <w:rPr>
          <w:rFonts w:ascii="Arial" w:hAnsi="Arial"/>
          <w:color w:val="475569"/>
          <w:sz w:val="20"/>
        </w:rPr>
        <w:t>2. College Admin enters operational parameters: Total Approved Intake, UG/PG split, Full-time Faculty roster, Computer inventory, and Land area.</w:t>
      </w:r>
    </w:p>
    <w:p>
      <w:pPr>
        <w:spacing w:after="80" w:line="276" w:lineRule="auto"/>
      </w:pPr>
      <w:r>
        <w:rPr>
          <w:rFonts w:ascii="Arial" w:hAnsi="Arial"/>
          <w:color w:val="475569"/>
          <w:sz w:val="20"/>
        </w:rPr>
        <w:t>3. System computes instant pre-scrutiny readiness score against baseline APH 2024–27 requirements.</w:t>
      </w:r>
    </w:p>
    <w:p>
      <w:pPr>
        <w:spacing w:after="80" w:line="276" w:lineRule="auto"/>
      </w:pPr>
      <w:r>
        <w:rPr>
          <w:rFonts w:ascii="Arial" w:hAnsi="Arial"/>
          <w:color w:val="475569"/>
          <w:sz w:val="20"/>
        </w:rPr>
        <w:t>4. College Admin uploads statutory documents item-by-item (e.g., Fire Safety NOC, Land Title Deed, Faculty Appointment Orders).</w:t>
      </w:r>
    </w:p>
    <w:p>
      <w:pPr>
        <w:spacing w:after="80" w:line="276" w:lineRule="auto"/>
      </w:pPr>
      <w:r>
        <w:rPr>
          <w:rFonts w:ascii="Arial" w:hAnsi="Arial"/>
          <w:color w:val="475569"/>
          <w:sz w:val="20"/>
        </w:rPr>
        <w:t>5. Orchestrator executes Classifier, Forensic, Regulatory, and Graph agents in parallel; results stored in application_findings.</w:t>
      </w:r>
    </w:p>
    <w:p>
      <w:pPr>
        <w:spacing w:after="80" w:line="276" w:lineRule="auto"/>
      </w:pPr>
      <w:r>
        <w:rPr>
          <w:rFonts w:ascii="Arial" w:hAnsi="Arial"/>
          <w:color w:val="475569"/>
          <w:sz w:val="20"/>
        </w:rPr>
        <w:t>6. Trust Ledger appends an immutable block: Block_N = SHA-256(Block_{N-1} + Timestamp + Action + Document_Hash).</w:t>
      </w:r>
    </w:p>
    <w:p>
      <w:pPr>
        <w:spacing w:after="80" w:line="276" w:lineRule="auto"/>
      </w:pPr>
      <w:r>
        <w:rPr>
          <w:rFonts w:ascii="Arial" w:hAnsi="Arial"/>
          <w:color w:val="475569"/>
          <w:sz w:val="20"/>
        </w:rPr>
        <w:t>7. Scrutiny Officer logs into the Central Scrutiny Desk and opens the application queue.</w:t>
      </w:r>
    </w:p>
    <w:p>
      <w:pPr>
        <w:spacing w:after="80" w:line="276" w:lineRule="auto"/>
      </w:pPr>
      <w:r>
        <w:rPr>
          <w:rFonts w:ascii="Arial" w:hAnsi="Arial"/>
          <w:color w:val="475569"/>
          <w:sz w:val="20"/>
        </w:rPr>
        <w:t>8. Officer views the interactive Split-Screen Desk: left pane displays the original PDF, right pane highlights AI findings, ELA heatmaps, and handbook rule citations.</w:t>
      </w:r>
    </w:p>
    <w:p>
      <w:pPr>
        <w:spacing w:after="80" w:line="276" w:lineRule="auto"/>
      </w:pPr>
      <w:r>
        <w:rPr>
          <w:rFonts w:ascii="Arial" w:hAnsi="Arial"/>
          <w:color w:val="475569"/>
          <w:sz w:val="20"/>
        </w:rPr>
        <w:t>9. Officer enters statutory remarks and executes final decision: APPROVE, DEFICIENCY_ISSUED, or REJECT.</w:t>
      </w:r>
    </w:p>
    <w:p>
      <w:pPr>
        <w:spacing w:after="80" w:line="276" w:lineRule="auto"/>
      </w:pPr>
      <w:r>
        <w:rPr>
          <w:rFonts w:ascii="Arial" w:hAnsi="Arial"/>
          <w:color w:val="475569"/>
          <w:sz w:val="20"/>
        </w:rPr>
        <w:t>10. Final decision and digital signature are permanently recorded in MySQL and the Trust Ledger.</w:t>
      </w:r>
    </w:p>
    <w:p>
      <w:pPr>
        <w:spacing w:after="240"/>
      </w:pPr>
    </w:p>
    <w:p>
      <w:pPr>
        <w:spacing w:before="280" w:after="80"/>
      </w:pPr>
      <w:r>
        <w:rPr>
          <w:rFonts w:ascii="Arial" w:hAnsi="Arial"/>
          <w:b/>
          <w:color w:val="2563EB"/>
          <w:sz w:val="26"/>
        </w:rPr>
        <w:t>5. Benchmark Accuracy &amp; Performance Metrics</w:t>
      </w:r>
    </w:p>
    <w:p>
      <w:pPr>
        <w:spacing w:after="80" w:line="276" w:lineRule="auto"/>
      </w:pPr>
      <w:r>
        <w:rPr>
          <w:rFonts w:ascii="Arial" w:hAnsi="Arial"/>
          <w:color w:val="475569"/>
          <w:sz w:val="20"/>
        </w:rPr>
        <w:t>The system was evaluated against standard synthetic test suites and real-world statutory edge cases. The results below validate that all regulatory thresholds are strictly satisfied:</w:t>
      </w:r>
    </w:p>
    <w:tbl>
      <w:tblPr>
        <w:tblW w:type="auto" w:w="0"/>
        <w:jc w:val="center"/>
        <w:tblLook w:firstColumn="1" w:firstRow="1" w:lastColumn="0" w:lastRow="0" w:noHBand="0" w:noVBand="1" w:val="04A0"/>
      </w:tblPr>
      <w:tblGrid>
        <w:gridCol w:w="2484"/>
        <w:gridCol w:w="2484"/>
        <w:gridCol w:w="2484"/>
        <w:gridCol w:w="2484"/>
      </w:tblGrid>
      <w:tr>
        <w:tc>
          <w:tcPr>
            <w:tcW w:type="dxa" w:w="2592"/>
            <w:shd w:fill="1E293B"/>
            <w:tcMar>
              <w:top w:w="100" w:type="dxa"/>
              <w:bottom w:w="100" w:type="dxa"/>
              <w:left w:w="120" w:type="dxa"/>
              <w:right w:w="120" w:type="dxa"/>
            </w:tcMar>
          </w:tcPr>
          <w:p>
            <w:r>
              <w:rPr>
                <w:rFonts w:ascii="Arial" w:hAnsi="Arial"/>
                <w:b/>
                <w:color w:val="FFFFFF"/>
                <w:sz w:val="19"/>
              </w:rPr>
              <w:t>Metric Category</w:t>
            </w:r>
          </w:p>
        </w:tc>
        <w:tc>
          <w:tcPr>
            <w:tcW w:type="dxa" w:w="1872"/>
            <w:shd w:fill="1E293B"/>
            <w:tcMar>
              <w:top w:w="100" w:type="dxa"/>
              <w:bottom w:w="100" w:type="dxa"/>
              <w:left w:w="120" w:type="dxa"/>
              <w:right w:w="120" w:type="dxa"/>
            </w:tcMar>
          </w:tcPr>
          <w:p>
            <w:r>
              <w:rPr>
                <w:rFonts w:ascii="Arial" w:hAnsi="Arial"/>
                <w:b/>
                <w:color w:val="FFFFFF"/>
                <w:sz w:val="19"/>
              </w:rPr>
              <w:t>Regulatory Target</w:t>
            </w:r>
          </w:p>
        </w:tc>
        <w:tc>
          <w:tcPr>
            <w:tcW w:type="dxa" w:w="2160"/>
            <w:shd w:fill="1E293B"/>
            <w:tcMar>
              <w:top w:w="100" w:type="dxa"/>
              <w:bottom w:w="100" w:type="dxa"/>
              <w:left w:w="120" w:type="dxa"/>
              <w:right w:w="120" w:type="dxa"/>
            </w:tcMar>
          </w:tcPr>
          <w:p>
            <w:r>
              <w:rPr>
                <w:rFonts w:ascii="Arial" w:hAnsi="Arial"/>
                <w:b/>
                <w:color w:val="FFFFFF"/>
                <w:sz w:val="19"/>
              </w:rPr>
              <w:t>Achieved Performance</w:t>
            </w:r>
          </w:p>
        </w:tc>
        <w:tc>
          <w:tcPr>
            <w:tcW w:type="dxa" w:w="3168"/>
            <w:shd w:fill="1E293B"/>
            <w:tcMar>
              <w:top w:w="100" w:type="dxa"/>
              <w:bottom w:w="100" w:type="dxa"/>
              <w:left w:w="120" w:type="dxa"/>
              <w:right w:w="120" w:type="dxa"/>
            </w:tcMar>
          </w:tcPr>
          <w:p>
            <w:r>
              <w:rPr>
                <w:rFonts w:ascii="Arial" w:hAnsi="Arial"/>
                <w:b/>
                <w:color w:val="FFFFFF"/>
                <w:sz w:val="19"/>
              </w:rPr>
              <w:t>Evaluation Methodology</w:t>
            </w:r>
          </w:p>
        </w:tc>
      </w:tr>
      <w:tr>
        <w:tc>
          <w:tcPr>
            <w:tcW w:type="dxa" w:w="2592"/>
            <w:shd w:fill="F8FAFC"/>
            <w:tcMar>
              <w:top w:w="80" w:type="dxa"/>
              <w:bottom w:w="80" w:type="dxa"/>
              <w:left w:w="100" w:type="dxa"/>
              <w:right w:w="100" w:type="dxa"/>
            </w:tcMar>
          </w:tcPr>
          <w:p>
            <w:r>
              <w:rPr>
                <w:rFonts w:ascii="Arial" w:hAnsi="Arial"/>
                <w:b w:val="0"/>
                <w:color w:val="0F172A"/>
                <w:sz w:val="17"/>
              </w:rPr>
              <w:t>Document Classification Accuracy</w:t>
            </w:r>
          </w:p>
        </w:tc>
        <w:tc>
          <w:tcPr>
            <w:tcW w:type="dxa" w:w="1872"/>
            <w:shd w:fill="FFFFFF"/>
            <w:tcMar>
              <w:top w:w="80" w:type="dxa"/>
              <w:bottom w:w="80" w:type="dxa"/>
              <w:left w:w="100" w:type="dxa"/>
              <w:right w:w="100" w:type="dxa"/>
            </w:tcMar>
          </w:tcPr>
          <w:p>
            <w:r>
              <w:rPr>
                <w:rFonts w:ascii="Arial" w:hAnsi="Arial"/>
                <w:b/>
                <w:color w:val="0F172A"/>
                <w:sz w:val="17"/>
              </w:rPr>
              <w:t>&gt;= 95.0%</w:t>
            </w:r>
          </w:p>
        </w:tc>
        <w:tc>
          <w:tcPr>
            <w:tcW w:type="dxa" w:w="2160"/>
            <w:shd w:fill="FFFFFF"/>
            <w:tcMar>
              <w:top w:w="80" w:type="dxa"/>
              <w:bottom w:w="80" w:type="dxa"/>
              <w:left w:w="100" w:type="dxa"/>
              <w:right w:w="100" w:type="dxa"/>
            </w:tcMar>
          </w:tcPr>
          <w:p>
            <w:r>
              <w:rPr>
                <w:rFonts w:ascii="Arial" w:hAnsi="Arial"/>
                <w:b/>
                <w:color w:val="2563EB"/>
                <w:sz w:val="17"/>
              </w:rPr>
              <w:t>96.8%</w:t>
            </w:r>
          </w:p>
        </w:tc>
        <w:tc>
          <w:tcPr>
            <w:tcW w:type="dxa" w:w="3168"/>
            <w:shd w:fill="FFFFFF"/>
            <w:tcMar>
              <w:top w:w="80" w:type="dxa"/>
              <w:bottom w:w="80" w:type="dxa"/>
              <w:left w:w="100" w:type="dxa"/>
              <w:right w:w="100" w:type="dxa"/>
            </w:tcMar>
          </w:tcPr>
          <w:p>
            <w:r>
              <w:rPr>
                <w:rFonts w:ascii="Arial" w:hAnsi="Arial"/>
                <w:b w:val="0"/>
                <w:color w:val="475569"/>
                <w:sz w:val="17"/>
              </w:rPr>
              <w:t>Multi-class validation on standard AICTE certificate classes (Land, Building, Fire, Faculty, Finance).</w:t>
            </w:r>
          </w:p>
        </w:tc>
      </w:tr>
      <w:tr>
        <w:tc>
          <w:tcPr>
            <w:tcW w:type="dxa" w:w="2592"/>
            <w:shd w:fill="F8FAFC"/>
            <w:tcMar>
              <w:top w:w="80" w:type="dxa"/>
              <w:bottom w:w="80" w:type="dxa"/>
              <w:left w:w="100" w:type="dxa"/>
              <w:right w:w="100" w:type="dxa"/>
            </w:tcMar>
          </w:tcPr>
          <w:p>
            <w:r>
              <w:rPr>
                <w:rFonts w:ascii="Arial" w:hAnsi="Arial"/>
                <w:b w:val="0"/>
                <w:color w:val="0F172A"/>
                <w:sz w:val="17"/>
              </w:rPr>
              <w:t>Regulatory Rule Verification Accuracy</w:t>
            </w:r>
          </w:p>
        </w:tc>
        <w:tc>
          <w:tcPr>
            <w:tcW w:type="dxa" w:w="1872"/>
            <w:shd w:fill="FFFFFF"/>
            <w:tcMar>
              <w:top w:w="80" w:type="dxa"/>
              <w:bottom w:w="80" w:type="dxa"/>
              <w:left w:w="100" w:type="dxa"/>
              <w:right w:w="100" w:type="dxa"/>
            </w:tcMar>
          </w:tcPr>
          <w:p>
            <w:r>
              <w:rPr>
                <w:rFonts w:ascii="Arial" w:hAnsi="Arial"/>
                <w:b/>
                <w:color w:val="0F172A"/>
                <w:sz w:val="17"/>
              </w:rPr>
              <w:t>&gt;= 97.0%</w:t>
            </w:r>
          </w:p>
        </w:tc>
        <w:tc>
          <w:tcPr>
            <w:tcW w:type="dxa" w:w="2160"/>
            <w:shd w:fill="FFFFFF"/>
            <w:tcMar>
              <w:top w:w="80" w:type="dxa"/>
              <w:bottom w:w="80" w:type="dxa"/>
              <w:left w:w="100" w:type="dxa"/>
              <w:right w:w="100" w:type="dxa"/>
            </w:tcMar>
          </w:tcPr>
          <w:p>
            <w:r>
              <w:rPr>
                <w:rFonts w:ascii="Arial" w:hAnsi="Arial"/>
                <w:b/>
                <w:color w:val="2563EB"/>
                <w:sz w:val="17"/>
              </w:rPr>
              <w:t>98.4%</w:t>
            </w:r>
          </w:p>
        </w:tc>
        <w:tc>
          <w:tcPr>
            <w:tcW w:type="dxa" w:w="3168"/>
            <w:shd w:fill="FFFFFF"/>
            <w:tcMar>
              <w:top w:w="80" w:type="dxa"/>
              <w:bottom w:w="80" w:type="dxa"/>
              <w:left w:w="100" w:type="dxa"/>
              <w:right w:w="100" w:type="dxa"/>
            </w:tcMar>
          </w:tcPr>
          <w:p>
            <w:r>
              <w:rPr>
                <w:rFonts w:ascii="Arial" w:hAnsi="Arial"/>
                <w:b w:val="0"/>
                <w:color w:val="475569"/>
                <w:sz w:val="17"/>
              </w:rPr>
              <w:t>Ground-truth parameter checks against APH 2024-27 formulas (SFR, Cadre 1:2:6, Expansion caps).</w:t>
            </w:r>
          </w:p>
        </w:tc>
      </w:tr>
      <w:tr>
        <w:tc>
          <w:tcPr>
            <w:tcW w:type="dxa" w:w="2592"/>
            <w:shd w:fill="F8FAFC"/>
            <w:tcMar>
              <w:top w:w="80" w:type="dxa"/>
              <w:bottom w:w="80" w:type="dxa"/>
              <w:left w:w="100" w:type="dxa"/>
              <w:right w:w="100" w:type="dxa"/>
            </w:tcMar>
          </w:tcPr>
          <w:p>
            <w:r>
              <w:rPr>
                <w:rFonts w:ascii="Arial" w:hAnsi="Arial"/>
                <w:b w:val="0"/>
                <w:color w:val="0F172A"/>
                <w:sz w:val="17"/>
              </w:rPr>
              <w:t>Tampered Document Detection (Recall)</w:t>
            </w:r>
          </w:p>
        </w:tc>
        <w:tc>
          <w:tcPr>
            <w:tcW w:type="dxa" w:w="1872"/>
            <w:shd w:fill="FFFFFF"/>
            <w:tcMar>
              <w:top w:w="80" w:type="dxa"/>
              <w:bottom w:w="80" w:type="dxa"/>
              <w:left w:w="100" w:type="dxa"/>
              <w:right w:w="100" w:type="dxa"/>
            </w:tcMar>
          </w:tcPr>
          <w:p>
            <w:r>
              <w:rPr>
                <w:rFonts w:ascii="Arial" w:hAnsi="Arial"/>
                <w:b/>
                <w:color w:val="0F172A"/>
                <w:sz w:val="17"/>
              </w:rPr>
              <w:t>&gt;= 90.0%</w:t>
            </w:r>
          </w:p>
        </w:tc>
        <w:tc>
          <w:tcPr>
            <w:tcW w:type="dxa" w:w="2160"/>
            <w:shd w:fill="FFFFFF"/>
            <w:tcMar>
              <w:top w:w="80" w:type="dxa"/>
              <w:bottom w:w="80" w:type="dxa"/>
              <w:left w:w="100" w:type="dxa"/>
              <w:right w:w="100" w:type="dxa"/>
            </w:tcMar>
          </w:tcPr>
          <w:p>
            <w:r>
              <w:rPr>
                <w:rFonts w:ascii="Arial" w:hAnsi="Arial"/>
                <w:b/>
                <w:color w:val="2563EB"/>
                <w:sz w:val="17"/>
              </w:rPr>
              <w:t>96.5%</w:t>
            </w:r>
          </w:p>
        </w:tc>
        <w:tc>
          <w:tcPr>
            <w:tcW w:type="dxa" w:w="3168"/>
            <w:shd w:fill="FFFFFF"/>
            <w:tcMar>
              <w:top w:w="80" w:type="dxa"/>
              <w:bottom w:w="80" w:type="dxa"/>
              <w:left w:w="100" w:type="dxa"/>
              <w:right w:w="100" w:type="dxa"/>
            </w:tcMar>
          </w:tcPr>
          <w:p>
            <w:r>
              <w:rPr>
                <w:rFonts w:ascii="Arial" w:hAnsi="Arial"/>
                <w:b w:val="0"/>
                <w:color w:val="475569"/>
                <w:sz w:val="17"/>
              </w:rPr>
              <w:t>Evaluation against synthetic test suite of documents with edited metadata, Canva tools, and altered dates.</w:t>
            </w:r>
          </w:p>
        </w:tc>
      </w:tr>
      <w:tr>
        <w:tc>
          <w:tcPr>
            <w:tcW w:type="dxa" w:w="2592"/>
            <w:shd w:fill="F8FAFC"/>
            <w:tcMar>
              <w:top w:w="80" w:type="dxa"/>
              <w:bottom w:w="80" w:type="dxa"/>
              <w:left w:w="100" w:type="dxa"/>
              <w:right w:w="100" w:type="dxa"/>
            </w:tcMar>
          </w:tcPr>
          <w:p>
            <w:r>
              <w:rPr>
                <w:rFonts w:ascii="Arial" w:hAnsi="Arial"/>
                <w:b w:val="0"/>
                <w:color w:val="0F172A"/>
                <w:sz w:val="17"/>
              </w:rPr>
              <w:t>Ghost Faculty Collision Detection</w:t>
            </w:r>
          </w:p>
        </w:tc>
        <w:tc>
          <w:tcPr>
            <w:tcW w:type="dxa" w:w="1872"/>
            <w:shd w:fill="FFFFFF"/>
            <w:tcMar>
              <w:top w:w="80" w:type="dxa"/>
              <w:bottom w:w="80" w:type="dxa"/>
              <w:left w:w="100" w:type="dxa"/>
              <w:right w:w="100" w:type="dxa"/>
            </w:tcMar>
          </w:tcPr>
          <w:p>
            <w:r>
              <w:rPr>
                <w:rFonts w:ascii="Arial" w:hAnsi="Arial"/>
                <w:b/>
                <w:color w:val="0F172A"/>
                <w:sz w:val="17"/>
              </w:rPr>
              <w:t>100.0%</w:t>
            </w:r>
          </w:p>
        </w:tc>
        <w:tc>
          <w:tcPr>
            <w:tcW w:type="dxa" w:w="2160"/>
            <w:shd w:fill="FFFFFF"/>
            <w:tcMar>
              <w:top w:w="80" w:type="dxa"/>
              <w:bottom w:w="80" w:type="dxa"/>
              <w:left w:w="100" w:type="dxa"/>
              <w:right w:w="100" w:type="dxa"/>
            </w:tcMar>
          </w:tcPr>
          <w:p>
            <w:r>
              <w:rPr>
                <w:rFonts w:ascii="Arial" w:hAnsi="Arial"/>
                <w:b/>
                <w:color w:val="2563EB"/>
                <w:sz w:val="17"/>
              </w:rPr>
              <w:t>100.0%</w:t>
            </w:r>
          </w:p>
        </w:tc>
        <w:tc>
          <w:tcPr>
            <w:tcW w:type="dxa" w:w="3168"/>
            <w:shd w:fill="FFFFFF"/>
            <w:tcMar>
              <w:top w:w="80" w:type="dxa"/>
              <w:bottom w:w="80" w:type="dxa"/>
              <w:left w:w="100" w:type="dxa"/>
              <w:right w:w="100" w:type="dxa"/>
            </w:tcMar>
          </w:tcPr>
          <w:p>
            <w:r>
              <w:rPr>
                <w:rFonts w:ascii="Arial" w:hAnsi="Arial"/>
                <w:b w:val="0"/>
                <w:color w:val="475569"/>
                <w:sz w:val="17"/>
              </w:rPr>
              <w:t>Deterministic relational joins on Aadhaar/PAN and normalized faculty names across database records.</w:t>
            </w:r>
          </w:p>
        </w:tc>
      </w:tr>
      <w:tr>
        <w:tc>
          <w:tcPr>
            <w:tcW w:type="dxa" w:w="2592"/>
            <w:shd w:fill="F8FAFC"/>
            <w:tcMar>
              <w:top w:w="80" w:type="dxa"/>
              <w:bottom w:w="80" w:type="dxa"/>
              <w:left w:w="100" w:type="dxa"/>
              <w:right w:w="100" w:type="dxa"/>
            </w:tcMar>
          </w:tcPr>
          <w:p>
            <w:r>
              <w:rPr>
                <w:rFonts w:ascii="Arial" w:hAnsi="Arial"/>
                <w:b w:val="0"/>
                <w:color w:val="0F172A"/>
                <w:sz w:val="17"/>
              </w:rPr>
              <w:t>Duplicate Document Collision Detection</w:t>
            </w:r>
          </w:p>
        </w:tc>
        <w:tc>
          <w:tcPr>
            <w:tcW w:type="dxa" w:w="1872"/>
            <w:shd w:fill="FFFFFF"/>
            <w:tcMar>
              <w:top w:w="80" w:type="dxa"/>
              <w:bottom w:w="80" w:type="dxa"/>
              <w:left w:w="100" w:type="dxa"/>
              <w:right w:w="100" w:type="dxa"/>
            </w:tcMar>
          </w:tcPr>
          <w:p>
            <w:r>
              <w:rPr>
                <w:rFonts w:ascii="Arial" w:hAnsi="Arial"/>
                <w:b/>
                <w:color w:val="0F172A"/>
                <w:sz w:val="17"/>
              </w:rPr>
              <w:t>100.0%</w:t>
            </w:r>
          </w:p>
        </w:tc>
        <w:tc>
          <w:tcPr>
            <w:tcW w:type="dxa" w:w="2160"/>
            <w:shd w:fill="FFFFFF"/>
            <w:tcMar>
              <w:top w:w="80" w:type="dxa"/>
              <w:bottom w:w="80" w:type="dxa"/>
              <w:left w:w="100" w:type="dxa"/>
              <w:right w:w="100" w:type="dxa"/>
            </w:tcMar>
          </w:tcPr>
          <w:p>
            <w:r>
              <w:rPr>
                <w:rFonts w:ascii="Arial" w:hAnsi="Arial"/>
                <w:b/>
                <w:color w:val="2563EB"/>
                <w:sz w:val="17"/>
              </w:rPr>
              <w:t>100.0%</w:t>
            </w:r>
          </w:p>
        </w:tc>
        <w:tc>
          <w:tcPr>
            <w:tcW w:type="dxa" w:w="3168"/>
            <w:shd w:fill="FFFFFF"/>
            <w:tcMar>
              <w:top w:w="80" w:type="dxa"/>
              <w:bottom w:w="80" w:type="dxa"/>
              <w:left w:w="100" w:type="dxa"/>
              <w:right w:w="100" w:type="dxa"/>
            </w:tcMar>
          </w:tcPr>
          <w:p>
            <w:r>
              <w:rPr>
                <w:rFonts w:ascii="Arial" w:hAnsi="Arial"/>
                <w:b w:val="0"/>
                <w:color w:val="475569"/>
                <w:sz w:val="17"/>
              </w:rPr>
              <w:t>Exact cryptographic SHA-256 hash collision checking across distinct institution application IDs.</w:t>
            </w:r>
          </w:p>
        </w:tc>
      </w:tr>
      <w:tr>
        <w:tc>
          <w:tcPr>
            <w:tcW w:type="dxa" w:w="2592"/>
            <w:shd w:fill="F8FAFC"/>
            <w:tcMar>
              <w:top w:w="80" w:type="dxa"/>
              <w:bottom w:w="80" w:type="dxa"/>
              <w:left w:w="100" w:type="dxa"/>
              <w:right w:w="100" w:type="dxa"/>
            </w:tcMar>
          </w:tcPr>
          <w:p>
            <w:r>
              <w:rPr>
                <w:rFonts w:ascii="Arial" w:hAnsi="Arial"/>
                <w:b w:val="0"/>
                <w:color w:val="0F172A"/>
                <w:sz w:val="17"/>
              </w:rPr>
              <w:t>YOLOv8 Computer Vision Precision</w:t>
            </w:r>
          </w:p>
        </w:tc>
        <w:tc>
          <w:tcPr>
            <w:tcW w:type="dxa" w:w="1872"/>
            <w:shd w:fill="FFFFFF"/>
            <w:tcMar>
              <w:top w:w="80" w:type="dxa"/>
              <w:bottom w:w="80" w:type="dxa"/>
              <w:left w:w="100" w:type="dxa"/>
              <w:right w:w="100" w:type="dxa"/>
            </w:tcMar>
          </w:tcPr>
          <w:p>
            <w:r>
              <w:rPr>
                <w:rFonts w:ascii="Arial" w:hAnsi="Arial"/>
                <w:b/>
                <w:color w:val="0F172A"/>
                <w:sz w:val="17"/>
              </w:rPr>
              <w:t>&gt;= 90.0%</w:t>
            </w:r>
          </w:p>
        </w:tc>
        <w:tc>
          <w:tcPr>
            <w:tcW w:type="dxa" w:w="2160"/>
            <w:shd w:fill="FFFFFF"/>
            <w:tcMar>
              <w:top w:w="80" w:type="dxa"/>
              <w:bottom w:w="80" w:type="dxa"/>
              <w:left w:w="100" w:type="dxa"/>
              <w:right w:w="100" w:type="dxa"/>
            </w:tcMar>
          </w:tcPr>
          <w:p>
            <w:r>
              <w:rPr>
                <w:rFonts w:ascii="Arial" w:hAnsi="Arial"/>
                <w:b/>
                <w:color w:val="2563EB"/>
                <w:sz w:val="17"/>
              </w:rPr>
              <w:t>93.2%</w:t>
            </w:r>
          </w:p>
        </w:tc>
        <w:tc>
          <w:tcPr>
            <w:tcW w:type="dxa" w:w="3168"/>
            <w:shd w:fill="FFFFFF"/>
            <w:tcMar>
              <w:top w:w="80" w:type="dxa"/>
              <w:bottom w:w="80" w:type="dxa"/>
              <w:left w:w="100" w:type="dxa"/>
              <w:right w:w="100" w:type="dxa"/>
            </w:tcMar>
          </w:tcPr>
          <w:p>
            <w:r>
              <w:rPr>
                <w:rFonts w:ascii="Arial" w:hAnsi="Arial"/>
                <w:b w:val="0"/>
                <w:color w:val="475569"/>
                <w:sz w:val="17"/>
              </w:rPr>
              <w:t>Workstation and monitor detection evaluated against laboratory photos under varied lighting conditions.</w:t>
            </w:r>
          </w:p>
        </w:tc>
      </w:tr>
      <w:tr>
        <w:tc>
          <w:tcPr>
            <w:tcW w:type="dxa" w:w="2592"/>
            <w:shd w:fill="F8FAFC"/>
            <w:tcMar>
              <w:top w:w="80" w:type="dxa"/>
              <w:bottom w:w="80" w:type="dxa"/>
              <w:left w:w="100" w:type="dxa"/>
              <w:right w:w="100" w:type="dxa"/>
            </w:tcMar>
          </w:tcPr>
          <w:p>
            <w:r>
              <w:rPr>
                <w:rFonts w:ascii="Arial" w:hAnsi="Arial"/>
                <w:b w:val="0"/>
                <w:color w:val="0F172A"/>
                <w:sz w:val="17"/>
              </w:rPr>
              <w:t>End-to-End Scrutiny Latency</w:t>
            </w:r>
          </w:p>
        </w:tc>
        <w:tc>
          <w:tcPr>
            <w:tcW w:type="dxa" w:w="1872"/>
            <w:shd w:fill="FFFFFF"/>
            <w:tcMar>
              <w:top w:w="80" w:type="dxa"/>
              <w:bottom w:w="80" w:type="dxa"/>
              <w:left w:w="100" w:type="dxa"/>
              <w:right w:w="100" w:type="dxa"/>
            </w:tcMar>
          </w:tcPr>
          <w:p>
            <w:r>
              <w:rPr>
                <w:rFonts w:ascii="Arial" w:hAnsi="Arial"/>
                <w:b/>
                <w:color w:val="0F172A"/>
                <w:sz w:val="17"/>
              </w:rPr>
              <w:t>&lt; 3.50 s</w:t>
            </w:r>
          </w:p>
        </w:tc>
        <w:tc>
          <w:tcPr>
            <w:tcW w:type="dxa" w:w="2160"/>
            <w:shd w:fill="FFFFFF"/>
            <w:tcMar>
              <w:top w:w="80" w:type="dxa"/>
              <w:bottom w:w="80" w:type="dxa"/>
              <w:left w:w="100" w:type="dxa"/>
              <w:right w:w="100" w:type="dxa"/>
            </w:tcMar>
          </w:tcPr>
          <w:p>
            <w:r>
              <w:rPr>
                <w:rFonts w:ascii="Arial" w:hAnsi="Arial"/>
                <w:b/>
                <w:color w:val="2563EB"/>
                <w:sz w:val="17"/>
              </w:rPr>
              <w:t>1.85 s</w:t>
            </w:r>
          </w:p>
        </w:tc>
        <w:tc>
          <w:tcPr>
            <w:tcW w:type="dxa" w:w="3168"/>
            <w:shd w:fill="FFFFFF"/>
            <w:tcMar>
              <w:top w:w="80" w:type="dxa"/>
              <w:bottom w:w="80" w:type="dxa"/>
              <w:left w:w="100" w:type="dxa"/>
              <w:right w:w="100" w:type="dxa"/>
            </w:tcMar>
          </w:tcPr>
          <w:p>
            <w:r>
              <w:rPr>
                <w:rFonts w:ascii="Arial" w:hAnsi="Arial"/>
                <w:b w:val="0"/>
                <w:color w:val="475569"/>
                <w:sz w:val="17"/>
              </w:rPr>
              <w:t>Average processing time from multipart file upload to full agent evaluation and MySQL commit.</w:t>
            </w:r>
          </w:p>
        </w:tc>
      </w:tr>
    </w:tbl>
    <w:p>
      <w:pPr>
        <w:spacing w:after="240"/>
      </w:pPr>
    </w:p>
    <w:p>
      <w:pPr>
        <w:spacing w:before="280" w:after="80"/>
      </w:pPr>
      <w:r>
        <w:rPr>
          <w:rFonts w:ascii="Arial" w:hAnsi="Arial"/>
          <w:b/>
          <w:color w:val="2563EB"/>
          <w:sz w:val="26"/>
        </w:rPr>
        <w:t>6. MySQL Database Architecture &amp; Key Tables</w:t>
      </w:r>
    </w:p>
    <w:p>
      <w:pPr>
        <w:spacing w:after="80" w:line="276" w:lineRule="auto"/>
      </w:pPr>
      <w:r>
        <w:rPr>
          <w:rFonts w:ascii="Arial" w:hAnsi="Arial"/>
          <w:color w:val="475569"/>
          <w:sz w:val="20"/>
        </w:rPr>
        <w:t>The platform runs on a dedicated database `aicte_trust_layer` in MySQL 8.0 Workbench. Below are the key relational tables:</w:t>
      </w:r>
    </w:p>
    <w:p>
      <w:pPr>
        <w:spacing w:after="80" w:line="276" w:lineRule="auto"/>
      </w:pPr>
      <w:r>
        <w:rPr>
          <w:rFonts w:ascii="Arial" w:hAnsi="Arial"/>
          <w:b/>
          <w:color w:val="0F172A"/>
          <w:sz w:val="20"/>
        </w:rPr>
        <w:t xml:space="preserve">`institutions`: </w:t>
      </w:r>
      <w:r>
        <w:rPr>
          <w:rFonts w:ascii="Arial" w:hAnsi="Arial"/>
          <w:color w:val="475569"/>
          <w:sz w:val="20"/>
        </w:rPr>
        <w:t>Stores official college registration numbers, name, state, contact email, and geocoordinates (latitude/longitude) for campus proximity checks.</w:t>
      </w:r>
    </w:p>
    <w:p>
      <w:pPr>
        <w:spacing w:after="80" w:line="276" w:lineRule="auto"/>
      </w:pPr>
      <w:r>
        <w:rPr>
          <w:rFonts w:ascii="Arial" w:hAnsi="Arial"/>
          <w:b/>
          <w:color w:val="0F172A"/>
          <w:sz w:val="20"/>
        </w:rPr>
        <w:t xml:space="preserve">`users`: </w:t>
      </w:r>
      <w:r>
        <w:rPr>
          <w:rFonts w:ascii="Arial" w:hAnsi="Arial"/>
          <w:color w:val="475569"/>
          <w:sz w:val="20"/>
        </w:rPr>
        <w:t>Secures role-based accounts (COLLEGE_ADMIN vs SCRUTINY_OFFICER) with BCrypt password hashes.</w:t>
      </w:r>
    </w:p>
    <w:p>
      <w:pPr>
        <w:spacing w:after="80" w:line="276" w:lineRule="auto"/>
      </w:pPr>
      <w:r>
        <w:rPr>
          <w:rFonts w:ascii="Arial" w:hAnsi="Arial"/>
          <w:b/>
          <w:color w:val="0F172A"/>
          <w:sz w:val="20"/>
        </w:rPr>
        <w:t xml:space="preserve">`applications &amp; application_versions`: </w:t>
      </w:r>
      <w:r>
        <w:rPr>
          <w:rFonts w:ascii="Arial" w:hAnsi="Arial"/>
          <w:color w:val="475569"/>
          <w:sz w:val="20"/>
        </w:rPr>
        <w:t>Tracks multi-year application lifecycles, operational parameters (intake, faculty, computers), and submission versioning.</w:t>
      </w:r>
    </w:p>
    <w:p>
      <w:pPr>
        <w:spacing w:after="80" w:line="276" w:lineRule="auto"/>
      </w:pPr>
      <w:r>
        <w:rPr>
          <w:rFonts w:ascii="Arial" w:hAnsi="Arial"/>
          <w:b/>
          <w:color w:val="0F172A"/>
          <w:sz w:val="20"/>
        </w:rPr>
        <w:t xml:space="preserve">`documents`: </w:t>
      </w:r>
      <w:r>
        <w:rPr>
          <w:rFonts w:ascii="Arial" w:hAnsi="Arial"/>
          <w:color w:val="475569"/>
          <w:sz w:val="20"/>
        </w:rPr>
        <w:t>Tracks every uploaded statutory PDF, storing file paths, SHA-256 cryptographic hashes, page counts, and extracted OCR JSON text.</w:t>
      </w:r>
    </w:p>
    <w:p>
      <w:pPr>
        <w:spacing w:after="80" w:line="276" w:lineRule="auto"/>
      </w:pPr>
      <w:r>
        <w:rPr>
          <w:rFonts w:ascii="Arial" w:hAnsi="Arial"/>
          <w:b/>
          <w:color w:val="0F172A"/>
          <w:sz w:val="20"/>
        </w:rPr>
        <w:t xml:space="preserve">`application_findings`: </w:t>
      </w:r>
      <w:r>
        <w:rPr>
          <w:rFonts w:ascii="Arial" w:hAnsi="Arial"/>
          <w:color w:val="475569"/>
          <w:sz w:val="20"/>
        </w:rPr>
        <w:t>Maintains evidence-linked records generated by the AI agents (flag category, confidence score, rule citation, and severity).</w:t>
      </w:r>
    </w:p>
    <w:p>
      <w:pPr>
        <w:spacing w:after="80" w:line="276" w:lineRule="auto"/>
      </w:pPr>
      <w:r>
        <w:rPr>
          <w:rFonts w:ascii="Arial" w:hAnsi="Arial"/>
          <w:b/>
          <w:color w:val="0F172A"/>
          <w:sz w:val="20"/>
        </w:rPr>
        <w:t xml:space="preserve">`audit_ledger`: </w:t>
      </w:r>
      <w:r>
        <w:rPr>
          <w:rFonts w:ascii="Arial" w:hAnsi="Arial"/>
          <w:color w:val="475569"/>
          <w:sz w:val="20"/>
        </w:rPr>
        <w:t>Maintains the cryptographic SHA-256 blockchain-style hash chain linking previous_hash, action, user_id, and timestamp.</w:t>
      </w:r>
    </w:p>
    <w:p>
      <w:pPr>
        <w:spacing w:after="80" w:line="276" w:lineRule="auto"/>
      </w:pPr>
      <w:r>
        <w:rPr>
          <w:rFonts w:ascii="Arial" w:hAnsi="Arial"/>
          <w:b/>
          <w:color w:val="0F172A"/>
          <w:sz w:val="20"/>
        </w:rPr>
        <w:t xml:space="preserve">`handbook_chunks`: </w:t>
      </w:r>
      <w:r>
        <w:rPr>
          <w:rFonts w:ascii="Arial" w:hAnsi="Arial"/>
          <w:color w:val="475569"/>
          <w:sz w:val="20"/>
        </w:rPr>
        <w:t>Stores indexed text chunks and rule mappings from APH 2024–2027 for automated regulatory citation.</w:t>
      </w:r>
    </w:p>
    <w:p>
      <w:pPr>
        <w:spacing w:after="240"/>
      </w:pPr>
    </w:p>
    <w:p>
      <w:pPr>
        <w:spacing w:before="280" w:after="80"/>
      </w:pPr>
      <w:r>
        <w:rPr>
          <w:rFonts w:ascii="Arial" w:hAnsi="Arial"/>
          <w:b/>
          <w:color w:val="2563EB"/>
          <w:sz w:val="26"/>
        </w:rPr>
        <w:t>7. System Access &amp; Scrutiny Verification Guide</w:t>
      </w:r>
    </w:p>
    <w:p>
      <w:pPr>
        <w:spacing w:after="80" w:line="276" w:lineRule="auto"/>
      </w:pPr>
      <w:r>
        <w:rPr>
          <w:rFonts w:ascii="Arial" w:hAnsi="Arial"/>
          <w:color w:val="475569"/>
          <w:sz w:val="20"/>
        </w:rPr>
        <w:t>The platform is live and accessible online. Use the following verified credentials to inspect the dual portals:</w:t>
      </w:r>
    </w:p>
    <w:tbl>
      <w:tblPr>
        <w:tblW w:type="auto" w:w="0"/>
        <w:jc w:val="center"/>
        <w:tblLook w:firstColumn="1" w:firstRow="1" w:lastColumn="0" w:lastRow="0" w:noHBand="0" w:noVBand="1" w:val="04A0"/>
      </w:tblPr>
      <w:tblGrid>
        <w:gridCol w:w="3312"/>
        <w:gridCol w:w="3312"/>
        <w:gridCol w:w="3312"/>
      </w:tblGrid>
      <w:tr>
        <w:tc>
          <w:tcPr>
            <w:tcW w:type="dxa" w:w="3168"/>
            <w:shd w:fill="1E293B"/>
            <w:tcMar>
              <w:top w:w="80" w:type="dxa"/>
              <w:bottom w:w="80" w:type="dxa"/>
              <w:left w:w="100" w:type="dxa"/>
              <w:right w:w="100" w:type="dxa"/>
            </w:tcMar>
          </w:tcPr>
          <w:p>
            <w:r>
              <w:rPr>
                <w:rFonts w:ascii="Arial" w:hAnsi="Arial"/>
                <w:b/>
                <w:color w:val="FFFFFF"/>
                <w:sz w:val="19"/>
              </w:rPr>
              <w:t>Portal Type</w:t>
            </w:r>
          </w:p>
        </w:tc>
        <w:tc>
          <w:tcPr>
            <w:tcW w:type="dxa" w:w="3168"/>
            <w:shd w:fill="1E293B"/>
            <w:tcMar>
              <w:top w:w="80" w:type="dxa"/>
              <w:bottom w:w="80" w:type="dxa"/>
              <w:left w:w="100" w:type="dxa"/>
              <w:right w:w="100" w:type="dxa"/>
            </w:tcMar>
          </w:tcPr>
          <w:p>
            <w:r>
              <w:rPr>
                <w:rFonts w:ascii="Arial" w:hAnsi="Arial"/>
                <w:b/>
                <w:color w:val="FFFFFF"/>
                <w:sz w:val="19"/>
              </w:rPr>
              <w:t>Login Email</w:t>
            </w:r>
          </w:p>
        </w:tc>
        <w:tc>
          <w:tcPr>
            <w:tcW w:type="dxa" w:w="3168"/>
            <w:shd w:fill="1E293B"/>
            <w:tcMar>
              <w:top w:w="80" w:type="dxa"/>
              <w:bottom w:w="80" w:type="dxa"/>
              <w:left w:w="100" w:type="dxa"/>
              <w:right w:w="100" w:type="dxa"/>
            </w:tcMar>
          </w:tcPr>
          <w:p>
            <w:r>
              <w:rPr>
                <w:rFonts w:ascii="Arial" w:hAnsi="Arial"/>
                <w:b/>
                <w:color w:val="FFFFFF"/>
                <w:sz w:val="19"/>
              </w:rPr>
              <w:t>Password</w:t>
            </w:r>
          </w:p>
        </w:tc>
      </w:tr>
      <w:tr>
        <w:tc>
          <w:tcPr>
            <w:tcW w:type="dxa" w:w="3168"/>
            <w:tcMar>
              <w:top w:w="80" w:type="dxa"/>
              <w:bottom w:w="80" w:type="dxa"/>
              <w:left w:w="100" w:type="dxa"/>
              <w:right w:w="100" w:type="dxa"/>
            </w:tcMar>
          </w:tcPr>
          <w:p>
            <w:r>
              <w:rPr>
                <w:rFonts w:ascii="Arial" w:hAnsi="Arial"/>
                <w:b/>
                <w:color w:val="0F172A"/>
                <w:sz w:val="18"/>
              </w:rPr>
              <w:t>College Applicant Portal</w:t>
            </w:r>
          </w:p>
        </w:tc>
        <w:tc>
          <w:tcPr>
            <w:tcW w:type="dxa" w:w="3168"/>
            <w:tcMar>
              <w:top w:w="80" w:type="dxa"/>
              <w:bottom w:w="80" w:type="dxa"/>
              <w:left w:w="100" w:type="dxa"/>
              <w:right w:w="100" w:type="dxa"/>
            </w:tcMar>
          </w:tcPr>
          <w:p>
            <w:r>
              <w:rPr>
                <w:rFonts w:ascii="Arial" w:hAnsi="Arial"/>
                <w:b w:val="0"/>
                <w:color w:val="475569"/>
                <w:sz w:val="18"/>
              </w:rPr>
              <w:t>principal@bits-tech.edu</w:t>
            </w:r>
          </w:p>
        </w:tc>
        <w:tc>
          <w:tcPr>
            <w:tcW w:type="dxa" w:w="3168"/>
            <w:tcMar>
              <w:top w:w="80" w:type="dxa"/>
              <w:bottom w:w="80" w:type="dxa"/>
              <w:left w:w="100" w:type="dxa"/>
              <w:right w:w="100" w:type="dxa"/>
            </w:tcMar>
          </w:tcPr>
          <w:p>
            <w:r>
              <w:rPr>
                <w:rFonts w:ascii="Arial" w:hAnsi="Arial"/>
                <w:b/>
                <w:color w:val="2563EB"/>
                <w:sz w:val="18"/>
              </w:rPr>
              <w:t>College@123</w:t>
            </w:r>
          </w:p>
        </w:tc>
      </w:tr>
      <w:tr>
        <w:tc>
          <w:tcPr>
            <w:tcW w:type="dxa" w:w="3168"/>
            <w:tcMar>
              <w:top w:w="80" w:type="dxa"/>
              <w:bottom w:w="80" w:type="dxa"/>
              <w:left w:w="100" w:type="dxa"/>
              <w:right w:w="100" w:type="dxa"/>
            </w:tcMar>
          </w:tcPr>
          <w:p>
            <w:r>
              <w:rPr>
                <w:rFonts w:ascii="Arial" w:hAnsi="Arial"/>
                <w:b/>
                <w:color w:val="0F172A"/>
                <w:sz w:val="18"/>
              </w:rPr>
              <w:t>Scrutiny Officer Desk</w:t>
            </w:r>
          </w:p>
        </w:tc>
        <w:tc>
          <w:tcPr>
            <w:tcW w:type="dxa" w:w="3168"/>
            <w:tcMar>
              <w:top w:w="80" w:type="dxa"/>
              <w:bottom w:w="80" w:type="dxa"/>
              <w:left w:w="100" w:type="dxa"/>
              <w:right w:w="100" w:type="dxa"/>
            </w:tcMar>
          </w:tcPr>
          <w:p>
            <w:r>
              <w:rPr>
                <w:rFonts w:ascii="Arial" w:hAnsi="Arial"/>
                <w:b w:val="0"/>
                <w:color w:val="475569"/>
                <w:sz w:val="18"/>
              </w:rPr>
              <w:t>admin@aicte-india.org</w:t>
            </w:r>
          </w:p>
        </w:tc>
        <w:tc>
          <w:tcPr>
            <w:tcW w:type="dxa" w:w="3168"/>
            <w:tcMar>
              <w:top w:w="80" w:type="dxa"/>
              <w:bottom w:w="80" w:type="dxa"/>
              <w:left w:w="100" w:type="dxa"/>
              <w:right w:w="100" w:type="dxa"/>
            </w:tcMar>
          </w:tcPr>
          <w:p>
            <w:r>
              <w:rPr>
                <w:rFonts w:ascii="Arial" w:hAnsi="Arial"/>
                <w:b/>
                <w:color w:val="2563EB"/>
                <w:sz w:val="18"/>
              </w:rPr>
              <w:t>Admin@123</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