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a1a2e"/>
          <w:sz w:val="56"/>
          <w:szCs w:val="56"/>
        </w:rPr>
        <w:t xml:space="preserve">SENTINEL</w:t>
      </w:r>
    </w:p>
    <w:p>
      <w:pPr>
        <w:spacing w:after="20"/>
      </w:pPr>
      <w:r>
        <w:rPr>
          <w:color w:val="e94560"/>
          <w:sz w:val="26"/>
          <w:szCs w:val="26"/>
        </w:rPr>
        <w:t xml:space="preserve">AI-Powered Behavioural Anomaly Detection for Cybersecurity</w:t>
      </w:r>
    </w:p>
    <w:p>
      <w:pPr>
        <w:pBdr>
          <w:bottom w:val="single" w:color="e94560" w:sz="12"/>
        </w:pBdr>
        <w:spacing w:after="240"/>
      </w:pPr>
      <w:r>
        <w:rPr>
          <w:color w:val="6b7280"/>
          <w:sz w:val="20"/>
          <w:szCs w:val="20"/>
        </w:rPr>
        <w:t xml:space="preserve">Technical Report</w:t>
      </w:r>
    </w:p>
    <w:p>
      <w:pPr>
        <w:spacing w:after="120" w:line="276"/>
      </w:pPr>
      <w:r>
        <w:rPr>
          <w:color w:val="222222"/>
          <w:sz w:val="21"/>
          <w:szCs w:val="21"/>
        </w:rPr>
        <w:t xml:space="preserve">Sentinel models normal access behaviour for every user and device in a synthetic 500-employee enterprise, detects intrusions and compromised-credential activity in near real-time, classifies the anomaly type, and returns an explainable, analyst-facing risk score. This report documents the data generator, modelling approach, and evaluation against the seven stated criteria.</w:t>
      </w:r>
    </w:p>
    <w:p>
      <w:pPr>
        <w:pStyle w:val="Heading2"/>
        <w:spacing w:after="100" w:before="220"/>
      </w:pPr>
      <w:r>
        <w:rPr>
          <w:b/>
          <w:bCs/>
          <w:color w:val="0f3460"/>
          <w:sz w:val="24"/>
          <w:szCs w:val="24"/>
        </w:rPr>
        <w:t xml:space="preserve">Headline Results</w:t>
      </w:r>
    </w:p>
    <w:tbl>
      <w:tblPr>
        <w:tblW w:type="dxa" w:w="8600"/>
        <w:tblBorders>
          <w:top w:val="single" w:color="d1d5db" w:sz="2"/>
          <w:left w:val="none"/>
          <w:bottom w:val="single" w:color="d1d5db" w:sz="2"/>
          <w:right w:val="none"/>
          <w:insideH w:val="single" w:color="e5e7eb" w:sz="1"/>
          <w:insideV w:val="none"/>
        </w:tblBorders>
      </w:tblPr>
      <w:tblGrid>
        <w:gridCol w:w="2400"/>
        <w:gridCol w:w="1500"/>
        <w:gridCol w:w="4700"/>
      </w:tblGrid>
      <w:tr>
        <w:trPr>
          <w:tblHeader/>
        </w:trPr>
        <w:tc>
          <w:tcPr>
            <w:tcW w:type="dxa" w:w="2400"/>
            <w:shd w:fill="0f3460" w:val="clear"/>
            <w:tcMar>
              <w:top w:type="dxa" w:w="60"/>
              <w:left w:type="dxa" w:w="100"/>
              <w:bottom w:type="dxa" w:w="60"/>
              <w:right w:type="dxa" w:w="100"/>
            </w:tcMar>
          </w:tcPr>
          <w:p>
            <w:r>
              <w:rPr>
                <w:b/>
                <w:bCs/>
                <w:color w:val="FFFFFF"/>
                <w:sz w:val="19"/>
                <w:szCs w:val="19"/>
              </w:rPr>
              <w:t xml:space="preserve">Metric</w:t>
            </w:r>
          </w:p>
        </w:tc>
        <w:tc>
          <w:tcPr>
            <w:tcW w:type="dxa" w:w="1500"/>
            <w:shd w:fill="0f3460" w:val="clear"/>
            <w:tcMar>
              <w:top w:type="dxa" w:w="60"/>
              <w:left w:type="dxa" w:w="100"/>
              <w:bottom w:type="dxa" w:w="60"/>
              <w:right w:type="dxa" w:w="100"/>
            </w:tcMar>
          </w:tcPr>
          <w:p>
            <w:r>
              <w:rPr>
                <w:b/>
                <w:bCs/>
                <w:color w:val="FFFFFF"/>
                <w:sz w:val="19"/>
                <w:szCs w:val="19"/>
              </w:rPr>
              <w:t xml:space="preserve">Value</w:t>
            </w:r>
          </w:p>
        </w:tc>
        <w:tc>
          <w:tcPr>
            <w:tcW w:type="dxa" w:w="4700"/>
            <w:shd w:fill="0f3460" w:val="clear"/>
            <w:tcMar>
              <w:top w:type="dxa" w:w="60"/>
              <w:left w:type="dxa" w:w="100"/>
              <w:bottom w:type="dxa" w:w="60"/>
              <w:right w:type="dxa" w:w="100"/>
            </w:tcMar>
          </w:tcPr>
          <w:p>
            <w:r>
              <w:rPr>
                <w:b/>
                <w:bCs/>
                <w:color w:val="FFFFFF"/>
                <w:sz w:val="19"/>
                <w:szCs w:val="19"/>
              </w:rPr>
              <w:t xml:space="preserve">Notes</w:t>
            </w:r>
          </w:p>
        </w:tc>
      </w:tr>
      <w:tr>
        <w:tc>
          <w:tcPr>
            <w:tcW w:type="dxa" w:w="2400"/>
            <w:shd w:fill="FFFFFF" w:val="clear"/>
            <w:tcMar>
              <w:top w:type="dxa" w:w="50"/>
              <w:left w:type="dxa" w:w="100"/>
              <w:bottom w:type="dxa" w:w="50"/>
              <w:right w:type="dxa" w:w="100"/>
            </w:tcMar>
          </w:tcPr>
          <w:p>
            <w:r>
              <w:rPr>
                <w:b/>
                <w:bCs/>
                <w:color w:val="222222"/>
                <w:sz w:val="19"/>
                <w:szCs w:val="19"/>
              </w:rPr>
              <w:t xml:space="preserve">ROC-AUC</w:t>
            </w:r>
          </w:p>
        </w:tc>
        <w:tc>
          <w:tcPr>
            <w:tcW w:type="dxa" w:w="1500"/>
            <w:shd w:fill="FFFFFF" w:val="clear"/>
            <w:tcMar>
              <w:top w:type="dxa" w:w="50"/>
              <w:left w:type="dxa" w:w="100"/>
              <w:bottom w:type="dxa" w:w="50"/>
              <w:right w:type="dxa" w:w="100"/>
            </w:tcMar>
          </w:tcPr>
          <w:p>
            <w:r>
              <w:rPr>
                <w:b w:val="false"/>
                <w:bCs w:val="false"/>
                <w:color w:val="222222"/>
                <w:sz w:val="19"/>
                <w:szCs w:val="19"/>
              </w:rPr>
              <w:t xml:space="preserve">0.891</w:t>
            </w:r>
          </w:p>
        </w:tc>
        <w:tc>
          <w:tcPr>
            <w:tcW w:type="dxa" w:w="4700"/>
            <w:shd w:fill="FFFFFF" w:val="clear"/>
            <w:tcMar>
              <w:top w:type="dxa" w:w="50"/>
              <w:left w:type="dxa" w:w="100"/>
              <w:bottom w:type="dxa" w:w="50"/>
              <w:right w:type="dxa" w:w="100"/>
            </w:tcMar>
          </w:tcPr>
          <w:p>
            <w:r>
              <w:rPr>
                <w:b w:val="false"/>
                <w:bCs w:val="false"/>
                <w:color w:val="222222"/>
                <w:sz w:val="19"/>
                <w:szCs w:val="19"/>
              </w:rPr>
              <w:t xml:space="preserve">anomaly detection, imbalanced test set</w:t>
            </w:r>
          </w:p>
        </w:tc>
      </w:tr>
      <w:tr>
        <w:tc>
          <w:tcPr>
            <w:tcW w:type="dxa" w:w="2400"/>
            <w:shd w:fill="f1f3f9" w:val="clear"/>
            <w:tcMar>
              <w:top w:type="dxa" w:w="50"/>
              <w:left w:type="dxa" w:w="100"/>
              <w:bottom w:type="dxa" w:w="50"/>
              <w:right w:type="dxa" w:w="100"/>
            </w:tcMar>
          </w:tcPr>
          <w:p>
            <w:r>
              <w:rPr>
                <w:b/>
                <w:bCs/>
                <w:color w:val="222222"/>
                <w:sz w:val="19"/>
                <w:szCs w:val="19"/>
              </w:rPr>
              <w:t xml:space="preserve">PR-AUC</w:t>
            </w:r>
          </w:p>
        </w:tc>
        <w:tc>
          <w:tcPr>
            <w:tcW w:type="dxa" w:w="1500"/>
            <w:shd w:fill="f1f3f9" w:val="clear"/>
            <w:tcMar>
              <w:top w:type="dxa" w:w="50"/>
              <w:left w:type="dxa" w:w="100"/>
              <w:bottom w:type="dxa" w:w="50"/>
              <w:right w:type="dxa" w:w="100"/>
            </w:tcMar>
          </w:tcPr>
          <w:p>
            <w:r>
              <w:rPr>
                <w:b w:val="false"/>
                <w:bCs w:val="false"/>
                <w:color w:val="222222"/>
                <w:sz w:val="19"/>
                <w:szCs w:val="19"/>
              </w:rPr>
              <w:t xml:space="preserve">0.354</w:t>
            </w:r>
          </w:p>
        </w:tc>
        <w:tc>
          <w:tcPr>
            <w:tcW w:type="dxa" w:w="4700"/>
            <w:shd w:fill="f1f3f9" w:val="clear"/>
            <w:tcMar>
              <w:top w:type="dxa" w:w="50"/>
              <w:left w:type="dxa" w:w="100"/>
              <w:bottom w:type="dxa" w:w="50"/>
              <w:right w:type="dxa" w:w="100"/>
            </w:tcMar>
          </w:tcPr>
          <w:p>
            <w:r>
              <w:rPr>
                <w:b w:val="false"/>
                <w:bCs w:val="false"/>
                <w:color w:val="222222"/>
                <w:sz w:val="19"/>
                <w:szCs w:val="19"/>
              </w:rPr>
              <w:t xml:space="preserve">vs 0.0274 random baseline</w:t>
            </w:r>
          </w:p>
        </w:tc>
      </w:tr>
      <w:tr>
        <w:tc>
          <w:tcPr>
            <w:tcW w:type="dxa" w:w="2400"/>
            <w:shd w:fill="FFFFFF" w:val="clear"/>
            <w:tcMar>
              <w:top w:type="dxa" w:w="50"/>
              <w:left w:type="dxa" w:w="100"/>
              <w:bottom w:type="dxa" w:w="50"/>
              <w:right w:type="dxa" w:w="100"/>
            </w:tcMar>
          </w:tcPr>
          <w:p>
            <w:r>
              <w:rPr>
                <w:b/>
                <w:bCs/>
                <w:color w:val="222222"/>
                <w:sz w:val="19"/>
                <w:szCs w:val="19"/>
              </w:rPr>
              <w:t xml:space="preserve">Top-1% precision</w:t>
            </w:r>
          </w:p>
        </w:tc>
        <w:tc>
          <w:tcPr>
            <w:tcW w:type="dxa" w:w="1500"/>
            <w:shd w:fill="FFFFFF" w:val="clear"/>
            <w:tcMar>
              <w:top w:type="dxa" w:w="50"/>
              <w:left w:type="dxa" w:w="100"/>
              <w:bottom w:type="dxa" w:w="50"/>
              <w:right w:type="dxa" w:w="100"/>
            </w:tcMar>
          </w:tcPr>
          <w:p>
            <w:r>
              <w:rPr>
                <w:b w:val="false"/>
                <w:bCs w:val="false"/>
                <w:color w:val="222222"/>
                <w:sz w:val="19"/>
                <w:szCs w:val="19"/>
              </w:rPr>
              <w:t xml:space="preserve">0.557</w:t>
            </w:r>
          </w:p>
        </w:tc>
        <w:tc>
          <w:tcPr>
            <w:tcW w:type="dxa" w:w="4700"/>
            <w:shd w:fill="FFFFFF" w:val="clear"/>
            <w:tcMar>
              <w:top w:type="dxa" w:w="50"/>
              <w:left w:type="dxa" w:w="100"/>
              <w:bottom w:type="dxa" w:w="50"/>
              <w:right w:type="dxa" w:w="100"/>
            </w:tcMar>
          </w:tcPr>
          <w:p>
            <w:r>
              <w:rPr>
                <w:b w:val="false"/>
                <w:bCs w:val="false"/>
                <w:color w:val="222222"/>
                <w:sz w:val="19"/>
                <w:szCs w:val="19"/>
              </w:rPr>
              <w:t xml:space="preserve">235 true / 187 false at k=422</w:t>
            </w:r>
          </w:p>
        </w:tc>
      </w:tr>
      <w:tr>
        <w:tc>
          <w:tcPr>
            <w:tcW w:type="dxa" w:w="2400"/>
            <w:shd w:fill="f1f3f9" w:val="clear"/>
            <w:tcMar>
              <w:top w:type="dxa" w:w="50"/>
              <w:left w:type="dxa" w:w="100"/>
              <w:bottom w:type="dxa" w:w="50"/>
              <w:right w:type="dxa" w:w="100"/>
            </w:tcMar>
          </w:tcPr>
          <w:p>
            <w:r>
              <w:rPr>
                <w:b/>
                <w:bCs/>
                <w:color w:val="222222"/>
                <w:sz w:val="19"/>
                <w:szCs w:val="19"/>
              </w:rPr>
              <w:t xml:space="preserve">Top-1% FPR</w:t>
            </w:r>
          </w:p>
        </w:tc>
        <w:tc>
          <w:tcPr>
            <w:tcW w:type="dxa" w:w="1500"/>
            <w:shd w:fill="f1f3f9" w:val="clear"/>
            <w:tcMar>
              <w:top w:type="dxa" w:w="50"/>
              <w:left w:type="dxa" w:w="100"/>
              <w:bottom w:type="dxa" w:w="50"/>
              <w:right w:type="dxa" w:w="100"/>
            </w:tcMar>
          </w:tcPr>
          <w:p>
            <w:r>
              <w:rPr>
                <w:b w:val="false"/>
                <w:bCs w:val="false"/>
                <w:color w:val="222222"/>
                <w:sz w:val="19"/>
                <w:szCs w:val="19"/>
              </w:rPr>
              <w:t xml:space="preserve">0.0046</w:t>
            </w:r>
          </w:p>
        </w:tc>
        <w:tc>
          <w:tcPr>
            <w:tcW w:type="dxa" w:w="4700"/>
            <w:shd w:fill="f1f3f9" w:val="clear"/>
            <w:tcMar>
              <w:top w:type="dxa" w:w="50"/>
              <w:left w:type="dxa" w:w="100"/>
              <w:bottom w:type="dxa" w:w="50"/>
              <w:right w:type="dxa" w:w="100"/>
            </w:tcMar>
          </w:tcPr>
          <w:p>
            <w:r>
              <w:rPr>
                <w:b w:val="false"/>
                <w:bCs w:val="false"/>
                <w:color w:val="222222"/>
                <w:sz w:val="19"/>
                <w:szCs w:val="19"/>
              </w:rPr>
              <w:t xml:space="preserve">false positives per benign event</w:t>
            </w:r>
          </w:p>
        </w:tc>
      </w:tr>
      <w:tr>
        <w:tc>
          <w:tcPr>
            <w:tcW w:type="dxa" w:w="2400"/>
            <w:shd w:fill="FFFFFF" w:val="clear"/>
            <w:tcMar>
              <w:top w:type="dxa" w:w="50"/>
              <w:left w:type="dxa" w:w="100"/>
              <w:bottom w:type="dxa" w:w="50"/>
              <w:right w:type="dxa" w:w="100"/>
            </w:tcMar>
          </w:tcPr>
          <w:p>
            <w:r>
              <w:rPr>
                <w:b/>
                <w:bCs/>
                <w:color w:val="222222"/>
                <w:sz w:val="19"/>
                <w:szCs w:val="19"/>
              </w:rPr>
              <w:t xml:space="preserve">Cold-start ROC-AUC</w:t>
            </w:r>
          </w:p>
        </w:tc>
        <w:tc>
          <w:tcPr>
            <w:tcW w:type="dxa" w:w="1500"/>
            <w:shd w:fill="FFFFFF" w:val="clear"/>
            <w:tcMar>
              <w:top w:type="dxa" w:w="50"/>
              <w:left w:type="dxa" w:w="100"/>
              <w:bottom w:type="dxa" w:w="50"/>
              <w:right w:type="dxa" w:w="100"/>
            </w:tcMar>
          </w:tcPr>
          <w:p>
            <w:r>
              <w:rPr>
                <w:b w:val="false"/>
                <w:bCs w:val="false"/>
                <w:color w:val="222222"/>
                <w:sz w:val="19"/>
                <w:szCs w:val="19"/>
              </w:rPr>
              <w:t xml:space="preserve">0.876</w:t>
            </w:r>
          </w:p>
        </w:tc>
        <w:tc>
          <w:tcPr>
            <w:tcW w:type="dxa" w:w="4700"/>
            <w:shd w:fill="FFFFFF" w:val="clear"/>
            <w:tcMar>
              <w:top w:type="dxa" w:w="50"/>
              <w:left w:type="dxa" w:w="100"/>
              <w:bottom w:type="dxa" w:w="50"/>
              <w:right w:type="dxa" w:w="100"/>
            </w:tcMar>
          </w:tcPr>
          <w:p>
            <w:r>
              <w:rPr>
                <w:b w:val="false"/>
                <w:bCs w:val="false"/>
                <w:color w:val="222222"/>
                <w:sz w:val="19"/>
                <w:szCs w:val="19"/>
              </w:rPr>
              <w:t xml:space="preserve">2643 events, held-out entities</w:t>
            </w:r>
          </w:p>
        </w:tc>
      </w:tr>
      <w:tr>
        <w:tc>
          <w:tcPr>
            <w:tcW w:type="dxa" w:w="2400"/>
            <w:shd w:fill="f1f3f9" w:val="clear"/>
            <w:tcMar>
              <w:top w:type="dxa" w:w="50"/>
              <w:left w:type="dxa" w:w="100"/>
              <w:bottom w:type="dxa" w:w="50"/>
              <w:right w:type="dxa" w:w="100"/>
            </w:tcMar>
          </w:tcPr>
          <w:p>
            <w:r>
              <w:rPr>
                <w:b/>
                <w:bCs/>
                <w:color w:val="222222"/>
                <w:sz w:val="19"/>
                <w:szCs w:val="19"/>
              </w:rPr>
              <w:t xml:space="preserve">Insider-drift flag rate</w:t>
            </w:r>
          </w:p>
        </w:tc>
        <w:tc>
          <w:tcPr>
            <w:tcW w:type="dxa" w:w="1500"/>
            <w:shd w:fill="f1f3f9" w:val="clear"/>
            <w:tcMar>
              <w:top w:type="dxa" w:w="50"/>
              <w:left w:type="dxa" w:w="100"/>
              <w:bottom w:type="dxa" w:w="50"/>
              <w:right w:type="dxa" w:w="100"/>
            </w:tcMar>
          </w:tcPr>
          <w:p>
            <w:r>
              <w:rPr>
                <w:b w:val="false"/>
                <w:bCs w:val="false"/>
                <w:color w:val="222222"/>
                <w:sz w:val="19"/>
                <w:szCs w:val="19"/>
              </w:rPr>
              <w:t xml:space="preserve">0</w:t>
            </w:r>
          </w:p>
        </w:tc>
        <w:tc>
          <w:tcPr>
            <w:tcW w:type="dxa" w:w="4700"/>
            <w:shd w:fill="f1f3f9" w:val="clear"/>
            <w:tcMar>
              <w:top w:type="dxa" w:w="50"/>
              <w:left w:type="dxa" w:w="100"/>
              <w:bottom w:type="dxa" w:w="50"/>
              <w:right w:type="dxa" w:w="100"/>
            </w:tcMar>
          </w:tcPr>
          <w:p>
            <w:r>
              <w:rPr>
                <w:b w:val="false"/>
                <w:bCs w:val="false"/>
                <w:color w:val="222222"/>
                <w:sz w:val="19"/>
                <w:szCs w:val="19"/>
              </w:rPr>
              <w:t xml:space="preserve">benign drift; some flagged (see 4.5)</w:t>
            </w:r>
          </w:p>
        </w:tc>
      </w:tr>
    </w:tbl>
    <w:p>
      <w:pPr>
        <w:spacing w:after="200"/>
        <w:jc w:val="center"/>
      </w:pPr>
      <w:r>
        <w:rPr>
          <w:i/>
          <w:iCs/>
          <w:color w:val="6b7280"/>
          <w:sz w:val="18"/>
          <w:szCs w:val="18"/>
        </w:rPr>
        <w:t xml:space="preserve">Table 1 — Headline metrics on the held-out temporal test split.</w:t>
      </w:r>
    </w:p>
    <w:p>
      <w:pPr>
        <w:pStyle w:val="Heading1"/>
        <w:spacing w:after="140" w:before="320"/>
      </w:pPr>
      <w:r>
        <w:rPr>
          <w:b/>
          <w:bCs/>
          <w:color w:val="1a1a2e"/>
          <w:sz w:val="30"/>
          <w:szCs w:val="30"/>
        </w:rPr>
        <w:t xml:space="preserve">1  Problem &amp; Design Overview</w:t>
      </w:r>
    </w:p>
    <w:p>
      <w:pPr>
        <w:spacing w:after="120" w:line="276"/>
      </w:pPr>
      <w:r>
        <w:rPr>
          <w:color w:val="222222"/>
          <w:sz w:val="21"/>
          <w:szCs w:val="21"/>
        </w:rPr>
        <w:t xml:space="preserve">Signature-based security fails against novel or low-and-slow intrusions. Sentinel instead learns a per-entity behavioural baseline — a Behaviour DNA — and scores each new access event by how far it deviates, in a way that is sequence-aware rather than treating events as isolated snapshots. The system is deliberately layered so that each evaluation criterion maps to an explicit component:</w:t>
      </w:r>
    </w:p>
    <w:p>
      <w:pPr>
        <w:pStyle w:val="ListParagraph"/>
        <w:numPr>
          <w:ilvl w:val="0"/>
          <w:numId w:val="1"/>
        </w:numPr>
        <w:spacing w:after="80"/>
      </w:pPr>
      <w:r>
        <w:rPr>
          <w:b/>
          <w:bCs/>
          <w:color w:val="222222"/>
          <w:sz w:val="21"/>
          <w:szCs w:val="21"/>
        </w:rPr>
        <w:t xml:space="preserve">Detection</w:t>
      </w:r>
      <w:r>
        <w:rPr>
          <w:color w:val="222222"/>
          <w:sz w:val="21"/>
          <w:szCs w:val="21"/>
        </w:rPr>
        <w:t xml:space="preserve"> — an unsupervised ensemble (autoencoder + Isolation Forest) over sequence-derived features produces a continuous anomaly score.</w:t>
      </w:r>
    </w:p>
    <w:p>
      <w:pPr>
        <w:pStyle w:val="ListParagraph"/>
        <w:numPr>
          <w:ilvl w:val="0"/>
          <w:numId w:val="1"/>
        </w:numPr>
        <w:spacing w:after="80"/>
      </w:pPr>
      <w:r>
        <w:rPr>
          <w:b/>
          <w:bCs/>
          <w:color w:val="222222"/>
          <w:sz w:val="21"/>
          <w:szCs w:val="21"/>
        </w:rPr>
        <w:t xml:space="preserve">Classification</w:t>
      </w:r>
      <w:r>
        <w:rPr>
          <w:color w:val="222222"/>
          <w:sz w:val="21"/>
          <w:szCs w:val="21"/>
        </w:rPr>
        <w:t xml:space="preserve"> — a supervised classifier maps a flagged event to one of six attack categories.</w:t>
      </w:r>
    </w:p>
    <w:p>
      <w:pPr>
        <w:pStyle w:val="ListParagraph"/>
        <w:numPr>
          <w:ilvl w:val="0"/>
          <w:numId w:val="1"/>
        </w:numPr>
        <w:spacing w:after="80"/>
      </w:pPr>
      <w:r>
        <w:rPr>
          <w:b/>
          <w:bCs/>
          <w:color w:val="222222"/>
          <w:sz w:val="21"/>
          <w:szCs w:val="21"/>
        </w:rPr>
        <w:t xml:space="preserve">Explainability</w:t>
      </w:r>
      <w:r>
        <w:rPr>
          <w:color w:val="222222"/>
          <w:sz w:val="21"/>
          <w:szCs w:val="21"/>
        </w:rPr>
        <w:t xml:space="preserve"> — per-alert feature attribution names the factors that drove the score.</w:t>
      </w:r>
    </w:p>
    <w:p>
      <w:pPr>
        <w:pStyle w:val="ListParagraph"/>
        <w:numPr>
          <w:ilvl w:val="0"/>
          <w:numId w:val="1"/>
        </w:numPr>
        <w:spacing w:after="80"/>
      </w:pPr>
      <w:r>
        <w:rPr>
          <w:b/>
          <w:bCs/>
          <w:color w:val="222222"/>
          <w:sz w:val="21"/>
          <w:szCs w:val="21"/>
        </w:rPr>
        <w:t xml:space="preserve">Cold-start &amp; drift</w:t>
      </w:r>
      <w:r>
        <w:rPr>
          <w:color w:val="222222"/>
          <w:sz w:val="21"/>
          <w:szCs w:val="21"/>
        </w:rPr>
        <w:t xml:space="preserve"> — department-baseline fallback for new entities; a decaying baseline plus an insider-drift edge case for false-positive tuning.</w:t>
      </w:r>
    </w:p>
    <w:p>
      <w:pPr>
        <w:pStyle w:val="Heading1"/>
        <w:spacing w:after="140" w:before="320"/>
      </w:pPr>
      <w:r>
        <w:rPr>
          <w:b/>
          <w:bCs/>
          <w:color w:val="1a1a2e"/>
          <w:sz w:val="30"/>
          <w:szCs w:val="30"/>
        </w:rPr>
        <w:t xml:space="preserve">2  Synthetic Data Generator</w:t>
      </w:r>
    </w:p>
    <w:p>
      <w:pPr>
        <w:spacing w:after="120" w:line="276"/>
      </w:pPr>
      <w:r>
        <w:rPr>
          <w:color w:val="222222"/>
          <w:sz w:val="21"/>
          <w:szCs w:val="21"/>
        </w:rPr>
        <w:t xml:space="preserve">Real intrusion logs are scarce and privacy-restricted, so Sentinel generates its own labelled data. A coherent enterprise is built first — 500 employees across 7 departments, each with a manager, working hours, preferred devices, home geography, and a habitual resource set — and 90 days of behaviourally-consistent access events are sampled from those profiles with noise. Attacks are then injected at a controlled rate with ground-truth labels retained in a separate column that is hidden from the model at inference.</w:t>
      </w:r>
    </w:p>
    <w:p>
      <w:pPr>
        <w:spacing w:after="120" w:line="276"/>
      </w:pPr>
      <w:r>
        <w:rPr>
          <w:color w:val="222222"/>
          <w:sz w:val="21"/>
          <w:szCs w:val="21"/>
        </w:rPr>
        <w:t xml:space="preserve">The schema follows the brief: entity_id, entity_type, timestamp, source_ip / geo_location, resource_accessed, auth_method, session_duration, device_fingerprint (OS + device_id), and a held-out label. Attacks total </w:t>
      </w:r>
      <w:r>
        <w:rPr>
          <w:b/>
          <w:bCs/>
          <w:color w:val="222222"/>
          <w:sz w:val="21"/>
          <w:szCs w:val="21"/>
        </w:rPr>
        <w:t xml:space="preserve">2.74%</w:t>
      </w:r>
      <w:r>
        <w:rPr>
          <w:color w:val="222222"/>
          <w:sz w:val="21"/>
          <w:szCs w:val="21"/>
        </w:rPr>
        <w:t xml:space="preserve"> of test events — within the realistic 0.5–3% band that makes the imbalance meaningful.</w:t>
      </w:r>
    </w:p>
    <w:p>
      <w:pPr>
        <w:pStyle w:val="Heading2"/>
        <w:spacing w:after="100" w:before="220"/>
      </w:pPr>
      <w:r>
        <w:rPr>
          <w:b/>
          <w:bCs/>
          <w:color w:val="0f3460"/>
          <w:sz w:val="24"/>
          <w:szCs w:val="24"/>
        </w:rPr>
        <w:t xml:space="preserve">Injected Attack Taxonomy</w:t>
      </w:r>
    </w:p>
    <w:tbl>
      <w:tblPr>
        <w:tblW w:type="dxa" w:w="8600"/>
        <w:tblBorders>
          <w:top w:val="single" w:color="d1d5db" w:sz="2"/>
          <w:left w:val="none"/>
          <w:bottom w:val="single" w:color="d1d5db" w:sz="2"/>
          <w:right w:val="none"/>
          <w:insideH w:val="single" w:color="e5e7eb" w:sz="1"/>
          <w:insideV w:val="none"/>
        </w:tblBorders>
      </w:tblPr>
      <w:tblGrid>
        <w:gridCol w:w="2600"/>
        <w:gridCol w:w="6000"/>
      </w:tblGrid>
      <w:tr>
        <w:trPr>
          <w:tblHeader/>
        </w:trPr>
        <w:tc>
          <w:tcPr>
            <w:tcW w:type="dxa" w:w="2600"/>
            <w:shd w:fill="0f3460" w:val="clear"/>
            <w:tcMar>
              <w:top w:type="dxa" w:w="60"/>
              <w:left w:type="dxa" w:w="100"/>
              <w:bottom w:type="dxa" w:w="60"/>
              <w:right w:type="dxa" w:w="100"/>
            </w:tcMar>
          </w:tcPr>
          <w:p>
            <w:r>
              <w:rPr>
                <w:b/>
                <w:bCs/>
                <w:color w:val="FFFFFF"/>
                <w:sz w:val="19"/>
                <w:szCs w:val="19"/>
              </w:rPr>
              <w:t xml:space="preserve">Attack</w:t>
            </w:r>
          </w:p>
        </w:tc>
        <w:tc>
          <w:tcPr>
            <w:tcW w:type="dxa" w:w="6000"/>
            <w:shd w:fill="0f3460" w:val="clear"/>
            <w:tcMar>
              <w:top w:type="dxa" w:w="60"/>
              <w:left w:type="dxa" w:w="100"/>
              <w:bottom w:type="dxa" w:w="60"/>
              <w:right w:type="dxa" w:w="100"/>
            </w:tcMar>
          </w:tcPr>
          <w:p>
            <w:r>
              <w:rPr>
                <w:b/>
                <w:bCs/>
                <w:color w:val="FFFFFF"/>
                <w:sz w:val="19"/>
                <w:szCs w:val="19"/>
              </w:rPr>
              <w:t xml:space="preserve">Behavioural signature simulated</w:t>
            </w:r>
          </w:p>
        </w:tc>
      </w:tr>
      <w:tr>
        <w:tc>
          <w:tcPr>
            <w:tcW w:type="dxa" w:w="2600"/>
            <w:shd w:fill="FFFFFF" w:val="clear"/>
            <w:tcMar>
              <w:top w:type="dxa" w:w="50"/>
              <w:left w:type="dxa" w:w="100"/>
              <w:bottom w:type="dxa" w:w="50"/>
              <w:right w:type="dxa" w:w="100"/>
            </w:tcMar>
          </w:tcPr>
          <w:p>
            <w:r>
              <w:rPr>
                <w:b/>
                <w:bCs/>
                <w:color w:val="222222"/>
                <w:sz w:val="19"/>
                <w:szCs w:val="19"/>
              </w:rPr>
              <w:t xml:space="preserve">Brute force</w:t>
            </w:r>
          </w:p>
        </w:tc>
        <w:tc>
          <w:tcPr>
            <w:tcW w:type="dxa" w:w="6000"/>
            <w:shd w:fill="FFFFFF" w:val="clear"/>
            <w:tcMar>
              <w:top w:type="dxa" w:w="50"/>
              <w:left w:type="dxa" w:w="100"/>
              <w:bottom w:type="dxa" w:w="50"/>
              <w:right w:type="dxa" w:w="100"/>
            </w:tcMar>
          </w:tcPr>
          <w:p>
            <w:r>
              <w:rPr>
                <w:b w:val="false"/>
                <w:bCs w:val="false"/>
                <w:color w:val="222222"/>
                <w:sz w:val="19"/>
                <w:szCs w:val="19"/>
              </w:rPr>
              <w:t xml:space="preserve">rapid repeated failed auths from one source in a short window</w:t>
            </w:r>
          </w:p>
        </w:tc>
      </w:tr>
      <w:tr>
        <w:tc>
          <w:tcPr>
            <w:tcW w:type="dxa" w:w="2600"/>
            <w:shd w:fill="f1f3f9" w:val="clear"/>
            <w:tcMar>
              <w:top w:type="dxa" w:w="50"/>
              <w:left w:type="dxa" w:w="100"/>
              <w:bottom w:type="dxa" w:w="50"/>
              <w:right w:type="dxa" w:w="100"/>
            </w:tcMar>
          </w:tcPr>
          <w:p>
            <w:r>
              <w:rPr>
                <w:b/>
                <w:bCs/>
                <w:color w:val="222222"/>
                <w:sz w:val="19"/>
                <w:szCs w:val="19"/>
              </w:rPr>
              <w:t xml:space="preserve">Credential stuffing</w:t>
            </w:r>
          </w:p>
        </w:tc>
        <w:tc>
          <w:tcPr>
            <w:tcW w:type="dxa" w:w="6000"/>
            <w:shd w:fill="f1f3f9" w:val="clear"/>
            <w:tcMar>
              <w:top w:type="dxa" w:w="50"/>
              <w:left w:type="dxa" w:w="100"/>
              <w:bottom w:type="dxa" w:w="50"/>
              <w:right w:type="dxa" w:w="100"/>
            </w:tcMar>
          </w:tcPr>
          <w:p>
            <w:r>
              <w:rPr>
                <w:b w:val="false"/>
                <w:bCs w:val="false"/>
                <w:color w:val="222222"/>
                <w:sz w:val="19"/>
                <w:szCs w:val="19"/>
              </w:rPr>
              <w:t xml:space="preserve">many entity_ids, few source_ips, high failure rate</w:t>
            </w:r>
          </w:p>
        </w:tc>
      </w:tr>
      <w:tr>
        <w:tc>
          <w:tcPr>
            <w:tcW w:type="dxa" w:w="2600"/>
            <w:shd w:fill="FFFFFF" w:val="clear"/>
            <w:tcMar>
              <w:top w:type="dxa" w:w="50"/>
              <w:left w:type="dxa" w:w="100"/>
              <w:bottom w:type="dxa" w:w="50"/>
              <w:right w:type="dxa" w:w="100"/>
            </w:tcMar>
          </w:tcPr>
          <w:p>
            <w:r>
              <w:rPr>
                <w:b/>
                <w:bCs/>
                <w:color w:val="222222"/>
                <w:sz w:val="19"/>
                <w:szCs w:val="19"/>
              </w:rPr>
              <w:t xml:space="preserve">Impossible travel</w:t>
            </w:r>
          </w:p>
        </w:tc>
        <w:tc>
          <w:tcPr>
            <w:tcW w:type="dxa" w:w="6000"/>
            <w:shd w:fill="FFFFFF" w:val="clear"/>
            <w:tcMar>
              <w:top w:type="dxa" w:w="50"/>
              <w:left w:type="dxa" w:w="100"/>
              <w:bottom w:type="dxa" w:w="50"/>
              <w:right w:type="dxa" w:w="100"/>
            </w:tcMar>
          </w:tcPr>
          <w:p>
            <w:r>
              <w:rPr>
                <w:b w:val="false"/>
                <w:bCs w:val="false"/>
                <w:color w:val="222222"/>
                <w:sz w:val="19"/>
                <w:szCs w:val="19"/>
              </w:rPr>
              <w:t xml:space="preserve">same entity, geographically distant logins in an implausible gap</w:t>
            </w:r>
          </w:p>
        </w:tc>
      </w:tr>
      <w:tr>
        <w:tc>
          <w:tcPr>
            <w:tcW w:type="dxa" w:w="2600"/>
            <w:shd w:fill="f1f3f9" w:val="clear"/>
            <w:tcMar>
              <w:top w:type="dxa" w:w="50"/>
              <w:left w:type="dxa" w:w="100"/>
              <w:bottom w:type="dxa" w:w="50"/>
              <w:right w:type="dxa" w:w="100"/>
            </w:tcMar>
          </w:tcPr>
          <w:p>
            <w:r>
              <w:rPr>
                <w:b/>
                <w:bCs/>
                <w:color w:val="222222"/>
                <w:sz w:val="19"/>
                <w:szCs w:val="19"/>
              </w:rPr>
              <w:t xml:space="preserve">Device spoofing</w:t>
            </w:r>
          </w:p>
        </w:tc>
        <w:tc>
          <w:tcPr>
            <w:tcW w:type="dxa" w:w="6000"/>
            <w:shd w:fill="f1f3f9" w:val="clear"/>
            <w:tcMar>
              <w:top w:type="dxa" w:w="50"/>
              <w:left w:type="dxa" w:w="100"/>
              <w:bottom w:type="dxa" w:w="50"/>
              <w:right w:type="dxa" w:w="100"/>
            </w:tcMar>
          </w:tcPr>
          <w:p>
            <w:r>
              <w:rPr>
                <w:b w:val="false"/>
                <w:bCs w:val="false"/>
                <w:color w:val="222222"/>
                <w:sz w:val="19"/>
                <w:szCs w:val="19"/>
              </w:rPr>
              <w:t xml:space="preserve">known device_id reappears with a mismatched OS fingerprint</w:t>
            </w:r>
          </w:p>
        </w:tc>
      </w:tr>
      <w:tr>
        <w:tc>
          <w:tcPr>
            <w:tcW w:type="dxa" w:w="2600"/>
            <w:shd w:fill="FFFFFF" w:val="clear"/>
            <w:tcMar>
              <w:top w:type="dxa" w:w="50"/>
              <w:left w:type="dxa" w:w="100"/>
              <w:bottom w:type="dxa" w:w="50"/>
              <w:right w:type="dxa" w:w="100"/>
            </w:tcMar>
          </w:tcPr>
          <w:p>
            <w:r>
              <w:rPr>
                <w:b/>
                <w:bCs/>
                <w:color w:val="222222"/>
                <w:sz w:val="19"/>
                <w:szCs w:val="19"/>
              </w:rPr>
              <w:t xml:space="preserve">Lateral movement</w:t>
            </w:r>
          </w:p>
        </w:tc>
        <w:tc>
          <w:tcPr>
            <w:tcW w:type="dxa" w:w="6000"/>
            <w:shd w:fill="FFFFFF" w:val="clear"/>
            <w:tcMar>
              <w:top w:type="dxa" w:w="50"/>
              <w:left w:type="dxa" w:w="100"/>
              <w:bottom w:type="dxa" w:w="50"/>
              <w:right w:type="dxa" w:w="100"/>
            </w:tcMar>
          </w:tcPr>
          <w:p>
            <w:r>
              <w:rPr>
                <w:b w:val="false"/>
                <w:bCs w:val="false"/>
                <w:color w:val="222222"/>
                <w:sz w:val="19"/>
                <w:szCs w:val="19"/>
              </w:rPr>
              <w:t xml:space="preserve">compromised entity touches an unusual breadth of new resources off-hours</w:t>
            </w:r>
          </w:p>
        </w:tc>
      </w:tr>
      <w:tr>
        <w:tc>
          <w:tcPr>
            <w:tcW w:type="dxa" w:w="2600"/>
            <w:shd w:fill="f1f3f9" w:val="clear"/>
            <w:tcMar>
              <w:top w:type="dxa" w:w="50"/>
              <w:left w:type="dxa" w:w="100"/>
              <w:bottom w:type="dxa" w:w="50"/>
              <w:right w:type="dxa" w:w="100"/>
            </w:tcMar>
          </w:tcPr>
          <w:p>
            <w:r>
              <w:rPr>
                <w:b/>
                <w:bCs/>
                <w:color w:val="222222"/>
                <w:sz w:val="19"/>
                <w:szCs w:val="19"/>
              </w:rPr>
              <w:t xml:space="preserve">Low-and-slow</w:t>
            </w:r>
          </w:p>
        </w:tc>
        <w:tc>
          <w:tcPr>
            <w:tcW w:type="dxa" w:w="6000"/>
            <w:shd w:fill="f1f3f9" w:val="clear"/>
            <w:tcMar>
              <w:top w:type="dxa" w:w="50"/>
              <w:left w:type="dxa" w:w="100"/>
              <w:bottom w:type="dxa" w:w="50"/>
              <w:right w:type="dxa" w:w="100"/>
            </w:tcMar>
          </w:tcPr>
          <w:p>
            <w:r>
              <w:rPr>
                <w:b w:val="false"/>
                <w:bCs w:val="false"/>
                <w:color w:val="222222"/>
                <w:sz w:val="19"/>
                <w:szCs w:val="19"/>
              </w:rPr>
              <w:t xml:space="preserve">gradual small off-hours access building up over days</w:t>
            </w:r>
          </w:p>
        </w:tc>
      </w:tr>
      <w:tr>
        <w:tc>
          <w:tcPr>
            <w:tcW w:type="dxa" w:w="2600"/>
            <w:shd w:fill="FFFFFF" w:val="clear"/>
            <w:tcMar>
              <w:top w:type="dxa" w:w="50"/>
              <w:left w:type="dxa" w:w="100"/>
              <w:bottom w:type="dxa" w:w="50"/>
              <w:right w:type="dxa" w:w="100"/>
            </w:tcMar>
          </w:tcPr>
          <w:p>
            <w:r>
              <w:rPr>
                <w:b/>
                <w:bCs/>
                <w:color w:val="222222"/>
                <w:sz w:val="19"/>
                <w:szCs w:val="19"/>
              </w:rPr>
              <w:t xml:space="preserve">Insider drift (edge case)</w:t>
            </w:r>
          </w:p>
        </w:tc>
        <w:tc>
          <w:tcPr>
            <w:tcW w:type="dxa" w:w="6000"/>
            <w:shd w:fill="FFFFFF" w:val="clear"/>
            <w:tcMar>
              <w:top w:type="dxa" w:w="50"/>
              <w:left w:type="dxa" w:w="100"/>
              <w:bottom w:type="dxa" w:w="50"/>
              <w:right w:type="dxa" w:w="100"/>
            </w:tcMar>
          </w:tcPr>
          <w:p>
            <w:r>
              <w:rPr>
                <w:b w:val="false"/>
                <w:bCs w:val="false"/>
                <w:color w:val="222222"/>
                <w:sz w:val="19"/>
                <w:szCs w:val="19"/>
              </w:rPr>
              <w:t xml:space="preserve">legitimate slow privilege expansion — used for false-positive tuning, not an attack</w:t>
            </w:r>
          </w:p>
        </w:tc>
      </w:tr>
    </w:tbl>
    <w:p>
      <w:pPr>
        <w:spacing w:after="200"/>
        <w:jc w:val="center"/>
      </w:pPr>
      <w:r>
        <w:rPr>
          <w:i/>
          <w:iCs/>
          <w:color w:val="6b7280"/>
          <w:sz w:val="18"/>
          <w:szCs w:val="18"/>
        </w:rPr>
        <w:t xml:space="preserve">Table 2 — Attack taxonomy. Insider drift is deliberately benign-but-ambiguous.</w:t>
      </w:r>
    </w:p>
    <w:p>
      <w:pPr>
        <w:pStyle w:val="Heading2"/>
        <w:spacing w:after="100" w:before="220"/>
      </w:pPr>
      <w:r>
        <w:rPr>
          <w:b/>
          <w:bCs/>
          <w:color w:val="0f3460"/>
          <w:sz w:val="24"/>
          <w:szCs w:val="24"/>
        </w:rPr>
        <w:t xml:space="preserve">Behavioural assumptions</w:t>
      </w:r>
    </w:p>
    <w:p>
      <w:pPr>
        <w:spacing w:after="120" w:line="276"/>
      </w:pPr>
      <w:r>
        <w:rPr>
          <w:color w:val="222222"/>
          <w:sz w:val="21"/>
          <w:szCs w:val="21"/>
        </w:rPr>
        <w:t xml:space="preserve">The generator encodes explicit assumptions about normal behaviour; these are stated here because they bound what the system can and cannot claim.</w:t>
      </w:r>
    </w:p>
    <w:p>
      <w:pPr>
        <w:pStyle w:val="ListParagraph"/>
        <w:numPr>
          <w:ilvl w:val="0"/>
          <w:numId w:val="1"/>
        </w:numPr>
        <w:spacing w:after="80"/>
      </w:pPr>
      <w:r>
        <w:rPr>
          <w:color w:val="222222"/>
          <w:sz w:val="21"/>
          <w:szCs w:val="21"/>
        </w:rPr>
        <w:t xml:space="preserve">Each entity has a stable habitual pattern — consistent working hours (per department, with per-person jitter), a small set of known devices, a home geography (India for this enterprise), and a habitual subset of department resources. Normal activity is sampled around these with Gaussian noise.</w:t>
      </w:r>
    </w:p>
    <w:p>
      <w:pPr>
        <w:pStyle w:val="ListParagraph"/>
        <w:numPr>
          <w:ilvl w:val="0"/>
          <w:numId w:val="1"/>
        </w:numPr>
        <w:spacing w:after="80"/>
      </w:pPr>
      <w:r>
        <w:rPr>
          <w:color w:val="222222"/>
          <w:sz w:val="21"/>
          <w:szCs w:val="21"/>
        </w:rPr>
        <w:t xml:space="preserve">Activity volume follows the working week: sessions are Poisson-distributed per day and drop sharply at weekends. Login hours are normally distributed within each entity's window.</w:t>
      </w:r>
    </w:p>
    <w:p>
      <w:pPr>
        <w:pStyle w:val="ListParagraph"/>
        <w:numPr>
          <w:ilvl w:val="0"/>
          <w:numId w:val="1"/>
        </w:numPr>
        <w:spacing w:after="80"/>
      </w:pPr>
      <w:r>
        <w:rPr>
          <w:color w:val="222222"/>
          <w:sz w:val="21"/>
          <w:szCs w:val="21"/>
        </w:rPr>
        <w:t xml:space="preserve">A small fraction (~5%) of benign activity legitimately reaches outside an entity's habitual resource set, so the model must tolerate benign novelty rather than treating any deviation as malicious.</w:t>
      </w:r>
    </w:p>
    <w:p>
      <w:pPr>
        <w:pStyle w:val="ListParagraph"/>
        <w:numPr>
          <w:ilvl w:val="0"/>
          <w:numId w:val="1"/>
        </w:numPr>
        <w:spacing w:after="80"/>
      </w:pPr>
      <w:r>
        <w:rPr>
          <w:color w:val="222222"/>
          <w:sz w:val="21"/>
          <w:szCs w:val="21"/>
        </w:rPr>
        <w:t xml:space="preserve">Attacks are injected at 0.5–3% of sessions with ground-truth labels held separately; labels are never used as model inputs. Insider drift is labelled separately as benign-but-ambiguous for false-positive tuning.</w:t>
      </w:r>
    </w:p>
    <w:p>
      <w:pPr>
        <w:pStyle w:val="ListParagraph"/>
        <w:numPr>
          <w:ilvl w:val="0"/>
          <w:numId w:val="1"/>
        </w:numPr>
        <w:spacing w:after="80"/>
      </w:pPr>
      <w:r>
        <w:rPr>
          <w:color w:val="222222"/>
          <w:sz w:val="21"/>
          <w:szCs w:val="21"/>
        </w:rPr>
        <w:t xml:space="preserve">Geography is modelled at country granularity with representative IP blocks; geo-velocity uses great-circle distance between country centroids, so it is directional rather than precise. This is sufficient for impossible-travel signals but is not a substitute for real geo-IP resolution.</w:t>
      </w:r>
    </w:p>
    <w:p>
      <w:pPr>
        <w:spacing w:after="120" w:line="276"/>
      </w:pPr>
      <w:r>
        <w:rPr>
          <w:color w:val="222222"/>
          <w:sz w:val="21"/>
          <w:szCs w:val="21"/>
        </w:rPr>
        <w:t xml:space="preserve">These assumptions make the data coherent and reproducible, but they also mean absolute metric values are optimistic relative to messy production logs; the system's design and relative behaviour are the transferable results, not the exact numbers.</w:t>
      </w:r>
    </w:p>
    <w:p>
      <w:r>
        <w:br w:type="page"/>
      </w:r>
    </w:p>
    <w:p>
      <w:pPr>
        <w:pStyle w:val="Heading1"/>
        <w:spacing w:after="140" w:before="320"/>
      </w:pPr>
      <w:r>
        <w:rPr>
          <w:b/>
          <w:bCs/>
          <w:color w:val="1a1a2e"/>
          <w:sz w:val="30"/>
          <w:szCs w:val="30"/>
        </w:rPr>
        <w:t xml:space="preserve">3  Modelling Approach</w:t>
      </w:r>
    </w:p>
    <w:p>
      <w:pPr>
        <w:pStyle w:val="Heading2"/>
        <w:spacing w:after="100" w:before="220"/>
      </w:pPr>
      <w:r>
        <w:rPr>
          <w:b/>
          <w:bCs/>
          <w:color w:val="0f3460"/>
          <w:sz w:val="24"/>
          <w:szCs w:val="24"/>
        </w:rPr>
        <w:t xml:space="preserve">3.1  Behaviour DNA (baseline profiling)</w:t>
      </w:r>
    </w:p>
    <w:p>
      <w:pPr>
        <w:spacing w:after="120" w:line="276"/>
      </w:pPr>
      <w:r>
        <w:rPr>
          <w:color w:val="222222"/>
          <w:sz w:val="21"/>
          <w:szCs w:val="21"/>
        </w:rPr>
        <w:t xml:space="preserve">Each entity's profile is a statistical fingerprint learned from the training window only: mean and spread of login hours, geographic distribution, seen devices and operating systems, resource-access distribution, session-duration statistics, and baseline failure rate. Profiles are learned before any attack labels are consulted, so they represent what normal looked like.</w:t>
      </w:r>
    </w:p>
    <w:p>
      <w:pPr>
        <w:pStyle w:val="Heading2"/>
        <w:spacing w:after="100" w:before="220"/>
      </w:pPr>
      <w:r>
        <w:rPr>
          <w:b/>
          <w:bCs/>
          <w:color w:val="0f3460"/>
          <w:sz w:val="24"/>
          <w:szCs w:val="24"/>
        </w:rPr>
        <w:t xml:space="preserve">3.2  Sequence-aware features</w:t>
      </w:r>
    </w:p>
    <w:p>
      <w:pPr>
        <w:spacing w:after="120" w:line="276"/>
      </w:pPr>
      <w:r>
        <w:rPr>
          <w:color w:val="222222"/>
          <w:sz w:val="21"/>
          <w:szCs w:val="21"/>
        </w:rPr>
        <w:t xml:space="preserve">Each event becomes a 13-dimensional vector that encodes deviation from the entity's own history and from short-term sequential context, rather than raw values. Sequence-derived signals include geo-velocity between consecutive logins, a rolling failed-auth burst count, source-IP entity spread, resource and device novelty, and off-hours flags. These per-event features are then arranged into ordered sequences per entity and fed to the recurrent detector described next.</w:t>
      </w:r>
    </w:p>
    <w:p>
      <w:pPr>
        <w:pStyle w:val="Heading2"/>
        <w:spacing w:after="100" w:before="220"/>
      </w:pPr>
      <w:r>
        <w:rPr>
          <w:b/>
          <w:bCs/>
          <w:color w:val="0f3460"/>
          <w:sz w:val="24"/>
          <w:szCs w:val="24"/>
        </w:rPr>
        <w:t xml:space="preserve">3.3  LSTM sequence detector</w:t>
      </w:r>
    </w:p>
    <w:p>
      <w:pPr>
        <w:spacing w:after="120" w:line="276"/>
      </w:pPr>
      <w:r>
        <w:rPr>
          <w:color w:val="222222"/>
          <w:sz w:val="21"/>
          <w:szCs w:val="21"/>
        </w:rPr>
        <w:t xml:space="preserve">Detection uses a sequence-to-sequence </w:t>
      </w:r>
      <w:r>
        <w:rPr>
          <w:b/>
          <w:bCs/>
          <w:color w:val="222222"/>
          <w:sz w:val="21"/>
          <w:szCs w:val="21"/>
        </w:rPr>
        <w:t xml:space="preserve">LSTM autoencoder</w:t>
      </w:r>
      <w:r>
        <w:rPr>
          <w:color w:val="222222"/>
          <w:sz w:val="21"/>
          <w:szCs w:val="21"/>
        </w:rPr>
        <w:t xml:space="preserve">. Each entity's events are time-ordered and cut into overlapping windows of 12 events. An LSTM encoder compresses each window into a 16-dimensional latent vector; an LSTM decoder reconstructs the window. The network is trained on benign windows only, so reconstruction error serves as the anomaly score — familiar behavioural sequences reconstruct accurately, anomalous ones do not. Because the model carries hidden state across timesteps, it models the event sequence directly rather than treating events as independent snapshots. No attack labels are used to train the detector; it learns normality and flags deviation.</w:t>
      </w:r>
    </w:p>
    <w:p>
      <w:pPr>
        <w:spacing w:after="120" w:line="276"/>
      </w:pPr>
      <w:r>
        <w:rPr>
          <w:b/>
          <w:bCs/>
          <w:color w:val="222222"/>
          <w:sz w:val="21"/>
          <w:szCs w:val="21"/>
        </w:rPr>
        <w:t xml:space="preserve">Per-event scoring: </w:t>
      </w:r>
      <w:r>
        <w:rPr>
          <w:color w:val="222222"/>
          <w:sz w:val="21"/>
          <w:szCs w:val="21"/>
        </w:rPr>
        <w:t xml:space="preserve">the LSTM scores 12-event windows, but the downstream classifier, incident view, and dashboard operate per event. Each event is therefore assigned the maximum score among the windows containing it — an event is treated as suspicious if any sequence it participates in looks anomalous. This yields a per-event anomaly score that drives the rest of the pipeline while preserving the LSTM's sequence-level view.</w:t>
      </w:r>
    </w:p>
    <w:p>
      <w:pPr>
        <w:pStyle w:val="Heading2"/>
        <w:spacing w:after="100" w:before="220"/>
      </w:pPr>
      <w:r>
        <w:rPr>
          <w:b/>
          <w:bCs/>
          <w:color w:val="0f3460"/>
          <w:sz w:val="24"/>
          <w:szCs w:val="24"/>
        </w:rPr>
        <w:t xml:space="preserve">3.4  Attack-type classification</w:t>
      </w:r>
    </w:p>
    <w:p>
      <w:pPr>
        <w:spacing w:after="120" w:line="276"/>
      </w:pPr>
      <w:r>
        <w:rPr>
          <w:color w:val="222222"/>
          <w:sz w:val="21"/>
          <w:szCs w:val="21"/>
        </w:rPr>
        <w:t xml:space="preserve">Once flagged, an event is routed to a supervised classifier (Random Forest) trained on the labelled training attacks, which assigns one of the six attack categories from interpretable feature signatures. The LSTM detects that something is anomalous; the classifier determines which attack it resembles.</w:t>
      </w:r>
    </w:p>
    <w:p>
      <w:pPr>
        <w:pStyle w:val="Heading2"/>
        <w:spacing w:after="100" w:before="220"/>
      </w:pPr>
      <w:r>
        <w:rPr>
          <w:b/>
          <w:bCs/>
          <w:color w:val="0f3460"/>
          <w:sz w:val="24"/>
          <w:szCs w:val="24"/>
        </w:rPr>
        <w:t xml:space="preserve">3.5  Training data and procedure</w:t>
      </w:r>
    </w:p>
    <w:p>
      <w:pPr>
        <w:spacing w:after="120" w:line="276"/>
      </w:pPr>
      <w:r>
        <w:rPr>
          <w:color w:val="222222"/>
          <w:sz w:val="21"/>
          <w:szCs w:val="21"/>
        </w:rPr>
        <w:t xml:space="preserve">All models are trained on the synthetic access-log dataset described in Section 2 — a 500-employee enterprise over 90 days, 140,751 events total, with attacks making up 3.2% of the full set. Each event is represented as a 13-dimensional sequence-aware feature vector (Section 3.2); the ground-truth label is never used as an input feature.</w:t>
      </w:r>
    </w:p>
    <w:p>
      <w:pPr>
        <w:spacing w:after="120" w:line="276"/>
      </w:pPr>
      <w:r>
        <w:rPr>
          <w:b/>
          <w:bCs/>
          <w:color w:val="222222"/>
          <w:sz w:val="21"/>
          <w:szCs w:val="21"/>
        </w:rPr>
        <w:t xml:space="preserve">Split: </w:t>
      </w:r>
      <w:r>
        <w:rPr>
          <w:color w:val="222222"/>
          <w:sz w:val="21"/>
          <w:szCs w:val="21"/>
        </w:rPr>
        <w:t xml:space="preserve">a temporal split trains on the first 70% of the timeline and tests on the final 30%, so evaluation measures forward-in-time generalisation rather than random shuffling. In addition, 6% of entities (30 users) are removed from training entirely to create genuine cold-start cases at test time. This yields 92,328 training events (89,216 benign) and 42,225 test events.</w:t>
      </w:r>
    </w:p>
    <w:p>
      <w:pPr>
        <w:spacing w:after="120" w:line="276"/>
      </w:pPr>
      <w:r>
        <w:rPr>
          <w:b/>
          <w:bCs/>
          <w:color w:val="222222"/>
          <w:sz w:val="21"/>
          <w:szCs w:val="21"/>
        </w:rPr>
        <w:t xml:space="preserve">Feature scaling: </w:t>
      </w:r>
      <w:r>
        <w:rPr>
          <w:color w:val="222222"/>
          <w:sz w:val="21"/>
          <w:szCs w:val="21"/>
        </w:rPr>
        <w:t xml:space="preserve">all features are standardised (zero mean, unit variance) using statistics fitted on the training set only, then applied unchanged to the test set.</w:t>
      </w:r>
    </w:p>
    <w:tbl>
      <w:tblPr>
        <w:tblW w:type="dxa" w:w="8600"/>
        <w:tblBorders>
          <w:top w:val="single" w:color="d1d5db" w:sz="2"/>
          <w:left w:val="none"/>
          <w:bottom w:val="single" w:color="d1d5db" w:sz="2"/>
          <w:right w:val="none"/>
          <w:insideH w:val="single" w:color="e5e7eb" w:sz="1"/>
          <w:insideV w:val="none"/>
        </w:tblBorders>
      </w:tblPr>
      <w:tblGrid>
        <w:gridCol w:w="1800"/>
        <w:gridCol w:w="2300"/>
        <w:gridCol w:w="2900"/>
        <w:gridCol w:w="1600"/>
      </w:tblGrid>
      <w:tr>
        <w:trPr>
          <w:tblHeader/>
        </w:trPr>
        <w:tc>
          <w:tcPr>
            <w:tcW w:type="dxa" w:w="1800"/>
            <w:shd w:fill="0f3460" w:val="clear"/>
            <w:tcMar>
              <w:top w:type="dxa" w:w="60"/>
              <w:left w:type="dxa" w:w="100"/>
              <w:bottom w:type="dxa" w:w="60"/>
              <w:right w:type="dxa" w:w="100"/>
            </w:tcMar>
          </w:tcPr>
          <w:p>
            <w:r>
              <w:rPr>
                <w:b/>
                <w:bCs/>
                <w:color w:val="FFFFFF"/>
                <w:sz w:val="19"/>
                <w:szCs w:val="19"/>
              </w:rPr>
              <w:t xml:space="preserve">Model</w:t>
            </w:r>
          </w:p>
        </w:tc>
        <w:tc>
          <w:tcPr>
            <w:tcW w:type="dxa" w:w="2300"/>
            <w:shd w:fill="0f3460" w:val="clear"/>
            <w:tcMar>
              <w:top w:type="dxa" w:w="60"/>
              <w:left w:type="dxa" w:w="100"/>
              <w:bottom w:type="dxa" w:w="60"/>
              <w:right w:type="dxa" w:w="100"/>
            </w:tcMar>
          </w:tcPr>
          <w:p>
            <w:r>
              <w:rPr>
                <w:b/>
                <w:bCs/>
                <w:color w:val="FFFFFF"/>
                <w:sz w:val="19"/>
                <w:szCs w:val="19"/>
              </w:rPr>
              <w:t xml:space="preserve">Trained on</w:t>
            </w:r>
          </w:p>
        </w:tc>
        <w:tc>
          <w:tcPr>
            <w:tcW w:type="dxa" w:w="2900"/>
            <w:shd w:fill="0f3460" w:val="clear"/>
            <w:tcMar>
              <w:top w:type="dxa" w:w="60"/>
              <w:left w:type="dxa" w:w="100"/>
              <w:bottom w:type="dxa" w:w="60"/>
              <w:right w:type="dxa" w:w="100"/>
            </w:tcMar>
          </w:tcPr>
          <w:p>
            <w:r>
              <w:rPr>
                <w:b/>
                <w:bCs/>
                <w:color w:val="FFFFFF"/>
                <w:sz w:val="19"/>
                <w:szCs w:val="19"/>
              </w:rPr>
              <w:t xml:space="preserve">How</w:t>
            </w:r>
          </w:p>
        </w:tc>
        <w:tc>
          <w:tcPr>
            <w:tcW w:type="dxa" w:w="1600"/>
            <w:shd w:fill="0f3460" w:val="clear"/>
            <w:tcMar>
              <w:top w:type="dxa" w:w="60"/>
              <w:left w:type="dxa" w:w="100"/>
              <w:bottom w:type="dxa" w:w="60"/>
              <w:right w:type="dxa" w:w="100"/>
            </w:tcMar>
          </w:tcPr>
          <w:p>
            <w:r>
              <w:rPr>
                <w:b/>
                <w:bCs/>
                <w:color w:val="FFFFFF"/>
                <w:sz w:val="19"/>
                <w:szCs w:val="19"/>
              </w:rPr>
              <w:t xml:space="preserve">Key settings</w:t>
            </w:r>
          </w:p>
        </w:tc>
      </w:tr>
      <w:tr>
        <w:tc>
          <w:tcPr>
            <w:tcW w:type="dxa" w:w="1800"/>
            <w:shd w:fill="FFFFFF" w:val="clear"/>
            <w:tcMar>
              <w:top w:type="dxa" w:w="50"/>
              <w:left w:type="dxa" w:w="100"/>
              <w:bottom w:type="dxa" w:w="50"/>
              <w:right w:type="dxa" w:w="100"/>
            </w:tcMar>
          </w:tcPr>
          <w:p>
            <w:r>
              <w:rPr>
                <w:b/>
                <w:bCs/>
                <w:color w:val="222222"/>
                <w:sz w:val="19"/>
                <w:szCs w:val="19"/>
              </w:rPr>
              <w:t xml:space="preserve">LSTM autoencoder</w:t>
            </w:r>
          </w:p>
        </w:tc>
        <w:tc>
          <w:tcPr>
            <w:tcW w:type="dxa" w:w="2300"/>
            <w:shd w:fill="FFFFFF" w:val="clear"/>
            <w:tcMar>
              <w:top w:type="dxa" w:w="50"/>
              <w:left w:type="dxa" w:w="100"/>
              <w:bottom w:type="dxa" w:w="50"/>
              <w:right w:type="dxa" w:w="100"/>
            </w:tcMar>
          </w:tcPr>
          <w:p>
            <w:r>
              <w:rPr>
                <w:b w:val="false"/>
                <w:bCs w:val="false"/>
                <w:color w:val="222222"/>
                <w:sz w:val="19"/>
                <w:szCs w:val="19"/>
              </w:rPr>
              <w:t xml:space="preserve">benign 12-event windows</w:t>
            </w:r>
          </w:p>
        </w:tc>
        <w:tc>
          <w:tcPr>
            <w:tcW w:type="dxa" w:w="2900"/>
            <w:shd w:fill="FFFFFF" w:val="clear"/>
            <w:tcMar>
              <w:top w:type="dxa" w:w="50"/>
              <w:left w:type="dxa" w:w="100"/>
              <w:bottom w:type="dxa" w:w="50"/>
              <w:right w:type="dxa" w:w="100"/>
            </w:tcMar>
          </w:tcPr>
          <w:p>
            <w:r>
              <w:rPr>
                <w:b w:val="false"/>
                <w:bCs w:val="false"/>
                <w:color w:val="222222"/>
                <w:sz w:val="19"/>
                <w:szCs w:val="19"/>
              </w:rPr>
              <w:t xml:space="preserve">unsupervised: reconstruct normal sequences, error = anomaly</w:t>
            </w:r>
          </w:p>
        </w:tc>
        <w:tc>
          <w:tcPr>
            <w:tcW w:type="dxa" w:w="1600"/>
            <w:shd w:fill="FFFFFF" w:val="clear"/>
            <w:tcMar>
              <w:top w:type="dxa" w:w="50"/>
              <w:left w:type="dxa" w:w="100"/>
              <w:bottom w:type="dxa" w:w="50"/>
              <w:right w:type="dxa" w:w="100"/>
            </w:tcMar>
          </w:tcPr>
          <w:p>
            <w:r>
              <w:rPr>
                <w:b w:val="false"/>
                <w:bCs w:val="false"/>
                <w:color w:val="222222"/>
                <w:sz w:val="19"/>
                <w:szCs w:val="19"/>
              </w:rPr>
              <w:t xml:space="preserve">seq-to-seq, hidden 32, latent 16, 15 epochs</w:t>
            </w:r>
          </w:p>
        </w:tc>
      </w:tr>
      <w:tr>
        <w:tc>
          <w:tcPr>
            <w:tcW w:type="dxa" w:w="1800"/>
            <w:shd w:fill="f1f3f9" w:val="clear"/>
            <w:tcMar>
              <w:top w:type="dxa" w:w="50"/>
              <w:left w:type="dxa" w:w="100"/>
              <w:bottom w:type="dxa" w:w="50"/>
              <w:right w:type="dxa" w:w="100"/>
            </w:tcMar>
          </w:tcPr>
          <w:p>
            <w:r>
              <w:rPr>
                <w:b/>
                <w:bCs/>
                <w:color w:val="222222"/>
                <w:sz w:val="19"/>
                <w:szCs w:val="19"/>
              </w:rPr>
              <w:t xml:space="preserve">Random Forest</w:t>
            </w:r>
          </w:p>
        </w:tc>
        <w:tc>
          <w:tcPr>
            <w:tcW w:type="dxa" w:w="2300"/>
            <w:shd w:fill="f1f3f9" w:val="clear"/>
            <w:tcMar>
              <w:top w:type="dxa" w:w="50"/>
              <w:left w:type="dxa" w:w="100"/>
              <w:bottom w:type="dxa" w:w="50"/>
              <w:right w:type="dxa" w:w="100"/>
            </w:tcMar>
          </w:tcPr>
          <w:p>
            <w:r>
              <w:rPr>
                <w:b w:val="false"/>
                <w:bCs w:val="false"/>
                <w:color w:val="222222"/>
                <w:sz w:val="19"/>
                <w:szCs w:val="19"/>
              </w:rPr>
              <w:t xml:space="preserve">2,838 labelled train attacks</w:t>
            </w:r>
          </w:p>
        </w:tc>
        <w:tc>
          <w:tcPr>
            <w:tcW w:type="dxa" w:w="2900"/>
            <w:shd w:fill="f1f3f9" w:val="clear"/>
            <w:tcMar>
              <w:top w:type="dxa" w:w="50"/>
              <w:left w:type="dxa" w:w="100"/>
              <w:bottom w:type="dxa" w:w="50"/>
              <w:right w:type="dxa" w:w="100"/>
            </w:tcMar>
          </w:tcPr>
          <w:p>
            <w:r>
              <w:rPr>
                <w:b w:val="false"/>
                <w:bCs w:val="false"/>
                <w:color w:val="222222"/>
                <w:sz w:val="19"/>
                <w:szCs w:val="19"/>
              </w:rPr>
              <w:t xml:space="preserve">supervised: map event to attack type</w:t>
            </w:r>
          </w:p>
        </w:tc>
        <w:tc>
          <w:tcPr>
            <w:tcW w:type="dxa" w:w="1600"/>
            <w:shd w:fill="f1f3f9" w:val="clear"/>
            <w:tcMar>
              <w:top w:type="dxa" w:w="50"/>
              <w:left w:type="dxa" w:w="100"/>
              <w:bottom w:type="dxa" w:w="50"/>
              <w:right w:type="dxa" w:w="100"/>
            </w:tcMar>
          </w:tcPr>
          <w:p>
            <w:r>
              <w:rPr>
                <w:b w:val="false"/>
                <w:bCs w:val="false"/>
                <w:color w:val="222222"/>
                <w:sz w:val="19"/>
                <w:szCs w:val="19"/>
              </w:rPr>
              <w:t xml:space="preserve">200 trees, depth 12, balanced</w:t>
            </w:r>
          </w:p>
        </w:tc>
      </w:tr>
    </w:tbl>
    <w:p>
      <w:pPr>
        <w:spacing w:after="200"/>
        <w:jc w:val="center"/>
      </w:pPr>
      <w:r>
        <w:rPr>
          <w:i/>
          <w:iCs/>
          <w:color w:val="6b7280"/>
          <w:sz w:val="18"/>
          <w:szCs w:val="18"/>
        </w:rPr>
        <w:t xml:space="preserve">Table 5 — Each model, the data it trained on, and how. The LSTM detector uses no attack labels; only the classifier is supervised.</w:t>
      </w:r>
    </w:p>
    <w:p>
      <w:pPr>
        <w:spacing w:after="120" w:line="276"/>
      </w:pPr>
      <w:r>
        <w:rPr>
          <w:color w:val="222222"/>
          <w:sz w:val="21"/>
          <w:szCs w:val="21"/>
        </w:rPr>
        <w:t xml:space="preserve">The LSTM detector trains on benign event windows only, so it learns a model of normal behavioural sequences and flags deviation from it — this is what lets the system detect novel intrusions it was never shown. The supervised classifier trains separately, only on labelled attack events, and runs after an event has been flagged.</w:t>
      </w:r>
    </w:p>
    <w:p>
      <w:pPr>
        <w:pStyle w:val="Heading2"/>
        <w:spacing w:after="100" w:before="220"/>
      </w:pPr>
      <w:r>
        <w:rPr>
          <w:b/>
          <w:bCs/>
          <w:color w:val="0f3460"/>
          <w:sz w:val="24"/>
          <w:szCs w:val="24"/>
        </w:rPr>
        <w:t xml:space="preserve">3.6  Models considered and rationale</w:t>
      </w:r>
    </w:p>
    <w:p>
      <w:pPr>
        <w:spacing w:after="120" w:line="276"/>
      </w:pPr>
      <w:r>
        <w:rPr>
          <w:color w:val="222222"/>
          <w:sz w:val="21"/>
          <w:szCs w:val="21"/>
        </w:rPr>
        <w:t xml:space="preserve">The brief invites a range of modelling options. The table lists what was considered at each stage and why the final choice was made, so the trade-offs are explicit.</w:t>
      </w:r>
    </w:p>
    <w:tbl>
      <w:tblPr>
        <w:tblW w:type="dxa" w:w="8600"/>
        <w:tblBorders>
          <w:top w:val="single" w:color="d1d5db" w:sz="2"/>
          <w:left w:val="none"/>
          <w:bottom w:val="single" w:color="d1d5db" w:sz="2"/>
          <w:right w:val="none"/>
          <w:insideH w:val="single" w:color="e5e7eb" w:sz="1"/>
          <w:insideV w:val="none"/>
        </w:tblBorders>
      </w:tblPr>
      <w:tblGrid>
        <w:gridCol w:w="1700"/>
        <w:gridCol w:w="2900"/>
        <w:gridCol w:w="2100"/>
        <w:gridCol w:w="1900"/>
      </w:tblGrid>
      <w:tr>
        <w:trPr>
          <w:tblHeader/>
        </w:trPr>
        <w:tc>
          <w:tcPr>
            <w:tcW w:type="dxa" w:w="1700"/>
            <w:shd w:fill="0f3460" w:val="clear"/>
            <w:tcMar>
              <w:top w:type="dxa" w:w="60"/>
              <w:left w:type="dxa" w:w="100"/>
              <w:bottom w:type="dxa" w:w="60"/>
              <w:right w:type="dxa" w:w="100"/>
            </w:tcMar>
          </w:tcPr>
          <w:p>
            <w:r>
              <w:rPr>
                <w:b/>
                <w:bCs/>
                <w:color w:val="FFFFFF"/>
                <w:sz w:val="19"/>
                <w:szCs w:val="19"/>
              </w:rPr>
              <w:t xml:space="preserve">Stage</w:t>
            </w:r>
          </w:p>
        </w:tc>
        <w:tc>
          <w:tcPr>
            <w:tcW w:type="dxa" w:w="2900"/>
            <w:shd w:fill="0f3460" w:val="clear"/>
            <w:tcMar>
              <w:top w:type="dxa" w:w="60"/>
              <w:left w:type="dxa" w:w="100"/>
              <w:bottom w:type="dxa" w:w="60"/>
              <w:right w:type="dxa" w:w="100"/>
            </w:tcMar>
          </w:tcPr>
          <w:p>
            <w:r>
              <w:rPr>
                <w:b/>
                <w:bCs/>
                <w:color w:val="FFFFFF"/>
                <w:sz w:val="19"/>
                <w:szCs w:val="19"/>
              </w:rPr>
              <w:t xml:space="preserve">Options considered</w:t>
            </w:r>
          </w:p>
        </w:tc>
        <w:tc>
          <w:tcPr>
            <w:tcW w:type="dxa" w:w="2100"/>
            <w:shd w:fill="0f3460" w:val="clear"/>
            <w:tcMar>
              <w:top w:type="dxa" w:w="60"/>
              <w:left w:type="dxa" w:w="100"/>
              <w:bottom w:type="dxa" w:w="60"/>
              <w:right w:type="dxa" w:w="100"/>
            </w:tcMar>
          </w:tcPr>
          <w:p>
            <w:r>
              <w:rPr>
                <w:b/>
                <w:bCs/>
                <w:color w:val="FFFFFF"/>
                <w:sz w:val="19"/>
                <w:szCs w:val="19"/>
              </w:rPr>
              <w:t xml:space="preserve">Chosen</w:t>
            </w:r>
          </w:p>
        </w:tc>
        <w:tc>
          <w:tcPr>
            <w:tcW w:type="dxa" w:w="1900"/>
            <w:shd w:fill="0f3460" w:val="clear"/>
            <w:tcMar>
              <w:top w:type="dxa" w:w="60"/>
              <w:left w:type="dxa" w:w="100"/>
              <w:bottom w:type="dxa" w:w="60"/>
              <w:right w:type="dxa" w:w="100"/>
            </w:tcMar>
          </w:tcPr>
          <w:p>
            <w:r>
              <w:rPr>
                <w:b/>
                <w:bCs/>
                <w:color w:val="FFFFFF"/>
                <w:sz w:val="19"/>
                <w:szCs w:val="19"/>
              </w:rPr>
              <w:t xml:space="preserve">Why</w:t>
            </w:r>
          </w:p>
        </w:tc>
      </w:tr>
      <w:tr>
        <w:tc>
          <w:tcPr>
            <w:tcW w:type="dxa" w:w="1700"/>
            <w:shd w:fill="FFFFFF" w:val="clear"/>
            <w:tcMar>
              <w:top w:type="dxa" w:w="50"/>
              <w:left w:type="dxa" w:w="100"/>
              <w:bottom w:type="dxa" w:w="50"/>
              <w:right w:type="dxa" w:w="100"/>
            </w:tcMar>
          </w:tcPr>
          <w:p>
            <w:r>
              <w:rPr>
                <w:b/>
                <w:bCs/>
                <w:color w:val="222222"/>
                <w:sz w:val="19"/>
                <w:szCs w:val="19"/>
              </w:rPr>
              <w:t xml:space="preserve">Baseline profiling</w:t>
            </w:r>
          </w:p>
        </w:tc>
        <w:tc>
          <w:tcPr>
            <w:tcW w:type="dxa" w:w="2900"/>
            <w:shd w:fill="FFFFFF" w:val="clear"/>
            <w:tcMar>
              <w:top w:type="dxa" w:w="50"/>
              <w:left w:type="dxa" w:w="100"/>
              <w:bottom w:type="dxa" w:w="50"/>
              <w:right w:type="dxa" w:w="100"/>
            </w:tcMar>
          </w:tcPr>
          <w:p>
            <w:r>
              <w:rPr>
                <w:b w:val="false"/>
                <w:bCs w:val="false"/>
                <w:color w:val="222222"/>
                <w:sz w:val="19"/>
                <w:szCs w:val="19"/>
              </w:rPr>
              <w:t xml:space="preserve">statistical profile, one-class SVM, autoencoder</w:t>
            </w:r>
          </w:p>
        </w:tc>
        <w:tc>
          <w:tcPr>
            <w:tcW w:type="dxa" w:w="2100"/>
            <w:shd w:fill="FFFFFF" w:val="clear"/>
            <w:tcMar>
              <w:top w:type="dxa" w:w="50"/>
              <w:left w:type="dxa" w:w="100"/>
              <w:bottom w:type="dxa" w:w="50"/>
              <w:right w:type="dxa" w:w="100"/>
            </w:tcMar>
          </w:tcPr>
          <w:p>
            <w:r>
              <w:rPr>
                <w:b w:val="false"/>
                <w:bCs w:val="false"/>
                <w:color w:val="222222"/>
                <w:sz w:val="19"/>
                <w:szCs w:val="19"/>
              </w:rPr>
              <w:t xml:space="preserve">statistical + autoencoder</w:t>
            </w:r>
          </w:p>
        </w:tc>
        <w:tc>
          <w:tcPr>
            <w:tcW w:type="dxa" w:w="1900"/>
            <w:shd w:fill="FFFFFF" w:val="clear"/>
            <w:tcMar>
              <w:top w:type="dxa" w:w="50"/>
              <w:left w:type="dxa" w:w="100"/>
              <w:bottom w:type="dxa" w:w="50"/>
              <w:right w:type="dxa" w:w="100"/>
            </w:tcMar>
          </w:tcPr>
          <w:p>
            <w:r>
              <w:rPr>
                <w:b w:val="false"/>
                <w:bCs w:val="false"/>
                <w:color w:val="222222"/>
                <w:sz w:val="19"/>
                <w:szCs w:val="19"/>
              </w:rPr>
              <w:t xml:space="preserve">interpretable, fast, no labels needed</w:t>
            </w:r>
          </w:p>
        </w:tc>
      </w:tr>
      <w:tr>
        <w:tc>
          <w:tcPr>
            <w:tcW w:type="dxa" w:w="1700"/>
            <w:shd w:fill="f1f3f9" w:val="clear"/>
            <w:tcMar>
              <w:top w:type="dxa" w:w="50"/>
              <w:left w:type="dxa" w:w="100"/>
              <w:bottom w:type="dxa" w:w="50"/>
              <w:right w:type="dxa" w:w="100"/>
            </w:tcMar>
          </w:tcPr>
          <w:p>
            <w:r>
              <w:rPr>
                <w:b/>
                <w:bCs/>
                <w:color w:val="222222"/>
                <w:sz w:val="19"/>
                <w:szCs w:val="19"/>
              </w:rPr>
              <w:t xml:space="preserve">Sequence detection</w:t>
            </w:r>
          </w:p>
        </w:tc>
        <w:tc>
          <w:tcPr>
            <w:tcW w:type="dxa" w:w="2900"/>
            <w:shd w:fill="f1f3f9" w:val="clear"/>
            <w:tcMar>
              <w:top w:type="dxa" w:w="50"/>
              <w:left w:type="dxa" w:w="100"/>
              <w:bottom w:type="dxa" w:w="50"/>
              <w:right w:type="dxa" w:w="100"/>
            </w:tcMar>
          </w:tcPr>
          <w:p>
            <w:r>
              <w:rPr>
                <w:b w:val="false"/>
                <w:bCs w:val="false"/>
                <w:color w:val="222222"/>
                <w:sz w:val="19"/>
                <w:szCs w:val="19"/>
              </w:rPr>
              <w:t xml:space="preserve">LSTM, GRU, Transformer, graph, MLP autoencoder</w:t>
            </w:r>
          </w:p>
        </w:tc>
        <w:tc>
          <w:tcPr>
            <w:tcW w:type="dxa" w:w="2100"/>
            <w:shd w:fill="f1f3f9" w:val="clear"/>
            <w:tcMar>
              <w:top w:type="dxa" w:w="50"/>
              <w:left w:type="dxa" w:w="100"/>
              <w:bottom w:type="dxa" w:w="50"/>
              <w:right w:type="dxa" w:w="100"/>
            </w:tcMar>
          </w:tcPr>
          <w:p>
            <w:r>
              <w:rPr>
                <w:b w:val="false"/>
                <w:bCs w:val="false"/>
                <w:color w:val="222222"/>
                <w:sz w:val="19"/>
                <w:szCs w:val="19"/>
              </w:rPr>
              <w:t xml:space="preserve">LSTM autoencoder</w:t>
            </w:r>
          </w:p>
        </w:tc>
        <w:tc>
          <w:tcPr>
            <w:tcW w:type="dxa" w:w="1900"/>
            <w:shd w:fill="f1f3f9" w:val="clear"/>
            <w:tcMar>
              <w:top w:type="dxa" w:w="50"/>
              <w:left w:type="dxa" w:w="100"/>
              <w:bottom w:type="dxa" w:w="50"/>
              <w:right w:type="dxa" w:w="100"/>
            </w:tcMar>
          </w:tcPr>
          <w:p>
            <w:r>
              <w:rPr>
                <w:b w:val="false"/>
                <w:bCs w:val="false"/>
                <w:color w:val="222222"/>
                <w:sz w:val="19"/>
                <w:szCs w:val="19"/>
              </w:rPr>
              <w:t xml:space="preserve">directly models event order; strongest fit for sequential attacks</w:t>
            </w:r>
          </w:p>
        </w:tc>
      </w:tr>
      <w:tr>
        <w:tc>
          <w:tcPr>
            <w:tcW w:type="dxa" w:w="1700"/>
            <w:shd w:fill="FFFFFF" w:val="clear"/>
            <w:tcMar>
              <w:top w:type="dxa" w:w="50"/>
              <w:left w:type="dxa" w:w="100"/>
              <w:bottom w:type="dxa" w:w="50"/>
              <w:right w:type="dxa" w:w="100"/>
            </w:tcMar>
          </w:tcPr>
          <w:p>
            <w:r>
              <w:rPr>
                <w:b/>
                <w:bCs/>
                <w:color w:val="222222"/>
                <w:sz w:val="19"/>
                <w:szCs w:val="19"/>
              </w:rPr>
              <w:t xml:space="preserve">Outlier detection</w:t>
            </w:r>
          </w:p>
        </w:tc>
        <w:tc>
          <w:tcPr>
            <w:tcW w:type="dxa" w:w="2900"/>
            <w:shd w:fill="FFFFFF" w:val="clear"/>
            <w:tcMar>
              <w:top w:type="dxa" w:w="50"/>
              <w:left w:type="dxa" w:w="100"/>
              <w:bottom w:type="dxa" w:w="50"/>
              <w:right w:type="dxa" w:w="100"/>
            </w:tcMar>
          </w:tcPr>
          <w:p>
            <w:r>
              <w:rPr>
                <w:b w:val="false"/>
                <w:bCs w:val="false"/>
                <w:color w:val="222222"/>
                <w:sz w:val="19"/>
                <w:szCs w:val="19"/>
              </w:rPr>
              <w:t xml:space="preserve">Isolation Forest, one-class SVM, LOF</w:t>
            </w:r>
          </w:p>
        </w:tc>
        <w:tc>
          <w:tcPr>
            <w:tcW w:type="dxa" w:w="2100"/>
            <w:shd w:fill="FFFFFF" w:val="clear"/>
            <w:tcMar>
              <w:top w:type="dxa" w:w="50"/>
              <w:left w:type="dxa" w:w="100"/>
              <w:bottom w:type="dxa" w:w="50"/>
              <w:right w:type="dxa" w:w="100"/>
            </w:tcMar>
          </w:tcPr>
          <w:p>
            <w:r>
              <w:rPr>
                <w:b w:val="false"/>
                <w:bCs w:val="false"/>
                <w:color w:val="222222"/>
                <w:sz w:val="19"/>
                <w:szCs w:val="19"/>
              </w:rPr>
              <w:t xml:space="preserve">Isolation Forest</w:t>
            </w:r>
          </w:p>
        </w:tc>
        <w:tc>
          <w:tcPr>
            <w:tcW w:type="dxa" w:w="1900"/>
            <w:shd w:fill="FFFFFF" w:val="clear"/>
            <w:tcMar>
              <w:top w:type="dxa" w:w="50"/>
              <w:left w:type="dxa" w:w="100"/>
              <w:bottom w:type="dxa" w:w="50"/>
              <w:right w:type="dxa" w:w="100"/>
            </w:tcMar>
          </w:tcPr>
          <w:p>
            <w:r>
              <w:rPr>
                <w:b w:val="false"/>
                <w:bCs w:val="false"/>
                <w:color w:val="222222"/>
                <w:sz w:val="19"/>
                <w:szCs w:val="19"/>
              </w:rPr>
              <w:t xml:space="preserve">robust in high dimensions, fast, standard</w:t>
            </w:r>
          </w:p>
        </w:tc>
      </w:tr>
      <w:tr>
        <w:tc>
          <w:tcPr>
            <w:tcW w:type="dxa" w:w="1700"/>
            <w:shd w:fill="f1f3f9" w:val="clear"/>
            <w:tcMar>
              <w:top w:type="dxa" w:w="50"/>
              <w:left w:type="dxa" w:w="100"/>
              <w:bottom w:type="dxa" w:w="50"/>
              <w:right w:type="dxa" w:w="100"/>
            </w:tcMar>
          </w:tcPr>
          <w:p>
            <w:r>
              <w:rPr>
                <w:b/>
                <w:bCs/>
                <w:color w:val="222222"/>
                <w:sz w:val="19"/>
                <w:szCs w:val="19"/>
              </w:rPr>
              <w:t xml:space="preserve">Attack classification</w:t>
            </w:r>
          </w:p>
        </w:tc>
        <w:tc>
          <w:tcPr>
            <w:tcW w:type="dxa" w:w="2900"/>
            <w:shd w:fill="f1f3f9" w:val="clear"/>
            <w:tcMar>
              <w:top w:type="dxa" w:w="50"/>
              <w:left w:type="dxa" w:w="100"/>
              <w:bottom w:type="dxa" w:w="50"/>
              <w:right w:type="dxa" w:w="100"/>
            </w:tcMar>
          </w:tcPr>
          <w:p>
            <w:r>
              <w:rPr>
                <w:b w:val="false"/>
                <w:bCs w:val="false"/>
                <w:color w:val="222222"/>
                <w:sz w:val="19"/>
                <w:szCs w:val="19"/>
              </w:rPr>
              <w:t xml:space="preserve">Random Forest, gradient boosting, logistic reg., neural net</w:t>
            </w:r>
          </w:p>
        </w:tc>
        <w:tc>
          <w:tcPr>
            <w:tcW w:type="dxa" w:w="2100"/>
            <w:shd w:fill="f1f3f9" w:val="clear"/>
            <w:tcMar>
              <w:top w:type="dxa" w:w="50"/>
              <w:left w:type="dxa" w:w="100"/>
              <w:bottom w:type="dxa" w:w="50"/>
              <w:right w:type="dxa" w:w="100"/>
            </w:tcMar>
          </w:tcPr>
          <w:p>
            <w:r>
              <w:rPr>
                <w:b w:val="false"/>
                <w:bCs w:val="false"/>
                <w:color w:val="222222"/>
                <w:sz w:val="19"/>
                <w:szCs w:val="19"/>
              </w:rPr>
              <w:t xml:space="preserve">Random Forest</w:t>
            </w:r>
          </w:p>
        </w:tc>
        <w:tc>
          <w:tcPr>
            <w:tcW w:type="dxa" w:w="1900"/>
            <w:shd w:fill="f1f3f9" w:val="clear"/>
            <w:tcMar>
              <w:top w:type="dxa" w:w="50"/>
              <w:left w:type="dxa" w:w="100"/>
              <w:bottom w:type="dxa" w:w="50"/>
              <w:right w:type="dxa" w:w="100"/>
            </w:tcMar>
          </w:tcPr>
          <w:p>
            <w:r>
              <w:rPr>
                <w:b w:val="false"/>
                <w:bCs w:val="false"/>
                <w:color w:val="222222"/>
                <w:sz w:val="19"/>
                <w:szCs w:val="19"/>
              </w:rPr>
              <w:t xml:space="preserve">strong on tabular features; gives feature importance</w:t>
            </w:r>
          </w:p>
        </w:tc>
      </w:tr>
      <w:tr>
        <w:tc>
          <w:tcPr>
            <w:tcW w:type="dxa" w:w="1700"/>
            <w:shd w:fill="FFFFFF" w:val="clear"/>
            <w:tcMar>
              <w:top w:type="dxa" w:w="50"/>
              <w:left w:type="dxa" w:w="100"/>
              <w:bottom w:type="dxa" w:w="50"/>
              <w:right w:type="dxa" w:w="100"/>
            </w:tcMar>
          </w:tcPr>
          <w:p>
            <w:r>
              <w:rPr>
                <w:b/>
                <w:bCs/>
                <w:color w:val="222222"/>
                <w:sz w:val="19"/>
                <w:szCs w:val="19"/>
              </w:rPr>
              <w:t xml:space="preserve">Ensembling</w:t>
            </w:r>
          </w:p>
        </w:tc>
        <w:tc>
          <w:tcPr>
            <w:tcW w:type="dxa" w:w="2900"/>
            <w:shd w:fill="FFFFFF" w:val="clear"/>
            <w:tcMar>
              <w:top w:type="dxa" w:w="50"/>
              <w:left w:type="dxa" w:w="100"/>
              <w:bottom w:type="dxa" w:w="50"/>
              <w:right w:type="dxa" w:w="100"/>
            </w:tcMar>
          </w:tcPr>
          <w:p>
            <w:r>
              <w:rPr>
                <w:b w:val="false"/>
                <w:bCs w:val="false"/>
                <w:color w:val="222222"/>
                <w:sz w:val="19"/>
                <w:szCs w:val="19"/>
              </w:rPr>
              <w:t xml:space="preserve">score averaging, rank-averaging, stacking</w:t>
            </w:r>
          </w:p>
        </w:tc>
        <w:tc>
          <w:tcPr>
            <w:tcW w:type="dxa" w:w="2100"/>
            <w:shd w:fill="FFFFFF" w:val="clear"/>
            <w:tcMar>
              <w:top w:type="dxa" w:w="50"/>
              <w:left w:type="dxa" w:w="100"/>
              <w:bottom w:type="dxa" w:w="50"/>
              <w:right w:type="dxa" w:w="100"/>
            </w:tcMar>
          </w:tcPr>
          <w:p>
            <w:r>
              <w:rPr>
                <w:b w:val="false"/>
                <w:bCs w:val="false"/>
                <w:color w:val="222222"/>
                <w:sz w:val="19"/>
                <w:szCs w:val="19"/>
              </w:rPr>
              <w:t xml:space="preserve">rank-averaging</w:t>
            </w:r>
          </w:p>
        </w:tc>
        <w:tc>
          <w:tcPr>
            <w:tcW w:type="dxa" w:w="1900"/>
            <w:shd w:fill="FFFFFF" w:val="clear"/>
            <w:tcMar>
              <w:top w:type="dxa" w:w="50"/>
              <w:left w:type="dxa" w:w="100"/>
              <w:bottom w:type="dxa" w:w="50"/>
              <w:right w:type="dxa" w:w="100"/>
            </w:tcMar>
          </w:tcPr>
          <w:p>
            <w:r>
              <w:rPr>
                <w:b w:val="false"/>
                <w:bCs w:val="false"/>
                <w:color w:val="222222"/>
                <w:sz w:val="19"/>
                <w:szCs w:val="19"/>
              </w:rPr>
              <w:t xml:space="preserve">robust to differing detector score scales</w:t>
            </w:r>
          </w:p>
        </w:tc>
      </w:tr>
    </w:tbl>
    <w:p>
      <w:pPr>
        <w:spacing w:after="200"/>
        <w:jc w:val="center"/>
      </w:pPr>
      <w:r>
        <w:rPr>
          <w:i/>
          <w:iCs/>
          <w:color w:val="6b7280"/>
          <w:sz w:val="18"/>
          <w:szCs w:val="18"/>
        </w:rPr>
        <w:t xml:space="preserve">Table 6 — Models considered at each stage and rationale for the final selection.</w:t>
      </w:r>
    </w:p>
    <w:p>
      <w:pPr>
        <w:spacing w:after="120" w:line="276"/>
      </w:pPr>
      <w:r>
        <w:rPr>
          <w:color w:val="222222"/>
          <w:sz w:val="21"/>
          <w:szCs w:val="21"/>
        </w:rPr>
        <w:t xml:space="preserve">The key choice is the detector. A recurrent LSTM autoencoder was selected because it models event order directly — the property that distinguishes sequential attacks (brute-force bursts, impossible-travel pairs, staged lateral movement) from isolated events. Simpler alternatives (feed-forward autoencoder, one-class SVM) treat events independently and miss this structure. The LSTM scores event windows; these are mapped to per-event scores that drive the downstream classifier and dashboard, and all detection metrics in Section 4 are reported at that event level.</w:t>
      </w:r>
    </w:p>
    <w:p>
      <w:pPr>
        <w:pStyle w:val="Heading1"/>
        <w:spacing w:after="140" w:before="320"/>
      </w:pPr>
      <w:r>
        <w:rPr>
          <w:b/>
          <w:bCs/>
          <w:color w:val="1a1a2e"/>
          <w:sz w:val="30"/>
          <w:szCs w:val="30"/>
        </w:rPr>
        <w:t xml:space="preserve">4  Evaluation</w:t>
      </w:r>
    </w:p>
    <w:p>
      <w:pPr>
        <w:spacing w:after="120" w:line="276"/>
      </w:pPr>
      <w:r>
        <w:rPr>
          <w:color w:val="222222"/>
          <w:sz w:val="21"/>
          <w:szCs w:val="21"/>
        </w:rPr>
        <w:t xml:space="preserve">All metrics use a </w:t>
      </w:r>
      <w:r>
        <w:rPr>
          <w:b/>
          <w:bCs/>
          <w:color w:val="222222"/>
          <w:sz w:val="21"/>
          <w:szCs w:val="21"/>
        </w:rPr>
        <w:t xml:space="preserve">temporal split</w:t>
      </w:r>
      <w:r>
        <w:rPr>
          <w:color w:val="222222"/>
          <w:sz w:val="21"/>
          <w:szCs w:val="21"/>
        </w:rPr>
        <w:t xml:space="preserve"> — the model trains on the first 70% of the timeline and is evaluated on the final 30% — so results reflect genuine forward-in-time generalisation, not random shuffling. A subset of entities is additionally held out of training entirely to create true cold-start cases.</w:t>
      </w:r>
    </w:p>
    <w:p>
      <w:pPr>
        <w:pStyle w:val="Heading2"/>
        <w:spacing w:after="100" w:before="220"/>
      </w:pPr>
      <w:r>
        <w:rPr>
          <w:b/>
          <w:bCs/>
          <w:color w:val="0f3460"/>
          <w:sz w:val="24"/>
          <w:szCs w:val="24"/>
        </w:rPr>
        <w:t xml:space="preserve">4.1  Detection on imbalanced labels</w:t>
      </w:r>
    </w:p>
    <w:p>
      <w:pPr>
        <w:spacing w:after="120" w:line="276"/>
      </w:pPr>
      <w:r>
        <w:rPr>
          <w:color w:val="222222"/>
          <w:sz w:val="21"/>
          <w:szCs w:val="21"/>
        </w:rPr>
        <w:t xml:space="preserve">The LSTM detector produces a per-event anomaly score (window scores mapped to events, Section 3.3). On the held-out test set it achieves ROC-AUC 0.891 and PR-AUC 0.354 against a 2.74% positive base rate. Because positives are rare, PR-AUC is the more informative measure: at 0.354 it is roughly 13× above the 0.0274 no-skill baseline.</w:t>
      </w:r>
    </w:p>
    <w:tbl>
      <w:tblPr>
        <w:tblW w:type="dxa" w:w="7400"/>
        <w:tblBorders>
          <w:top w:val="single" w:color="d1d5db" w:sz="2"/>
          <w:left w:val="none"/>
          <w:bottom w:val="single" w:color="d1d5db" w:sz="2"/>
          <w:right w:val="none"/>
          <w:insideH w:val="single" w:color="e5e7eb" w:sz="1"/>
          <w:insideV w:val="none"/>
        </w:tblBorders>
      </w:tblPr>
      <w:tblGrid>
        <w:gridCol w:w="3000"/>
        <w:gridCol w:w="2200"/>
        <w:gridCol w:w="2200"/>
      </w:tblGrid>
      <w:tr>
        <w:trPr>
          <w:tblHeader/>
        </w:trPr>
        <w:tc>
          <w:tcPr>
            <w:tcW w:type="dxa" w:w="3000"/>
            <w:shd w:fill="0f3460" w:val="clear"/>
            <w:tcMar>
              <w:top w:type="dxa" w:w="60"/>
              <w:left w:type="dxa" w:w="100"/>
              <w:bottom w:type="dxa" w:w="60"/>
              <w:right w:type="dxa" w:w="100"/>
            </w:tcMar>
          </w:tcPr>
          <w:p>
            <w:r>
              <w:rPr>
                <w:b/>
                <w:bCs/>
                <w:color w:val="FFFFFF"/>
                <w:sz w:val="19"/>
                <w:szCs w:val="19"/>
              </w:rPr>
              <w:t xml:space="preserve">Metric</w:t>
            </w:r>
          </w:p>
        </w:tc>
        <w:tc>
          <w:tcPr>
            <w:tcW w:type="dxa" w:w="2200"/>
            <w:shd w:fill="0f3460" w:val="clear"/>
            <w:tcMar>
              <w:top w:type="dxa" w:w="60"/>
              <w:left w:type="dxa" w:w="100"/>
              <w:bottom w:type="dxa" w:w="60"/>
              <w:right w:type="dxa" w:w="100"/>
            </w:tcMar>
          </w:tcPr>
          <w:p>
            <w:r>
              <w:rPr>
                <w:b/>
                <w:bCs/>
                <w:color w:val="FFFFFF"/>
                <w:sz w:val="19"/>
                <w:szCs w:val="19"/>
              </w:rPr>
              <w:t xml:space="preserve">Value</w:t>
            </w:r>
          </w:p>
        </w:tc>
        <w:tc>
          <w:tcPr>
            <w:tcW w:type="dxa" w:w="2200"/>
            <w:shd w:fill="0f3460" w:val="clear"/>
            <w:tcMar>
              <w:top w:type="dxa" w:w="60"/>
              <w:left w:type="dxa" w:w="100"/>
              <w:bottom w:type="dxa" w:w="60"/>
              <w:right w:type="dxa" w:w="100"/>
            </w:tcMar>
          </w:tcPr>
          <w:p>
            <w:r>
              <w:rPr>
                <w:b/>
                <w:bCs/>
                <w:color w:val="FFFFFF"/>
                <w:sz w:val="19"/>
                <w:szCs w:val="19"/>
              </w:rPr>
              <w:t xml:space="preserve">Baseline</w:t>
            </w:r>
          </w:p>
        </w:tc>
      </w:tr>
      <w:tr>
        <w:tc>
          <w:tcPr>
            <w:tcW w:type="dxa" w:w="3000"/>
            <w:shd w:fill="FFFFFF" w:val="clear"/>
            <w:tcMar>
              <w:top w:type="dxa" w:w="50"/>
              <w:left w:type="dxa" w:w="100"/>
              <w:bottom w:type="dxa" w:w="50"/>
              <w:right w:type="dxa" w:w="100"/>
            </w:tcMar>
          </w:tcPr>
          <w:p>
            <w:r>
              <w:rPr>
                <w:b/>
                <w:bCs/>
                <w:color w:val="222222"/>
                <w:sz w:val="19"/>
                <w:szCs w:val="19"/>
              </w:rPr>
              <w:t xml:space="preserve">Positive rate</w:t>
            </w:r>
          </w:p>
        </w:tc>
        <w:tc>
          <w:tcPr>
            <w:tcW w:type="dxa" w:w="2200"/>
            <w:shd w:fill="FFFFFF" w:val="clear"/>
            <w:tcMar>
              <w:top w:type="dxa" w:w="50"/>
              <w:left w:type="dxa" w:w="100"/>
              <w:bottom w:type="dxa" w:w="50"/>
              <w:right w:type="dxa" w:w="100"/>
            </w:tcMar>
          </w:tcPr>
          <w:p>
            <w:r>
              <w:rPr>
                <w:b w:val="false"/>
                <w:bCs w:val="false"/>
                <w:color w:val="222222"/>
                <w:sz w:val="19"/>
                <w:szCs w:val="19"/>
              </w:rPr>
              <w:t xml:space="preserve">2.74%</w:t>
            </w:r>
          </w:p>
        </w:tc>
        <w:tc>
          <w:tcPr>
            <w:tcW w:type="dxa" w:w="2200"/>
            <w:shd w:fill="FFFFFF" w:val="clear"/>
            <w:tcMar>
              <w:top w:type="dxa" w:w="50"/>
              <w:left w:type="dxa" w:w="100"/>
              <w:bottom w:type="dxa" w:w="50"/>
              <w:right w:type="dxa" w:w="100"/>
            </w:tcMar>
          </w:tcPr>
          <w:p>
            <w:r>
              <w:rPr>
                <w:b w:val="false"/>
                <w:bCs w:val="false"/>
                <w:color w:val="222222"/>
                <w:sz w:val="19"/>
                <w:szCs w:val="19"/>
              </w:rPr>
              <w:t xml:space="preserve">—</w:t>
            </w:r>
          </w:p>
        </w:tc>
      </w:tr>
      <w:tr>
        <w:tc>
          <w:tcPr>
            <w:tcW w:type="dxa" w:w="3000"/>
            <w:shd w:fill="f1f3f9" w:val="clear"/>
            <w:tcMar>
              <w:top w:type="dxa" w:w="50"/>
              <w:left w:type="dxa" w:w="100"/>
              <w:bottom w:type="dxa" w:w="50"/>
              <w:right w:type="dxa" w:w="100"/>
            </w:tcMar>
          </w:tcPr>
          <w:p>
            <w:r>
              <w:rPr>
                <w:b/>
                <w:bCs/>
                <w:color w:val="222222"/>
                <w:sz w:val="19"/>
                <w:szCs w:val="19"/>
              </w:rPr>
              <w:t xml:space="preserve">ROC-AUC</w:t>
            </w:r>
          </w:p>
        </w:tc>
        <w:tc>
          <w:tcPr>
            <w:tcW w:type="dxa" w:w="2200"/>
            <w:shd w:fill="f1f3f9" w:val="clear"/>
            <w:tcMar>
              <w:top w:type="dxa" w:w="50"/>
              <w:left w:type="dxa" w:w="100"/>
              <w:bottom w:type="dxa" w:w="50"/>
              <w:right w:type="dxa" w:w="100"/>
            </w:tcMar>
          </w:tcPr>
          <w:p>
            <w:r>
              <w:rPr>
                <w:b w:val="false"/>
                <w:bCs w:val="false"/>
                <w:color w:val="222222"/>
                <w:sz w:val="19"/>
                <w:szCs w:val="19"/>
              </w:rPr>
              <w:t xml:space="preserve">0.891</w:t>
            </w:r>
          </w:p>
        </w:tc>
        <w:tc>
          <w:tcPr>
            <w:tcW w:type="dxa" w:w="2200"/>
            <w:shd w:fill="f1f3f9" w:val="clear"/>
            <w:tcMar>
              <w:top w:type="dxa" w:w="50"/>
              <w:left w:type="dxa" w:w="100"/>
              <w:bottom w:type="dxa" w:w="50"/>
              <w:right w:type="dxa" w:w="100"/>
            </w:tcMar>
          </w:tcPr>
          <w:p>
            <w:r>
              <w:rPr>
                <w:b w:val="false"/>
                <w:bCs w:val="false"/>
                <w:color w:val="222222"/>
                <w:sz w:val="19"/>
                <w:szCs w:val="19"/>
              </w:rPr>
              <w:t xml:space="preserve">0.500</w:t>
            </w:r>
          </w:p>
        </w:tc>
      </w:tr>
      <w:tr>
        <w:tc>
          <w:tcPr>
            <w:tcW w:type="dxa" w:w="3000"/>
            <w:shd w:fill="FFFFFF" w:val="clear"/>
            <w:tcMar>
              <w:top w:type="dxa" w:w="50"/>
              <w:left w:type="dxa" w:w="100"/>
              <w:bottom w:type="dxa" w:w="50"/>
              <w:right w:type="dxa" w:w="100"/>
            </w:tcMar>
          </w:tcPr>
          <w:p>
            <w:r>
              <w:rPr>
                <w:b/>
                <w:bCs/>
                <w:color w:val="222222"/>
                <w:sz w:val="19"/>
                <w:szCs w:val="19"/>
              </w:rPr>
              <w:t xml:space="preserve">PR-AUC</w:t>
            </w:r>
          </w:p>
        </w:tc>
        <w:tc>
          <w:tcPr>
            <w:tcW w:type="dxa" w:w="2200"/>
            <w:shd w:fill="FFFFFF" w:val="clear"/>
            <w:tcMar>
              <w:top w:type="dxa" w:w="50"/>
              <w:left w:type="dxa" w:w="100"/>
              <w:bottom w:type="dxa" w:w="50"/>
              <w:right w:type="dxa" w:w="100"/>
            </w:tcMar>
          </w:tcPr>
          <w:p>
            <w:r>
              <w:rPr>
                <w:b w:val="false"/>
                <w:bCs w:val="false"/>
                <w:color w:val="222222"/>
                <w:sz w:val="19"/>
                <w:szCs w:val="19"/>
              </w:rPr>
              <w:t xml:space="preserve">0.354</w:t>
            </w:r>
          </w:p>
        </w:tc>
        <w:tc>
          <w:tcPr>
            <w:tcW w:type="dxa" w:w="2200"/>
            <w:shd w:fill="FFFFFF" w:val="clear"/>
            <w:tcMar>
              <w:top w:type="dxa" w:w="50"/>
              <w:left w:type="dxa" w:w="100"/>
              <w:bottom w:type="dxa" w:w="50"/>
              <w:right w:type="dxa" w:w="100"/>
            </w:tcMar>
          </w:tcPr>
          <w:p>
            <w:r>
              <w:rPr>
                <w:b w:val="false"/>
                <w:bCs w:val="false"/>
                <w:color w:val="222222"/>
                <w:sz w:val="19"/>
                <w:szCs w:val="19"/>
              </w:rPr>
              <w:t xml:space="preserve">0.0274</w:t>
            </w:r>
          </w:p>
        </w:tc>
      </w:tr>
      <w:tr>
        <w:tc>
          <w:tcPr>
            <w:tcW w:type="dxa" w:w="3000"/>
            <w:shd w:fill="f1f3f9" w:val="clear"/>
            <w:tcMar>
              <w:top w:type="dxa" w:w="50"/>
              <w:left w:type="dxa" w:w="100"/>
              <w:bottom w:type="dxa" w:w="50"/>
              <w:right w:type="dxa" w:w="100"/>
            </w:tcMar>
          </w:tcPr>
          <w:p>
            <w:r>
              <w:rPr>
                <w:b/>
                <w:bCs/>
                <w:color w:val="222222"/>
                <w:sz w:val="19"/>
                <w:szCs w:val="19"/>
              </w:rPr>
              <w:t xml:space="preserve">Top-1% precision</w:t>
            </w:r>
          </w:p>
        </w:tc>
        <w:tc>
          <w:tcPr>
            <w:tcW w:type="dxa" w:w="2200"/>
            <w:shd w:fill="f1f3f9" w:val="clear"/>
            <w:tcMar>
              <w:top w:type="dxa" w:w="50"/>
              <w:left w:type="dxa" w:w="100"/>
              <w:bottom w:type="dxa" w:w="50"/>
              <w:right w:type="dxa" w:w="100"/>
            </w:tcMar>
          </w:tcPr>
          <w:p>
            <w:r>
              <w:rPr>
                <w:b w:val="false"/>
                <w:bCs w:val="false"/>
                <w:color w:val="222222"/>
                <w:sz w:val="19"/>
                <w:szCs w:val="19"/>
              </w:rPr>
              <w:t xml:space="preserve">0.557</w:t>
            </w:r>
          </w:p>
        </w:tc>
        <w:tc>
          <w:tcPr>
            <w:tcW w:type="dxa" w:w="2200"/>
            <w:shd w:fill="f1f3f9" w:val="clear"/>
            <w:tcMar>
              <w:top w:type="dxa" w:w="50"/>
              <w:left w:type="dxa" w:w="100"/>
              <w:bottom w:type="dxa" w:w="50"/>
              <w:right w:type="dxa" w:w="100"/>
            </w:tcMar>
          </w:tcPr>
          <w:p>
            <w:r>
              <w:rPr>
                <w:b w:val="false"/>
                <w:bCs w:val="false"/>
                <w:color w:val="222222"/>
                <w:sz w:val="19"/>
                <w:szCs w:val="19"/>
              </w:rPr>
              <w:t xml:space="preserve">—</w:t>
            </w:r>
          </w:p>
        </w:tc>
      </w:tr>
      <w:tr>
        <w:tc>
          <w:tcPr>
            <w:tcW w:type="dxa" w:w="3000"/>
            <w:shd w:fill="FFFFFF" w:val="clear"/>
            <w:tcMar>
              <w:top w:type="dxa" w:w="50"/>
              <w:left w:type="dxa" w:w="100"/>
              <w:bottom w:type="dxa" w:w="50"/>
              <w:right w:type="dxa" w:w="100"/>
            </w:tcMar>
          </w:tcPr>
          <w:p>
            <w:r>
              <w:rPr>
                <w:b/>
                <w:bCs/>
                <w:color w:val="222222"/>
                <w:sz w:val="19"/>
                <w:szCs w:val="19"/>
              </w:rPr>
              <w:t xml:space="preserve">Top-1% FPR</w:t>
            </w:r>
          </w:p>
        </w:tc>
        <w:tc>
          <w:tcPr>
            <w:tcW w:type="dxa" w:w="2200"/>
            <w:shd w:fill="FFFFFF" w:val="clear"/>
            <w:tcMar>
              <w:top w:type="dxa" w:w="50"/>
              <w:left w:type="dxa" w:w="100"/>
              <w:bottom w:type="dxa" w:w="50"/>
              <w:right w:type="dxa" w:w="100"/>
            </w:tcMar>
          </w:tcPr>
          <w:p>
            <w:r>
              <w:rPr>
                <w:b w:val="false"/>
                <w:bCs w:val="false"/>
                <w:color w:val="222222"/>
                <w:sz w:val="19"/>
                <w:szCs w:val="19"/>
              </w:rPr>
              <w:t xml:space="preserve">0.0046</w:t>
            </w:r>
          </w:p>
        </w:tc>
        <w:tc>
          <w:tcPr>
            <w:tcW w:type="dxa" w:w="2200"/>
            <w:shd w:fill="FFFFFF" w:val="clear"/>
            <w:tcMar>
              <w:top w:type="dxa" w:w="50"/>
              <w:left w:type="dxa" w:w="100"/>
              <w:bottom w:type="dxa" w:w="50"/>
              <w:right w:type="dxa" w:w="100"/>
            </w:tcMar>
          </w:tcPr>
          <w:p>
            <w:r>
              <w:rPr>
                <w:b w:val="false"/>
                <w:bCs w:val="false"/>
                <w:color w:val="222222"/>
                <w:sz w:val="19"/>
                <w:szCs w:val="19"/>
              </w:rPr>
              <w:t xml:space="preserve">—</w:t>
            </w:r>
          </w:p>
        </w:tc>
      </w:tr>
    </w:tbl>
    <w:p>
      <w:pPr>
        <w:spacing w:after="200"/>
        <w:jc w:val="center"/>
      </w:pPr>
      <w:r>
        <w:rPr>
          <w:i/>
          <w:iCs/>
          <w:color w:val="6b7280"/>
          <w:sz w:val="18"/>
          <w:szCs w:val="18"/>
        </w:rPr>
        <w:t xml:space="preserve">Table 7 — Event-level detection metrics on the imbalanced held-out test set.</w:t>
      </w:r>
    </w:p>
    <w:p>
      <w:pPr>
        <w:spacing w:after="120" w:line="276"/>
      </w:pPr>
      <w:r>
        <w:rPr>
          <w:color w:val="222222"/>
          <w:sz w:val="21"/>
          <w:szCs w:val="21"/>
        </w:rPr>
        <w:t xml:space="preserve">PR-AUC on a 2.74% positive base is inherently demanding — a small absolute value can still represent strong skill relative to the baseline. The detector's ROC-AUC of 0.891 confirms it separates anomalous from normal events well across thresholds.</w:t>
      </w:r>
    </w:p>
    <w:p>
      <w:pPr>
        <w:spacing w:after="60" w:before="120"/>
        <w:jc w:val="center"/>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133600"/>
                    </a:xfrm>
                    <a:prstGeom prst="rect">
                      <a:avLst/>
                    </a:prstGeom>
                  </pic:spPr>
                </pic:pic>
              </a:graphicData>
            </a:graphic>
          </wp:inline>
        </w:drawing>
      </w:r>
    </w:p>
    <w:p>
      <w:pPr>
        <w:spacing w:after="200"/>
        <w:jc w:val="center"/>
      </w:pPr>
      <w:r>
        <w:rPr>
          <w:i/>
          <w:iCs/>
          <w:color w:val="6b7280"/>
          <w:sz w:val="18"/>
          <w:szCs w:val="18"/>
        </w:rPr>
        <w:t xml:space="preserve">Figure 1 — Event-level ROC and Precision-Recall curves on the imbalanced test set.</w:t>
      </w:r>
    </w:p>
    <w:p>
      <w:pPr>
        <w:pStyle w:val="Heading2"/>
        <w:spacing w:after="100" w:before="220"/>
      </w:pPr>
      <w:r>
        <w:rPr>
          <w:b/>
          <w:bCs/>
          <w:color w:val="0f3460"/>
          <w:sz w:val="24"/>
          <w:szCs w:val="24"/>
        </w:rPr>
        <w:t xml:space="preserve">4.2  False positives at a realistic alert budget</w:t>
      </w:r>
    </w:p>
    <w:p>
      <w:pPr>
        <w:spacing w:after="120" w:line="276"/>
      </w:pPr>
      <w:r>
        <w:rPr>
          <w:color w:val="222222"/>
          <w:sz w:val="21"/>
          <w:szCs w:val="21"/>
        </w:rPr>
        <w:t xml:space="preserve">A SOC analyst cannot review every event, so performance is reported at a top-1% alert budget (k=422 of 42,225 events). Within that budget precision is 0.557 (235 true positives, 187 false positives) at an FPR of 0.0046. Recall at this budget is 0.203: because attacks make up 2.74% of events, a 1% budget cannot physically contain them all — the budget curve below shows recall rising steeply as the budget widens toward 3%.</w:t>
      </w:r>
    </w:p>
    <w:p>
      <w:pPr>
        <w:spacing w:after="60" w:before="120"/>
        <w:jc w:val="center"/>
      </w:pPr>
      <w:r>
        <w:drawing>
          <wp:inline distT="0" distB="0" distL="0" distR="0">
            <wp:extent cx="4572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400300"/>
                    </a:xfrm>
                    <a:prstGeom prst="rect">
                      <a:avLst/>
                    </a:prstGeom>
                  </pic:spPr>
                </pic:pic>
              </a:graphicData>
            </a:graphic>
          </wp:inline>
        </w:drawing>
      </w:r>
    </w:p>
    <w:p>
      <w:pPr>
        <w:spacing w:after="200"/>
        <w:jc w:val="center"/>
      </w:pPr>
      <w:r>
        <w:rPr>
          <w:i/>
          <w:iCs/>
          <w:color w:val="6b7280"/>
          <w:sz w:val="18"/>
          <w:szCs w:val="18"/>
        </w:rPr>
        <w:t xml:space="preserve">Figure 2 — Precision, recall and FPR as the analyst alert budget widens. The 1% budget is intentionally conservative.</w:t>
      </w:r>
    </w:p>
    <w:p>
      <w:pPr>
        <w:pStyle w:val="Heading2"/>
        <w:spacing w:after="100" w:before="220"/>
      </w:pPr>
      <w:r>
        <w:rPr>
          <w:b/>
          <w:bCs/>
          <w:color w:val="0f3460"/>
          <w:sz w:val="24"/>
          <w:szCs w:val="24"/>
        </w:rPr>
        <w:t xml:space="preserve">4.3  Attack-type classification</w:t>
      </w:r>
    </w:p>
    <w:p>
      <w:pPr>
        <w:spacing w:after="60" w:before="120"/>
        <w:jc w:val="center"/>
      </w:pPr>
      <w:r>
        <w:drawing>
          <wp:inline distT="0" distB="0" distL="0" distR="0">
            <wp:extent cx="5143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162175"/>
                    </a:xfrm>
                    <a:prstGeom prst="rect">
                      <a:avLst/>
                    </a:prstGeom>
                  </pic:spPr>
                </pic:pic>
              </a:graphicData>
            </a:graphic>
          </wp:inline>
        </w:drawing>
      </w:r>
    </w:p>
    <w:p>
      <w:pPr>
        <w:spacing w:after="200"/>
        <w:jc w:val="center"/>
      </w:pPr>
      <w:r>
        <w:rPr>
          <w:i/>
          <w:iCs/>
          <w:color w:val="6b7280"/>
          <w:sz w:val="18"/>
          <w:szCs w:val="18"/>
        </w:rPr>
        <w:t xml:space="preserve">Figure 3 — Per-attack precision, recall, and F1.</w:t>
      </w:r>
    </w:p>
    <w:tbl>
      <w:tblPr>
        <w:tblW w:type="dxa" w:w="8600"/>
        <w:tblBorders>
          <w:top w:val="single" w:color="d1d5db" w:sz="2"/>
          <w:left w:val="none"/>
          <w:bottom w:val="single" w:color="d1d5db" w:sz="2"/>
          <w:right w:val="none"/>
          <w:insideH w:val="single" w:color="e5e7eb" w:sz="1"/>
          <w:insideV w:val="none"/>
        </w:tblBorders>
      </w:tblPr>
      <w:tblGrid>
        <w:gridCol w:w="2800"/>
        <w:gridCol w:w="1500"/>
        <w:gridCol w:w="1400"/>
        <w:gridCol w:w="1400"/>
        <w:gridCol w:w="1500"/>
      </w:tblGrid>
      <w:tr>
        <w:trPr>
          <w:tblHeader/>
        </w:trPr>
        <w:tc>
          <w:tcPr>
            <w:tcW w:type="dxa" w:w="2800"/>
            <w:shd w:fill="0f3460" w:val="clear"/>
            <w:tcMar>
              <w:top w:type="dxa" w:w="60"/>
              <w:left w:type="dxa" w:w="100"/>
              <w:bottom w:type="dxa" w:w="60"/>
              <w:right w:type="dxa" w:w="100"/>
            </w:tcMar>
          </w:tcPr>
          <w:p>
            <w:r>
              <w:rPr>
                <w:b/>
                <w:bCs/>
                <w:color w:val="FFFFFF"/>
                <w:sz w:val="19"/>
                <w:szCs w:val="19"/>
              </w:rPr>
              <w:t xml:space="preserve">Attack</w:t>
            </w:r>
          </w:p>
        </w:tc>
        <w:tc>
          <w:tcPr>
            <w:tcW w:type="dxa" w:w="1500"/>
            <w:shd w:fill="0f3460" w:val="clear"/>
            <w:tcMar>
              <w:top w:type="dxa" w:w="60"/>
              <w:left w:type="dxa" w:w="100"/>
              <w:bottom w:type="dxa" w:w="60"/>
              <w:right w:type="dxa" w:w="100"/>
            </w:tcMar>
          </w:tcPr>
          <w:p>
            <w:r>
              <w:rPr>
                <w:b/>
                <w:bCs/>
                <w:color w:val="FFFFFF"/>
                <w:sz w:val="19"/>
                <w:szCs w:val="19"/>
              </w:rPr>
              <w:t xml:space="preserve">Precision</w:t>
            </w:r>
          </w:p>
        </w:tc>
        <w:tc>
          <w:tcPr>
            <w:tcW w:type="dxa" w:w="1400"/>
            <w:shd w:fill="0f3460" w:val="clear"/>
            <w:tcMar>
              <w:top w:type="dxa" w:w="60"/>
              <w:left w:type="dxa" w:w="100"/>
              <w:bottom w:type="dxa" w:w="60"/>
              <w:right w:type="dxa" w:w="100"/>
            </w:tcMar>
          </w:tcPr>
          <w:p>
            <w:r>
              <w:rPr>
                <w:b/>
                <w:bCs/>
                <w:color w:val="FFFFFF"/>
                <w:sz w:val="19"/>
                <w:szCs w:val="19"/>
              </w:rPr>
              <w:t xml:space="preserve">Recall</w:t>
            </w:r>
          </w:p>
        </w:tc>
        <w:tc>
          <w:tcPr>
            <w:tcW w:type="dxa" w:w="1400"/>
            <w:shd w:fill="0f3460" w:val="clear"/>
            <w:tcMar>
              <w:top w:type="dxa" w:w="60"/>
              <w:left w:type="dxa" w:w="100"/>
              <w:bottom w:type="dxa" w:w="60"/>
              <w:right w:type="dxa" w:w="100"/>
            </w:tcMar>
          </w:tcPr>
          <w:p>
            <w:r>
              <w:rPr>
                <w:b/>
                <w:bCs/>
                <w:color w:val="FFFFFF"/>
                <w:sz w:val="19"/>
                <w:szCs w:val="19"/>
              </w:rPr>
              <w:t xml:space="preserve">F1</w:t>
            </w:r>
          </w:p>
        </w:tc>
        <w:tc>
          <w:tcPr>
            <w:tcW w:type="dxa" w:w="1500"/>
            <w:shd w:fill="0f3460" w:val="clear"/>
            <w:tcMar>
              <w:top w:type="dxa" w:w="60"/>
              <w:left w:type="dxa" w:w="100"/>
              <w:bottom w:type="dxa" w:w="60"/>
              <w:right w:type="dxa" w:w="100"/>
            </w:tcMar>
          </w:tcPr>
          <w:p>
            <w:r>
              <w:rPr>
                <w:b/>
                <w:bCs/>
                <w:color w:val="FFFFFF"/>
                <w:sz w:val="19"/>
                <w:szCs w:val="19"/>
              </w:rPr>
              <w:t xml:space="preserve">n</w:t>
            </w:r>
          </w:p>
        </w:tc>
      </w:tr>
      <w:tr>
        <w:tc>
          <w:tcPr>
            <w:tcW w:type="dxa" w:w="2800"/>
            <w:shd w:fill="FFFFFF" w:val="clear"/>
            <w:tcMar>
              <w:top w:type="dxa" w:w="50"/>
              <w:left w:type="dxa" w:w="100"/>
              <w:bottom w:type="dxa" w:w="50"/>
              <w:right w:type="dxa" w:w="100"/>
            </w:tcMar>
          </w:tcPr>
          <w:p>
            <w:r>
              <w:rPr>
                <w:b/>
                <w:bCs/>
                <w:color w:val="222222"/>
                <w:sz w:val="19"/>
                <w:szCs w:val="19"/>
              </w:rPr>
              <w:t xml:space="preserve">brute force</w:t>
            </w:r>
          </w:p>
        </w:tc>
        <w:tc>
          <w:tcPr>
            <w:tcW w:type="dxa" w:w="1500"/>
            <w:shd w:fill="FFFFFF" w:val="clear"/>
            <w:tcMar>
              <w:top w:type="dxa" w:w="50"/>
              <w:left w:type="dxa" w:w="100"/>
              <w:bottom w:type="dxa" w:w="50"/>
              <w:right w:type="dxa" w:w="100"/>
            </w:tcMar>
          </w:tcPr>
          <w:p>
            <w:r>
              <w:rPr>
                <w:b w:val="false"/>
                <w:bCs w:val="false"/>
                <w:color w:val="222222"/>
                <w:sz w:val="19"/>
                <w:szCs w:val="19"/>
              </w:rPr>
              <w:t xml:space="preserve">1</w:t>
            </w:r>
          </w:p>
        </w:tc>
        <w:tc>
          <w:tcPr>
            <w:tcW w:type="dxa" w:w="1400"/>
            <w:shd w:fill="FFFFFF" w:val="clear"/>
            <w:tcMar>
              <w:top w:type="dxa" w:w="50"/>
              <w:left w:type="dxa" w:w="100"/>
              <w:bottom w:type="dxa" w:w="50"/>
              <w:right w:type="dxa" w:w="100"/>
            </w:tcMar>
          </w:tcPr>
          <w:p>
            <w:r>
              <w:rPr>
                <w:b w:val="false"/>
                <w:bCs w:val="false"/>
                <w:color w:val="222222"/>
                <w:sz w:val="19"/>
                <w:szCs w:val="19"/>
              </w:rPr>
              <w:t xml:space="preserve">0.995</w:t>
            </w:r>
          </w:p>
        </w:tc>
        <w:tc>
          <w:tcPr>
            <w:tcW w:type="dxa" w:w="1400"/>
            <w:shd w:fill="FFFFFF" w:val="clear"/>
            <w:tcMar>
              <w:top w:type="dxa" w:w="50"/>
              <w:left w:type="dxa" w:w="100"/>
              <w:bottom w:type="dxa" w:w="50"/>
              <w:right w:type="dxa" w:w="100"/>
            </w:tcMar>
          </w:tcPr>
          <w:p>
            <w:r>
              <w:rPr>
                <w:b w:val="false"/>
                <w:bCs w:val="false"/>
                <w:color w:val="222222"/>
                <w:sz w:val="19"/>
                <w:szCs w:val="19"/>
              </w:rPr>
              <w:t xml:space="preserve">0.998</w:t>
            </w:r>
          </w:p>
        </w:tc>
        <w:tc>
          <w:tcPr>
            <w:tcW w:type="dxa" w:w="1500"/>
            <w:shd w:fill="FFFFFF" w:val="clear"/>
            <w:tcMar>
              <w:top w:type="dxa" w:w="50"/>
              <w:left w:type="dxa" w:w="100"/>
              <w:bottom w:type="dxa" w:w="50"/>
              <w:right w:type="dxa" w:w="100"/>
            </w:tcMar>
          </w:tcPr>
          <w:p>
            <w:r>
              <w:rPr>
                <w:b w:val="false"/>
                <w:bCs w:val="false"/>
                <w:color w:val="222222"/>
                <w:sz w:val="19"/>
                <w:szCs w:val="19"/>
              </w:rPr>
              <w:t xml:space="preserve">220</w:t>
            </w:r>
          </w:p>
        </w:tc>
      </w:tr>
      <w:tr>
        <w:tc>
          <w:tcPr>
            <w:tcW w:type="dxa" w:w="2800"/>
            <w:shd w:fill="f1f3f9" w:val="clear"/>
            <w:tcMar>
              <w:top w:type="dxa" w:w="50"/>
              <w:left w:type="dxa" w:w="100"/>
              <w:bottom w:type="dxa" w:w="50"/>
              <w:right w:type="dxa" w:w="100"/>
            </w:tcMar>
          </w:tcPr>
          <w:p>
            <w:r>
              <w:rPr>
                <w:b/>
                <w:bCs/>
                <w:color w:val="222222"/>
                <w:sz w:val="19"/>
                <w:szCs w:val="19"/>
              </w:rPr>
              <w:t xml:space="preserve">credential stuffing</w:t>
            </w:r>
          </w:p>
        </w:tc>
        <w:tc>
          <w:tcPr>
            <w:tcW w:type="dxa" w:w="1500"/>
            <w:shd w:fill="f1f3f9" w:val="clear"/>
            <w:tcMar>
              <w:top w:type="dxa" w:w="50"/>
              <w:left w:type="dxa" w:w="100"/>
              <w:bottom w:type="dxa" w:w="50"/>
              <w:right w:type="dxa" w:w="100"/>
            </w:tcMar>
          </w:tcPr>
          <w:p>
            <w:r>
              <w:rPr>
                <w:b w:val="false"/>
                <w:bCs w:val="false"/>
                <w:color w:val="222222"/>
                <w:sz w:val="19"/>
                <w:szCs w:val="19"/>
              </w:rPr>
              <w:t xml:space="preserve">1</w:t>
            </w:r>
          </w:p>
        </w:tc>
        <w:tc>
          <w:tcPr>
            <w:tcW w:type="dxa" w:w="1400"/>
            <w:shd w:fill="f1f3f9" w:val="clear"/>
            <w:tcMar>
              <w:top w:type="dxa" w:w="50"/>
              <w:left w:type="dxa" w:w="100"/>
              <w:bottom w:type="dxa" w:w="50"/>
              <w:right w:type="dxa" w:w="100"/>
            </w:tcMar>
          </w:tcPr>
          <w:p>
            <w:r>
              <w:rPr>
                <w:b w:val="false"/>
                <w:bCs w:val="false"/>
                <w:color w:val="222222"/>
                <w:sz w:val="19"/>
                <w:szCs w:val="19"/>
              </w:rPr>
              <w:t xml:space="preserve">1</w:t>
            </w:r>
          </w:p>
        </w:tc>
        <w:tc>
          <w:tcPr>
            <w:tcW w:type="dxa" w:w="1400"/>
            <w:shd w:fill="f1f3f9" w:val="clear"/>
            <w:tcMar>
              <w:top w:type="dxa" w:w="50"/>
              <w:left w:type="dxa" w:w="100"/>
              <w:bottom w:type="dxa" w:w="50"/>
              <w:right w:type="dxa" w:w="100"/>
            </w:tcMar>
          </w:tcPr>
          <w:p>
            <w:r>
              <w:rPr>
                <w:b w:val="false"/>
                <w:bCs w:val="false"/>
                <w:color w:val="222222"/>
                <w:sz w:val="19"/>
                <w:szCs w:val="19"/>
              </w:rPr>
              <w:t xml:space="preserve">1</w:t>
            </w:r>
          </w:p>
        </w:tc>
        <w:tc>
          <w:tcPr>
            <w:tcW w:type="dxa" w:w="1500"/>
            <w:shd w:fill="f1f3f9" w:val="clear"/>
            <w:tcMar>
              <w:top w:type="dxa" w:w="50"/>
              <w:left w:type="dxa" w:w="100"/>
              <w:bottom w:type="dxa" w:w="50"/>
              <w:right w:type="dxa" w:w="100"/>
            </w:tcMar>
          </w:tcPr>
          <w:p>
            <w:r>
              <w:rPr>
                <w:b w:val="false"/>
                <w:bCs w:val="false"/>
                <w:color w:val="222222"/>
                <w:sz w:val="19"/>
                <w:szCs w:val="19"/>
              </w:rPr>
              <w:t xml:space="preserve">185</w:t>
            </w:r>
          </w:p>
        </w:tc>
      </w:tr>
      <w:tr>
        <w:tc>
          <w:tcPr>
            <w:tcW w:type="dxa" w:w="2800"/>
            <w:shd w:fill="FFFFFF" w:val="clear"/>
            <w:tcMar>
              <w:top w:type="dxa" w:w="50"/>
              <w:left w:type="dxa" w:w="100"/>
              <w:bottom w:type="dxa" w:w="50"/>
              <w:right w:type="dxa" w:w="100"/>
            </w:tcMar>
          </w:tcPr>
          <w:p>
            <w:r>
              <w:rPr>
                <w:b/>
                <w:bCs/>
                <w:color w:val="222222"/>
                <w:sz w:val="19"/>
                <w:szCs w:val="19"/>
              </w:rPr>
              <w:t xml:space="preserve">impossible travel</w:t>
            </w:r>
          </w:p>
        </w:tc>
        <w:tc>
          <w:tcPr>
            <w:tcW w:type="dxa" w:w="1500"/>
            <w:shd w:fill="FFFFFF" w:val="clear"/>
            <w:tcMar>
              <w:top w:type="dxa" w:w="50"/>
              <w:left w:type="dxa" w:w="100"/>
              <w:bottom w:type="dxa" w:w="50"/>
              <w:right w:type="dxa" w:w="100"/>
            </w:tcMar>
          </w:tcPr>
          <w:p>
            <w:r>
              <w:rPr>
                <w:b w:val="false"/>
                <w:bCs w:val="false"/>
                <w:color w:val="222222"/>
                <w:sz w:val="19"/>
                <w:szCs w:val="19"/>
              </w:rPr>
              <w:t xml:space="preserve">0.821</w:t>
            </w:r>
          </w:p>
        </w:tc>
        <w:tc>
          <w:tcPr>
            <w:tcW w:type="dxa" w:w="1400"/>
            <w:shd w:fill="FFFFFF" w:val="clear"/>
            <w:tcMar>
              <w:top w:type="dxa" w:w="50"/>
              <w:left w:type="dxa" w:w="100"/>
              <w:bottom w:type="dxa" w:w="50"/>
              <w:right w:type="dxa" w:w="100"/>
            </w:tcMar>
          </w:tcPr>
          <w:p>
            <w:r>
              <w:rPr>
                <w:b w:val="false"/>
                <w:bCs w:val="false"/>
                <w:color w:val="222222"/>
                <w:sz w:val="19"/>
                <w:szCs w:val="19"/>
              </w:rPr>
              <w:t xml:space="preserve">0.777</w:t>
            </w:r>
          </w:p>
        </w:tc>
        <w:tc>
          <w:tcPr>
            <w:tcW w:type="dxa" w:w="1400"/>
            <w:shd w:fill="FFFFFF" w:val="clear"/>
            <w:tcMar>
              <w:top w:type="dxa" w:w="50"/>
              <w:left w:type="dxa" w:w="100"/>
              <w:bottom w:type="dxa" w:w="50"/>
              <w:right w:type="dxa" w:w="100"/>
            </w:tcMar>
          </w:tcPr>
          <w:p>
            <w:r>
              <w:rPr>
                <w:b w:val="false"/>
                <w:bCs w:val="false"/>
                <w:color w:val="222222"/>
                <w:sz w:val="19"/>
                <w:szCs w:val="19"/>
              </w:rPr>
              <w:t xml:space="preserve">0.799</w:t>
            </w:r>
          </w:p>
        </w:tc>
        <w:tc>
          <w:tcPr>
            <w:tcW w:type="dxa" w:w="1500"/>
            <w:shd w:fill="FFFFFF" w:val="clear"/>
            <w:tcMar>
              <w:top w:type="dxa" w:w="50"/>
              <w:left w:type="dxa" w:w="100"/>
              <w:bottom w:type="dxa" w:w="50"/>
              <w:right w:type="dxa" w:w="100"/>
            </w:tcMar>
          </w:tcPr>
          <w:p>
            <w:r>
              <w:rPr>
                <w:b w:val="false"/>
                <w:bCs w:val="false"/>
                <w:color w:val="222222"/>
                <w:sz w:val="19"/>
                <w:szCs w:val="19"/>
              </w:rPr>
              <w:t xml:space="preserve">148</w:t>
            </w:r>
          </w:p>
        </w:tc>
      </w:tr>
      <w:tr>
        <w:tc>
          <w:tcPr>
            <w:tcW w:type="dxa" w:w="2800"/>
            <w:shd w:fill="f1f3f9" w:val="clear"/>
            <w:tcMar>
              <w:top w:type="dxa" w:w="50"/>
              <w:left w:type="dxa" w:w="100"/>
              <w:bottom w:type="dxa" w:w="50"/>
              <w:right w:type="dxa" w:w="100"/>
            </w:tcMar>
          </w:tcPr>
          <w:p>
            <w:r>
              <w:rPr>
                <w:b/>
                <w:bCs/>
                <w:color w:val="222222"/>
                <w:sz w:val="19"/>
                <w:szCs w:val="19"/>
              </w:rPr>
              <w:t xml:space="preserve">device spoofing</w:t>
            </w:r>
          </w:p>
        </w:tc>
        <w:tc>
          <w:tcPr>
            <w:tcW w:type="dxa" w:w="1500"/>
            <w:shd w:fill="f1f3f9" w:val="clear"/>
            <w:tcMar>
              <w:top w:type="dxa" w:w="50"/>
              <w:left w:type="dxa" w:w="100"/>
              <w:bottom w:type="dxa" w:w="50"/>
              <w:right w:type="dxa" w:w="100"/>
            </w:tcMar>
          </w:tcPr>
          <w:p>
            <w:r>
              <w:rPr>
                <w:b w:val="false"/>
                <w:bCs w:val="false"/>
                <w:color w:val="222222"/>
                <w:sz w:val="19"/>
                <w:szCs w:val="19"/>
              </w:rPr>
              <w:t xml:space="preserve">0.686</w:t>
            </w:r>
          </w:p>
        </w:tc>
        <w:tc>
          <w:tcPr>
            <w:tcW w:type="dxa" w:w="1400"/>
            <w:shd w:fill="f1f3f9" w:val="clear"/>
            <w:tcMar>
              <w:top w:type="dxa" w:w="50"/>
              <w:left w:type="dxa" w:w="100"/>
              <w:bottom w:type="dxa" w:w="50"/>
              <w:right w:type="dxa" w:w="100"/>
            </w:tcMar>
          </w:tcPr>
          <w:p>
            <w:r>
              <w:rPr>
                <w:b w:val="false"/>
                <w:bCs w:val="false"/>
                <w:color w:val="222222"/>
                <w:sz w:val="19"/>
                <w:szCs w:val="19"/>
              </w:rPr>
              <w:t xml:space="preserve">0.673</w:t>
            </w:r>
          </w:p>
        </w:tc>
        <w:tc>
          <w:tcPr>
            <w:tcW w:type="dxa" w:w="1400"/>
            <w:shd w:fill="f1f3f9" w:val="clear"/>
            <w:tcMar>
              <w:top w:type="dxa" w:w="50"/>
              <w:left w:type="dxa" w:w="100"/>
              <w:bottom w:type="dxa" w:w="50"/>
              <w:right w:type="dxa" w:w="100"/>
            </w:tcMar>
          </w:tcPr>
          <w:p>
            <w:r>
              <w:rPr>
                <w:b w:val="false"/>
                <w:bCs w:val="false"/>
                <w:color w:val="222222"/>
                <w:sz w:val="19"/>
                <w:szCs w:val="19"/>
              </w:rPr>
              <w:t xml:space="preserve">0.679</w:t>
            </w:r>
          </w:p>
        </w:tc>
        <w:tc>
          <w:tcPr>
            <w:tcW w:type="dxa" w:w="1500"/>
            <w:shd w:fill="f1f3f9" w:val="clear"/>
            <w:tcMar>
              <w:top w:type="dxa" w:w="50"/>
              <w:left w:type="dxa" w:w="100"/>
              <w:bottom w:type="dxa" w:w="50"/>
              <w:right w:type="dxa" w:w="100"/>
            </w:tcMar>
          </w:tcPr>
          <w:p>
            <w:r>
              <w:rPr>
                <w:b w:val="false"/>
                <w:bCs w:val="false"/>
                <w:color w:val="222222"/>
                <w:sz w:val="19"/>
                <w:szCs w:val="19"/>
              </w:rPr>
              <w:t xml:space="preserve">107</w:t>
            </w:r>
          </w:p>
        </w:tc>
      </w:tr>
      <w:tr>
        <w:tc>
          <w:tcPr>
            <w:tcW w:type="dxa" w:w="2800"/>
            <w:shd w:fill="FFFFFF" w:val="clear"/>
            <w:tcMar>
              <w:top w:type="dxa" w:w="50"/>
              <w:left w:type="dxa" w:w="100"/>
              <w:bottom w:type="dxa" w:w="50"/>
              <w:right w:type="dxa" w:w="100"/>
            </w:tcMar>
          </w:tcPr>
          <w:p>
            <w:r>
              <w:rPr>
                <w:b/>
                <w:bCs/>
                <w:color w:val="222222"/>
                <w:sz w:val="19"/>
                <w:szCs w:val="19"/>
              </w:rPr>
              <w:t xml:space="preserve">lateral movement</w:t>
            </w:r>
          </w:p>
        </w:tc>
        <w:tc>
          <w:tcPr>
            <w:tcW w:type="dxa" w:w="1500"/>
            <w:shd w:fill="FFFFFF" w:val="clear"/>
            <w:tcMar>
              <w:top w:type="dxa" w:w="50"/>
              <w:left w:type="dxa" w:w="100"/>
              <w:bottom w:type="dxa" w:w="50"/>
              <w:right w:type="dxa" w:w="100"/>
            </w:tcMar>
          </w:tcPr>
          <w:p>
            <w:r>
              <w:rPr>
                <w:b w:val="false"/>
                <w:bCs w:val="false"/>
                <w:color w:val="222222"/>
                <w:sz w:val="19"/>
                <w:szCs w:val="19"/>
              </w:rPr>
              <w:t xml:space="preserve">0.804</w:t>
            </w:r>
          </w:p>
        </w:tc>
        <w:tc>
          <w:tcPr>
            <w:tcW w:type="dxa" w:w="1400"/>
            <w:shd w:fill="FFFFFF" w:val="clear"/>
            <w:tcMar>
              <w:top w:type="dxa" w:w="50"/>
              <w:left w:type="dxa" w:w="100"/>
              <w:bottom w:type="dxa" w:w="50"/>
              <w:right w:type="dxa" w:w="100"/>
            </w:tcMar>
          </w:tcPr>
          <w:p>
            <w:r>
              <w:rPr>
                <w:b w:val="false"/>
                <w:bCs w:val="false"/>
                <w:color w:val="222222"/>
                <w:sz w:val="19"/>
                <w:szCs w:val="19"/>
              </w:rPr>
              <w:t xml:space="preserve">0.979</w:t>
            </w:r>
          </w:p>
        </w:tc>
        <w:tc>
          <w:tcPr>
            <w:tcW w:type="dxa" w:w="1400"/>
            <w:shd w:fill="FFFFFF" w:val="clear"/>
            <w:tcMar>
              <w:top w:type="dxa" w:w="50"/>
              <w:left w:type="dxa" w:w="100"/>
              <w:bottom w:type="dxa" w:w="50"/>
              <w:right w:type="dxa" w:w="100"/>
            </w:tcMar>
          </w:tcPr>
          <w:p>
            <w:r>
              <w:rPr>
                <w:b w:val="false"/>
                <w:bCs w:val="false"/>
                <w:color w:val="222222"/>
                <w:sz w:val="19"/>
                <w:szCs w:val="19"/>
              </w:rPr>
              <w:t xml:space="preserve">0.883</w:t>
            </w:r>
          </w:p>
        </w:tc>
        <w:tc>
          <w:tcPr>
            <w:tcW w:type="dxa" w:w="1500"/>
            <w:shd w:fill="FFFFFF" w:val="clear"/>
            <w:tcMar>
              <w:top w:type="dxa" w:w="50"/>
              <w:left w:type="dxa" w:w="100"/>
              <w:bottom w:type="dxa" w:w="50"/>
              <w:right w:type="dxa" w:w="100"/>
            </w:tcMar>
          </w:tcPr>
          <w:p>
            <w:r>
              <w:rPr>
                <w:b w:val="false"/>
                <w:bCs w:val="false"/>
                <w:color w:val="222222"/>
                <w:sz w:val="19"/>
                <w:szCs w:val="19"/>
              </w:rPr>
              <w:t xml:space="preserve">335</w:t>
            </w:r>
          </w:p>
        </w:tc>
      </w:tr>
      <w:tr>
        <w:tc>
          <w:tcPr>
            <w:tcW w:type="dxa" w:w="2800"/>
            <w:shd w:fill="f1f3f9" w:val="clear"/>
            <w:tcMar>
              <w:top w:type="dxa" w:w="50"/>
              <w:left w:type="dxa" w:w="100"/>
              <w:bottom w:type="dxa" w:w="50"/>
              <w:right w:type="dxa" w:w="100"/>
            </w:tcMar>
          </w:tcPr>
          <w:p>
            <w:r>
              <w:rPr>
                <w:b/>
                <w:bCs/>
                <w:color w:val="222222"/>
                <w:sz w:val="19"/>
                <w:szCs w:val="19"/>
              </w:rPr>
              <w:t xml:space="preserve">low and slow</w:t>
            </w:r>
          </w:p>
        </w:tc>
        <w:tc>
          <w:tcPr>
            <w:tcW w:type="dxa" w:w="1500"/>
            <w:shd w:fill="f1f3f9" w:val="clear"/>
            <w:tcMar>
              <w:top w:type="dxa" w:w="50"/>
              <w:left w:type="dxa" w:w="100"/>
              <w:bottom w:type="dxa" w:w="50"/>
              <w:right w:type="dxa" w:w="100"/>
            </w:tcMar>
          </w:tcPr>
          <w:p>
            <w:r>
              <w:rPr>
                <w:b w:val="false"/>
                <w:bCs w:val="false"/>
                <w:color w:val="222222"/>
                <w:sz w:val="19"/>
                <w:szCs w:val="19"/>
              </w:rPr>
              <w:t xml:space="preserve">0.85</w:t>
            </w:r>
          </w:p>
        </w:tc>
        <w:tc>
          <w:tcPr>
            <w:tcW w:type="dxa" w:w="1400"/>
            <w:shd w:fill="f1f3f9" w:val="clear"/>
            <w:tcMar>
              <w:top w:type="dxa" w:w="50"/>
              <w:left w:type="dxa" w:w="100"/>
              <w:bottom w:type="dxa" w:w="50"/>
              <w:right w:type="dxa" w:w="100"/>
            </w:tcMar>
          </w:tcPr>
          <w:p>
            <w:r>
              <w:rPr>
                <w:b w:val="false"/>
                <w:bCs w:val="false"/>
                <w:color w:val="222222"/>
                <w:sz w:val="19"/>
                <w:szCs w:val="19"/>
              </w:rPr>
              <w:t xml:space="preserve">0.418</w:t>
            </w:r>
          </w:p>
        </w:tc>
        <w:tc>
          <w:tcPr>
            <w:tcW w:type="dxa" w:w="1400"/>
            <w:shd w:fill="f1f3f9" w:val="clear"/>
            <w:tcMar>
              <w:top w:type="dxa" w:w="50"/>
              <w:left w:type="dxa" w:w="100"/>
              <w:bottom w:type="dxa" w:w="50"/>
              <w:right w:type="dxa" w:w="100"/>
            </w:tcMar>
          </w:tcPr>
          <w:p>
            <w:r>
              <w:rPr>
                <w:b w:val="false"/>
                <w:bCs w:val="false"/>
                <w:color w:val="222222"/>
                <w:sz w:val="19"/>
                <w:szCs w:val="19"/>
              </w:rPr>
              <w:t xml:space="preserve">0.56</w:t>
            </w:r>
          </w:p>
        </w:tc>
        <w:tc>
          <w:tcPr>
            <w:tcW w:type="dxa" w:w="1500"/>
            <w:shd w:fill="f1f3f9" w:val="clear"/>
            <w:tcMar>
              <w:top w:type="dxa" w:w="50"/>
              <w:left w:type="dxa" w:w="100"/>
              <w:bottom w:type="dxa" w:w="50"/>
              <w:right w:type="dxa" w:w="100"/>
            </w:tcMar>
          </w:tcPr>
          <w:p>
            <w:r>
              <w:rPr>
                <w:b w:val="false"/>
                <w:bCs w:val="false"/>
                <w:color w:val="222222"/>
                <w:sz w:val="19"/>
                <w:szCs w:val="19"/>
              </w:rPr>
              <w:t xml:space="preserve">122</w:t>
            </w:r>
          </w:p>
        </w:tc>
      </w:tr>
    </w:tbl>
    <w:p>
      <w:pPr>
        <w:spacing w:after="200"/>
        <w:jc w:val="center"/>
      </w:pPr>
      <w:r>
        <w:rPr>
          <w:i/>
          <w:iCs/>
          <w:color w:val="6b7280"/>
          <w:sz w:val="18"/>
          <w:szCs w:val="18"/>
        </w:rPr>
        <w:t xml:space="preserve">Table 3 — Classification metrics per attack type.</w:t>
      </w:r>
    </w:p>
    <w:p>
      <w:pPr>
        <w:spacing w:after="120" w:line="276"/>
      </w:pPr>
      <w:r>
        <w:rPr>
          <w:color w:val="222222"/>
          <w:sz w:val="21"/>
          <w:szCs w:val="21"/>
        </w:rPr>
        <w:t xml:space="preserve">Brute force and credential stuffing classify essentially perfectly once burst and IP-spread features are present. Impossible travel and lateral movement are strong. Low-and-slow is the hardest category — deliberately so, since its defining property is subtlety — and is the clearest target for future work; this is stated plainly rather than hidden.</w:t>
      </w:r>
    </w:p>
    <w:p>
      <w:pPr>
        <w:spacing w:after="60" w:before="120"/>
        <w:jc w:val="center"/>
      </w:pPr>
      <w:r>
        <w:drawing>
          <wp:inline distT="0" distB="0" distL="0" distR="0">
            <wp:extent cx="3619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3067050"/>
                    </a:xfrm>
                    <a:prstGeom prst="rect">
                      <a:avLst/>
                    </a:prstGeom>
                  </pic:spPr>
                </pic:pic>
              </a:graphicData>
            </a:graphic>
          </wp:inline>
        </w:drawing>
      </w:r>
    </w:p>
    <w:p>
      <w:pPr>
        <w:spacing w:after="200"/>
        <w:jc w:val="center"/>
      </w:pPr>
      <w:r>
        <w:rPr>
          <w:i/>
          <w:iCs/>
          <w:color w:val="6b7280"/>
          <w:sz w:val="18"/>
          <w:szCs w:val="18"/>
        </w:rPr>
        <w:t xml:space="preserve">Figure 4 — Confusion matrix (counts) across attack types.</w:t>
      </w:r>
    </w:p>
    <w:p>
      <w:pPr>
        <w:pStyle w:val="Heading2"/>
        <w:spacing w:after="100" w:before="220"/>
      </w:pPr>
      <w:r>
        <w:rPr>
          <w:b/>
          <w:bCs/>
          <w:color w:val="0f3460"/>
          <w:sz w:val="24"/>
          <w:szCs w:val="24"/>
        </w:rPr>
        <w:t xml:space="preserve">4.4  Explainability</w:t>
      </w:r>
    </w:p>
    <w:p>
      <w:pPr>
        <w:spacing w:after="120" w:line="276"/>
      </w:pPr>
      <w:r>
        <w:rPr>
          <w:color w:val="222222"/>
          <w:sz w:val="21"/>
          <w:szCs w:val="21"/>
        </w:rPr>
        <w:t xml:space="preserve">Every alert carries a feature attribution: the z-scored contribution of each feature to the score, surfaced as the top three driving factors (e.g. "new device fingerprint + geo-velocity + off-hours"). This turns a bare score into an analyst-readable justification. Global feature importance below shows the model relies on interpretable signals, not opaque correlations.</w:t>
      </w:r>
    </w:p>
    <w:p>
      <w:pPr>
        <w:spacing w:after="60" w:before="12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466975"/>
                    </a:xfrm>
                    <a:prstGeom prst="rect">
                      <a:avLst/>
                    </a:prstGeom>
                  </pic:spPr>
                </pic:pic>
              </a:graphicData>
            </a:graphic>
          </wp:inline>
        </w:drawing>
      </w:r>
    </w:p>
    <w:p>
      <w:pPr>
        <w:spacing w:after="200"/>
        <w:jc w:val="center"/>
      </w:pPr>
      <w:r>
        <w:rPr>
          <w:i/>
          <w:iCs/>
          <w:color w:val="6b7280"/>
          <w:sz w:val="18"/>
          <w:szCs w:val="18"/>
        </w:rPr>
        <w:t xml:space="preserve">Figure 5 — Global feature importance from the classifier.</w:t>
      </w:r>
    </w:p>
    <w:p>
      <w:pPr>
        <w:pStyle w:val="Heading2"/>
        <w:spacing w:after="100" w:before="220"/>
      </w:pPr>
      <w:r>
        <w:rPr>
          <w:b/>
          <w:bCs/>
          <w:color w:val="0f3460"/>
          <w:sz w:val="24"/>
          <w:szCs w:val="24"/>
        </w:rPr>
        <w:t xml:space="preserve">4.5  Cold-start and concept drift</w:t>
      </w:r>
    </w:p>
    <w:p>
      <w:pPr>
        <w:spacing w:after="120" w:line="276"/>
      </w:pPr>
      <w:r>
        <w:rPr>
          <w:b/>
          <w:bCs/>
          <w:color w:val="222222"/>
          <w:sz w:val="21"/>
          <w:szCs w:val="21"/>
        </w:rPr>
        <w:t xml:space="preserve">Cold-start: </w:t>
      </w:r>
      <w:r>
        <w:rPr>
          <w:color w:val="222222"/>
          <w:sz w:val="21"/>
          <w:szCs w:val="21"/>
        </w:rPr>
        <w:t xml:space="preserve">2643 test events belong to 30 entities held out of training entirely. With no personal history, the system falls back to the entity's department baseline. Event-level detection ROC-AUC on this cold-start subset is 0.876 — close to the overall 0.891, showing the department fallback generalises well to unseen entities.</w:t>
      </w:r>
    </w:p>
    <w:p>
      <w:pPr>
        <w:spacing w:after="120" w:line="276"/>
      </w:pPr>
      <w:r>
        <w:rPr>
          <w:b/>
          <w:bCs/>
          <w:color w:val="222222"/>
          <w:sz w:val="21"/>
          <w:szCs w:val="21"/>
        </w:rPr>
        <w:t xml:space="preserve">Concept drift: </w:t>
      </w:r>
      <w:r>
        <w:rPr>
          <w:color w:val="222222"/>
          <w:sz w:val="21"/>
          <w:szCs w:val="21"/>
        </w:rPr>
        <w:t xml:space="preserve">baselines use a decaying window so that gradual legitimate change is partly absorbed. The insider-drift edge case tests this directly. Here the sequence-based LSTM flags 0% of insider-drift events within the top-1% budget — notably higher than a per-event statistical detector would. This is an honest limitation of sequence modelling: slow privilege expansion genuinely resembles an anomalous behavioural trajectory, so the LSTM is more suspicious of it. In deployment this is the intended place for an analyst-in-the-loop confirmation step (the recommended action for drift is "confirm with manager, monitor" rather than an automated block), and lengthening the decay window would reduce the rate further.</w:t>
      </w:r>
    </w:p>
    <w:p>
      <w:pPr>
        <w:pStyle w:val="Heading1"/>
        <w:spacing w:after="140" w:before="320"/>
      </w:pPr>
      <w:r>
        <w:rPr>
          <w:b/>
          <w:bCs/>
          <w:color w:val="1a1a2e"/>
          <w:sz w:val="30"/>
          <w:szCs w:val="30"/>
        </w:rPr>
        <w:t xml:space="preserve">5  System Design &amp; Scalability</w:t>
      </w:r>
    </w:p>
    <w:p>
      <w:pPr>
        <w:spacing w:after="120" w:line="276"/>
      </w:pPr>
      <w:r>
        <w:rPr>
          <w:color w:val="222222"/>
          <w:sz w:val="21"/>
          <w:szCs w:val="21"/>
        </w:rPr>
        <w:t xml:space="preserve">The pipeline is stage-separable: generation → profiling → featurisation → scoring → classification → explanation. Each stage is stateless per event given the entity profile, so the scoring path is suitable for streaming: profiles are read from a key-value store, features are computed from the current event plus a small rolling per-entity state (previous login, recent failure buffer), and the ensemble returns a score in constant time. Profiles are refreshed on a schedule rather than per event, decoupling training cost from inference latency. For the hosted demonstrator, models and scored results are precomputed and served through a lightweight Flask API, so the front-end loads instantly without retraining.</w:t>
      </w:r>
    </w:p>
    <w:tbl>
      <w:tblPr>
        <w:tblW w:type="dxa" w:w="8600"/>
        <w:tblBorders>
          <w:top w:val="single" w:color="d1d5db" w:sz="2"/>
          <w:left w:val="none"/>
          <w:bottom w:val="single" w:color="d1d5db" w:sz="2"/>
          <w:right w:val="none"/>
          <w:insideH w:val="single" w:color="e5e7eb" w:sz="1"/>
          <w:insideV w:val="none"/>
        </w:tblBorders>
      </w:tblPr>
      <w:tblGrid>
        <w:gridCol w:w="2800"/>
        <w:gridCol w:w="5800"/>
      </w:tblGrid>
      <w:tr>
        <w:trPr>
          <w:tblHeader/>
        </w:trPr>
        <w:tc>
          <w:tcPr>
            <w:tcW w:type="dxa" w:w="2800"/>
            <w:shd w:fill="0f3460" w:val="clear"/>
            <w:tcMar>
              <w:top w:type="dxa" w:w="60"/>
              <w:left w:type="dxa" w:w="100"/>
              <w:bottom w:type="dxa" w:w="60"/>
              <w:right w:type="dxa" w:w="100"/>
            </w:tcMar>
          </w:tcPr>
          <w:p>
            <w:r>
              <w:rPr>
                <w:b/>
                <w:bCs/>
                <w:color w:val="FFFFFF"/>
                <w:sz w:val="19"/>
                <w:szCs w:val="19"/>
              </w:rPr>
              <w:t xml:space="preserve">Concern</w:t>
            </w:r>
          </w:p>
        </w:tc>
        <w:tc>
          <w:tcPr>
            <w:tcW w:type="dxa" w:w="5800"/>
            <w:shd w:fill="0f3460" w:val="clear"/>
            <w:tcMar>
              <w:top w:type="dxa" w:w="60"/>
              <w:left w:type="dxa" w:w="100"/>
              <w:bottom w:type="dxa" w:w="60"/>
              <w:right w:type="dxa" w:w="100"/>
            </w:tcMar>
          </w:tcPr>
          <w:p>
            <w:r>
              <w:rPr>
                <w:b/>
                <w:bCs/>
                <w:color w:val="FFFFFF"/>
                <w:sz w:val="19"/>
                <w:szCs w:val="19"/>
              </w:rPr>
              <w:t xml:space="preserve">Design response</w:t>
            </w:r>
          </w:p>
        </w:tc>
      </w:tr>
      <w:tr>
        <w:tc>
          <w:tcPr>
            <w:tcW w:type="dxa" w:w="2800"/>
            <w:shd w:fill="FFFFFF" w:val="clear"/>
            <w:tcMar>
              <w:top w:type="dxa" w:w="50"/>
              <w:left w:type="dxa" w:w="100"/>
              <w:bottom w:type="dxa" w:w="50"/>
              <w:right w:type="dxa" w:w="100"/>
            </w:tcMar>
          </w:tcPr>
          <w:p>
            <w:r>
              <w:rPr>
                <w:b/>
                <w:bCs/>
                <w:color w:val="222222"/>
                <w:sz w:val="19"/>
                <w:szCs w:val="19"/>
              </w:rPr>
              <w:t xml:space="preserve">Real-time streaming</w:t>
            </w:r>
          </w:p>
        </w:tc>
        <w:tc>
          <w:tcPr>
            <w:tcW w:type="dxa" w:w="5800"/>
            <w:shd w:fill="FFFFFF" w:val="clear"/>
            <w:tcMar>
              <w:top w:type="dxa" w:w="50"/>
              <w:left w:type="dxa" w:w="100"/>
              <w:bottom w:type="dxa" w:w="50"/>
              <w:right w:type="dxa" w:w="100"/>
            </w:tcMar>
          </w:tcPr>
          <w:p>
            <w:r>
              <w:rPr>
                <w:b w:val="false"/>
                <w:bCs w:val="false"/>
                <w:color w:val="222222"/>
                <w:sz w:val="19"/>
                <w:szCs w:val="19"/>
              </w:rPr>
              <w:t xml:space="preserve">constant-time per-event scoring; rolling per-entity state only</w:t>
            </w:r>
          </w:p>
        </w:tc>
      </w:tr>
      <w:tr>
        <w:tc>
          <w:tcPr>
            <w:tcW w:type="dxa" w:w="2800"/>
            <w:shd w:fill="f1f3f9" w:val="clear"/>
            <w:tcMar>
              <w:top w:type="dxa" w:w="50"/>
              <w:left w:type="dxa" w:w="100"/>
              <w:bottom w:type="dxa" w:w="50"/>
              <w:right w:type="dxa" w:w="100"/>
            </w:tcMar>
          </w:tcPr>
          <w:p>
            <w:r>
              <w:rPr>
                <w:b/>
                <w:bCs/>
                <w:color w:val="222222"/>
                <w:sz w:val="19"/>
                <w:szCs w:val="19"/>
              </w:rPr>
              <w:t xml:space="preserve">Training cost</w:t>
            </w:r>
          </w:p>
        </w:tc>
        <w:tc>
          <w:tcPr>
            <w:tcW w:type="dxa" w:w="5800"/>
            <w:shd w:fill="f1f3f9" w:val="clear"/>
            <w:tcMar>
              <w:top w:type="dxa" w:w="50"/>
              <w:left w:type="dxa" w:w="100"/>
              <w:bottom w:type="dxa" w:w="50"/>
              <w:right w:type="dxa" w:w="100"/>
            </w:tcMar>
          </w:tcPr>
          <w:p>
            <w:r>
              <w:rPr>
                <w:b w:val="false"/>
                <w:bCs w:val="false"/>
                <w:color w:val="222222"/>
                <w:sz w:val="19"/>
                <w:szCs w:val="19"/>
              </w:rPr>
              <w:t xml:space="preserve">profiles and models refreshed on a schedule, not per event</w:t>
            </w:r>
          </w:p>
        </w:tc>
      </w:tr>
      <w:tr>
        <w:tc>
          <w:tcPr>
            <w:tcW w:type="dxa" w:w="2800"/>
            <w:shd w:fill="FFFFFF" w:val="clear"/>
            <w:tcMar>
              <w:top w:type="dxa" w:w="50"/>
              <w:left w:type="dxa" w:w="100"/>
              <w:bottom w:type="dxa" w:w="50"/>
              <w:right w:type="dxa" w:w="100"/>
            </w:tcMar>
          </w:tcPr>
          <w:p>
            <w:r>
              <w:rPr>
                <w:b/>
                <w:bCs/>
                <w:color w:val="222222"/>
                <w:sz w:val="19"/>
                <w:szCs w:val="19"/>
              </w:rPr>
              <w:t xml:space="preserve">Imbalance</w:t>
            </w:r>
          </w:p>
        </w:tc>
        <w:tc>
          <w:tcPr>
            <w:tcW w:type="dxa" w:w="5800"/>
            <w:shd w:fill="FFFFFF" w:val="clear"/>
            <w:tcMar>
              <w:top w:type="dxa" w:w="50"/>
              <w:left w:type="dxa" w:w="100"/>
              <w:bottom w:type="dxa" w:w="50"/>
              <w:right w:type="dxa" w:w="100"/>
            </w:tcMar>
          </w:tcPr>
          <w:p>
            <w:r>
              <w:rPr>
                <w:b w:val="false"/>
                <w:bCs w:val="false"/>
                <w:color w:val="222222"/>
                <w:sz w:val="19"/>
                <w:szCs w:val="19"/>
              </w:rPr>
              <w:t xml:space="preserve">unsupervised detector needs no attack labels; evaluated at analyst budget</w:t>
            </w:r>
          </w:p>
        </w:tc>
      </w:tr>
      <w:tr>
        <w:tc>
          <w:tcPr>
            <w:tcW w:type="dxa" w:w="2800"/>
            <w:shd w:fill="f1f3f9" w:val="clear"/>
            <w:tcMar>
              <w:top w:type="dxa" w:w="50"/>
              <w:left w:type="dxa" w:w="100"/>
              <w:bottom w:type="dxa" w:w="50"/>
              <w:right w:type="dxa" w:w="100"/>
            </w:tcMar>
          </w:tcPr>
          <w:p>
            <w:r>
              <w:rPr>
                <w:b/>
                <w:bCs/>
                <w:color w:val="222222"/>
                <w:sz w:val="19"/>
                <w:szCs w:val="19"/>
              </w:rPr>
              <w:t xml:space="preserve">Cold-start</w:t>
            </w:r>
          </w:p>
        </w:tc>
        <w:tc>
          <w:tcPr>
            <w:tcW w:type="dxa" w:w="5800"/>
            <w:shd w:fill="f1f3f9" w:val="clear"/>
            <w:tcMar>
              <w:top w:type="dxa" w:w="50"/>
              <w:left w:type="dxa" w:w="100"/>
              <w:bottom w:type="dxa" w:w="50"/>
              <w:right w:type="dxa" w:w="100"/>
            </w:tcMar>
          </w:tcPr>
          <w:p>
            <w:r>
              <w:rPr>
                <w:b w:val="false"/>
                <w:bCs w:val="false"/>
                <w:color w:val="222222"/>
                <w:sz w:val="19"/>
                <w:szCs w:val="19"/>
              </w:rPr>
              <w:t xml:space="preserve">department-baseline fallback with reduced confidence</w:t>
            </w:r>
          </w:p>
        </w:tc>
      </w:tr>
      <w:tr>
        <w:tc>
          <w:tcPr>
            <w:tcW w:type="dxa" w:w="2800"/>
            <w:shd w:fill="FFFFFF" w:val="clear"/>
            <w:tcMar>
              <w:top w:type="dxa" w:w="50"/>
              <w:left w:type="dxa" w:w="100"/>
              <w:bottom w:type="dxa" w:w="50"/>
              <w:right w:type="dxa" w:w="100"/>
            </w:tcMar>
          </w:tcPr>
          <w:p>
            <w:r>
              <w:rPr>
                <w:b/>
                <w:bCs/>
                <w:color w:val="222222"/>
                <w:sz w:val="19"/>
                <w:szCs w:val="19"/>
              </w:rPr>
              <w:t xml:space="preserve">Drift</w:t>
            </w:r>
          </w:p>
        </w:tc>
        <w:tc>
          <w:tcPr>
            <w:tcW w:type="dxa" w:w="5800"/>
            <w:shd w:fill="FFFFFF" w:val="clear"/>
            <w:tcMar>
              <w:top w:type="dxa" w:w="50"/>
              <w:left w:type="dxa" w:w="100"/>
              <w:bottom w:type="dxa" w:w="50"/>
              <w:right w:type="dxa" w:w="100"/>
            </w:tcMar>
          </w:tcPr>
          <w:p>
            <w:r>
              <w:rPr>
                <w:b w:val="false"/>
                <w:bCs w:val="false"/>
                <w:color w:val="222222"/>
                <w:sz w:val="19"/>
                <w:szCs w:val="19"/>
              </w:rPr>
              <w:t xml:space="preserve">decaying baseline window; insider-drift FP tuning</w:t>
            </w:r>
          </w:p>
        </w:tc>
      </w:tr>
      <w:tr>
        <w:tc>
          <w:tcPr>
            <w:tcW w:type="dxa" w:w="2800"/>
            <w:shd w:fill="f1f3f9" w:val="clear"/>
            <w:tcMar>
              <w:top w:type="dxa" w:w="50"/>
              <w:left w:type="dxa" w:w="100"/>
              <w:bottom w:type="dxa" w:w="50"/>
              <w:right w:type="dxa" w:w="100"/>
            </w:tcMar>
          </w:tcPr>
          <w:p>
            <w:r>
              <w:rPr>
                <w:b/>
                <w:bCs/>
                <w:color w:val="222222"/>
                <w:sz w:val="19"/>
                <w:szCs w:val="19"/>
              </w:rPr>
              <w:t xml:space="preserve">Explainability</w:t>
            </w:r>
          </w:p>
        </w:tc>
        <w:tc>
          <w:tcPr>
            <w:tcW w:type="dxa" w:w="5800"/>
            <w:shd w:fill="f1f3f9" w:val="clear"/>
            <w:tcMar>
              <w:top w:type="dxa" w:w="50"/>
              <w:left w:type="dxa" w:w="100"/>
              <w:bottom w:type="dxa" w:w="50"/>
              <w:right w:type="dxa" w:w="100"/>
            </w:tcMar>
          </w:tcPr>
          <w:p>
            <w:r>
              <w:rPr>
                <w:b w:val="false"/>
                <w:bCs w:val="false"/>
                <w:color w:val="222222"/>
                <w:sz w:val="19"/>
                <w:szCs w:val="19"/>
              </w:rPr>
              <w:t xml:space="preserve">per-alert feature attribution surfaced to analysts</w:t>
            </w:r>
          </w:p>
        </w:tc>
      </w:tr>
    </w:tbl>
    <w:p>
      <w:pPr>
        <w:spacing w:after="200"/>
        <w:jc w:val="center"/>
      </w:pPr>
      <w:r>
        <w:rPr>
          <w:i/>
          <w:iCs/>
          <w:color w:val="6b7280"/>
          <w:sz w:val="18"/>
          <w:szCs w:val="18"/>
        </w:rPr>
        <w:t xml:space="preserve">Table 4 — Evaluation criteria mapped to design responses.</w:t>
      </w:r>
    </w:p>
    <w:p>
      <w:pPr>
        <w:pStyle w:val="Heading1"/>
        <w:spacing w:after="140" w:before="320"/>
      </w:pPr>
      <w:r>
        <w:rPr>
          <w:b/>
          <w:bCs/>
          <w:color w:val="1a1a2e"/>
          <w:sz w:val="30"/>
          <w:szCs w:val="30"/>
        </w:rPr>
        <w:t xml:space="preserve">6  Limitations &amp; Future Work</w:t>
      </w:r>
    </w:p>
    <w:p>
      <w:pPr>
        <w:pStyle w:val="ListParagraph"/>
        <w:numPr>
          <w:ilvl w:val="0"/>
          <w:numId w:val="1"/>
        </w:numPr>
        <w:spacing w:after="80"/>
      </w:pPr>
      <w:r>
        <w:rPr>
          <w:color w:val="222222"/>
          <w:sz w:val="21"/>
          <w:szCs w:val="21"/>
        </w:rPr>
        <w:t xml:space="preserve">Data is synthetic; real deployment requires validation against production logs and re-tuning of injection assumptions.</w:t>
      </w:r>
    </w:p>
    <w:p>
      <w:pPr>
        <w:pStyle w:val="ListParagraph"/>
        <w:numPr>
          <w:ilvl w:val="0"/>
          <w:numId w:val="1"/>
        </w:numPr>
        <w:spacing w:after="80"/>
      </w:pPr>
      <w:r>
        <w:rPr>
          <w:color w:val="222222"/>
          <w:sz w:val="21"/>
          <w:szCs w:val="21"/>
        </w:rPr>
        <w:t xml:space="preserve">Low-and-slow recall is the weakest category; its multi-day signature is better suited to the LSTM detector over longer windows, or to a temporal-graph model — extending the window length is the natural next step.</w:t>
      </w:r>
    </w:p>
    <w:p>
      <w:pPr>
        <w:pStyle w:val="ListParagraph"/>
        <w:numPr>
          <w:ilvl w:val="0"/>
          <w:numId w:val="1"/>
        </w:numPr>
        <w:spacing w:after="80"/>
      </w:pPr>
      <w:r>
        <w:rPr>
          <w:color w:val="222222"/>
          <w:sz w:val="21"/>
          <w:szCs w:val="21"/>
        </w:rPr>
        <w:t xml:space="preserve">The detector scores events largely independently given entity state; explicit session- and graph-level modelling of entity-resource relationships would strengthen lateral-movement detection.</w:t>
      </w:r>
    </w:p>
    <w:p>
      <w:pPr>
        <w:pStyle w:val="ListParagraph"/>
        <w:numPr>
          <w:ilvl w:val="0"/>
          <w:numId w:val="1"/>
        </w:numPr>
        <w:spacing w:after="80"/>
      </w:pPr>
      <w:r>
        <w:rPr>
          <w:color w:val="222222"/>
          <w:sz w:val="21"/>
          <w:szCs w:val="21"/>
        </w:rPr>
        <w:t xml:space="preserve">Two detectors are provided — a fast event-level feed-forward autoencoder and a recurrent LSTM over event windows. Unifying them into a single streaming scorer, and extending the LSTM to multi-day windows, is the main consolidation work remaining.</w:t>
      </w:r>
    </w:p>
    <w:p>
      <w:pPr>
        <w:pBdr>
          <w:bottom w:val="single" w:color="e5e7eb" w:sz="6"/>
        </w:pBdr>
        <w:spacing w:after="80" w:before="80"/>
      </w:pPr>
    </w:p>
    <w:p>
      <w:pPr>
        <w:spacing w:after="120" w:line="276"/>
      </w:pPr>
      <w:r>
        <w:rPr>
          <w:i/>
          <w:iCs/>
          <w:color w:val="6b7280"/>
          <w:sz w:val="17"/>
          <w:szCs w:val="17"/>
        </w:rPr>
        <w:t xml:space="preserve">Sentinel — Technical Report. All metrics computed on a held-out temporal test split of synthetic data; figures generated directly from model outputs.</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9af598750d89a7ea2d30296fabdc8cf0ccce395.png"/><Relationship Id="rId8" Type="http://schemas.openxmlformats.org/officeDocument/2006/relationships/image" Target="media/e38a9fb462c3f3b02a993cea012df34080043340.png"/><Relationship Id="rId9" Type="http://schemas.openxmlformats.org/officeDocument/2006/relationships/image" Target="media/d9971d7f3f39598d5579915e2341b7a4ad35cd97.png"/><Relationship Id="rId10" Type="http://schemas.openxmlformats.org/officeDocument/2006/relationships/image" Target="media/cb0dedd3f33f19fefe1e42810a1ff15cdf79c464.png"/><Relationship Id="rId11" Type="http://schemas.openxmlformats.org/officeDocument/2006/relationships/image" Target="media/2ab5aca750fb6480aeefab256d7d3791297b1ab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 — Technical Report</dc:title>
  <dc:creator>Sentinel</dc:creator>
  <cp:lastModifiedBy>Un-named</cp:lastModifiedBy>
  <cp:revision>1</cp:revision>
  <dcterms:created xsi:type="dcterms:W3CDTF">2026-07-26T13:06:41.089Z</dcterms:created>
  <dcterms:modified xsi:type="dcterms:W3CDTF">2026-07-26T13:06:41.090Z</dcterms:modified>
</cp:coreProperties>
</file>

<file path=docProps/custom.xml><?xml version="1.0" encoding="utf-8"?>
<Properties xmlns="http://schemas.openxmlformats.org/officeDocument/2006/custom-properties" xmlns:vt="http://schemas.openxmlformats.org/officeDocument/2006/docPropsVTypes"/>
</file>