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7B1B7" w14:textId="4CD78A96" w:rsidR="005C542E" w:rsidRDefault="005C542E" w:rsidP="00FF007B">
      <w:pPr>
        <w:pStyle w:val="Heading1"/>
      </w:pPr>
      <w:r>
        <w:t>Section 2.5 Measures of the Center of the Data</w:t>
      </w:r>
    </w:p>
    <w:p w14:paraId="4FC76F28" w14:textId="77777777" w:rsidR="005C542E" w:rsidRDefault="005C542E">
      <w:r>
        <w:t xml:space="preserve">In addition to the median which measures the center of the data, there is another measurement called the mean or average.  Unlike the median, the mean considers all data values.  </w:t>
      </w:r>
    </w:p>
    <w:p w14:paraId="6F72A2D6" w14:textId="2B66D306" w:rsidR="005C542E" w:rsidRPr="005C542E" w:rsidRDefault="00FF007B">
      <w:pPr>
        <w:rPr>
          <w:rFonts w:eastAsiaTheme="minorEastAsia"/>
        </w:rPr>
      </w:pPr>
      <m:oMathPara>
        <m:oMath>
          <m:r>
            <w:rPr>
              <w:rFonts w:ascii="Cambria Math" w:hAnsi="Cambria Math"/>
            </w:rPr>
            <m:t xml:space="preserve">Sample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Population μ=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B5E937A" w14:textId="751D4BDE" w:rsidR="005C542E" w:rsidRDefault="005C542E">
      <w:pPr>
        <w:rPr>
          <w:rFonts w:eastAsiaTheme="minorEastAsia"/>
        </w:rPr>
      </w:pPr>
      <w:r>
        <w:rPr>
          <w:rFonts w:eastAsiaTheme="minorEastAsia"/>
        </w:rPr>
        <w:t>n = the number of data values</w:t>
      </w:r>
    </w:p>
    <w:p w14:paraId="7FF476BC" w14:textId="26B397E8" w:rsidR="005C542E" w:rsidRPr="005C542E" w:rsidRDefault="005C542E">
      <w:pPr>
        <w:rPr>
          <w:rFonts w:eastAsiaTheme="minorEastAsia"/>
        </w:rPr>
      </w:pPr>
      <m:oMathPara>
        <m:oMathParaPr>
          <m:jc m:val="left"/>
        </m:oMathParaPr>
        <m:oMath>
          <m:nary>
            <m:naryPr>
              <m:chr m:val="∑"/>
              <m:limLoc m:val="undOvr"/>
              <m:subHide m:val="1"/>
              <m:supHide m:val="1"/>
              <m:ctrlPr>
                <w:rPr>
                  <w:rFonts w:ascii="Cambria Math" w:hAnsi="Cambria Math"/>
                  <w:i/>
                </w:rPr>
              </m:ctrlPr>
            </m:naryPr>
            <m:sub/>
            <m:sup/>
            <m:e/>
          </m:nary>
          <m:r>
            <w:rPr>
              <w:rFonts w:ascii="Cambria Math" w:hAnsi="Cambria Math"/>
            </w:rPr>
            <m:t>=addes the values</m:t>
          </m:r>
        </m:oMath>
      </m:oMathPara>
    </w:p>
    <w:p w14:paraId="03EC894B" w14:textId="36CDFEBA" w:rsidR="005C542E" w:rsidRDefault="005C542E">
      <w:r>
        <w:t xml:space="preserve">This can be a good measurement of the center </w:t>
      </w:r>
      <w:r w:rsidR="00A05126">
        <w:t xml:space="preserve">of a dataset, </w:t>
      </w:r>
      <w:r>
        <w:t>if all the values are close together</w:t>
      </w:r>
      <w:r w:rsidR="00A05126">
        <w:t>.</w:t>
      </w:r>
      <w:r>
        <w:t xml:space="preserve"> </w:t>
      </w:r>
      <w:r w:rsidR="00A05126">
        <w:t xml:space="preserve"> H</w:t>
      </w:r>
      <w:r>
        <w:t>owever, if we have values that are extreme (too low or too high)</w:t>
      </w:r>
      <w:r w:rsidR="00A05126">
        <w:t xml:space="preserve"> compared to the data values.  For example, in a list of salaries we have one person who earns </w:t>
      </w:r>
      <w:r>
        <w:t xml:space="preserve"> </w:t>
      </w:r>
      <w:r w:rsidR="00A05126">
        <w:t xml:space="preserve">40 times the salary as the others, </w:t>
      </w:r>
      <w:r>
        <w:t xml:space="preserve">the mean as the center of the data may not be the </w:t>
      </w:r>
      <w:r w:rsidR="00A05126">
        <w:t>best</w:t>
      </w:r>
      <w:r>
        <w:t xml:space="preserve"> measurement.</w:t>
      </w:r>
    </w:p>
    <w:p w14:paraId="17B1FFDD" w14:textId="07277B8D" w:rsidR="00A05126" w:rsidRDefault="00A05126">
      <w:r>
        <w:t>60000, 55000, 65000, 58000, 58000, 59750, 62000, 63000, 2500000</w:t>
      </w:r>
    </w:p>
    <w:p w14:paraId="10BB7EE8" w14:textId="35A8362E" w:rsidR="00A05126" w:rsidRDefault="00A05126">
      <w:r>
        <w:t>When you have extreme values or outliers then the median is the best measure of center of the dataset.</w:t>
      </w:r>
    </w:p>
    <w:p w14:paraId="1133513D" w14:textId="7AE16408" w:rsidR="00A05126" w:rsidRDefault="00A05126">
      <w:r>
        <w:t xml:space="preserve">Remember the reason we compute the median or mean/average is to locate a measurement that tells us about the population of interest.  </w:t>
      </w:r>
    </w:p>
    <w:p w14:paraId="0526DB18" w14:textId="33C76DB5" w:rsidR="00A05126" w:rsidRPr="00210B33" w:rsidRDefault="00A05126" w:rsidP="00210B33">
      <w:pPr>
        <w:pStyle w:val="Heading1"/>
        <w:rPr>
          <w:b/>
          <w:bCs/>
        </w:rPr>
      </w:pPr>
      <w:r w:rsidRPr="00210B33">
        <w:rPr>
          <w:b/>
          <w:bCs/>
        </w:rPr>
        <w:t>Law of Large Numbers</w:t>
      </w:r>
    </w:p>
    <w:p w14:paraId="04C89AB0" w14:textId="6783CCD1" w:rsidR="00A05126" w:rsidRDefault="00A05126">
      <w:r>
        <w:t>The Law of Large Numbers</w:t>
      </w:r>
      <w:r w:rsidR="00210B33">
        <w:t xml:space="preserve"> indicates that if the sample size gets larger and larger the sample mean, </w:t>
      </w:r>
      <m:oMath>
        <m:acc>
          <m:accPr>
            <m:chr m:val="̅"/>
            <m:ctrlPr>
              <w:rPr>
                <w:rFonts w:ascii="Cambria Math" w:hAnsi="Cambria Math"/>
                <w:i/>
              </w:rPr>
            </m:ctrlPr>
          </m:accPr>
          <m:e>
            <m:r>
              <w:rPr>
                <w:rFonts w:ascii="Cambria Math" w:hAnsi="Cambria Math"/>
              </w:rPr>
              <m:t>x</m:t>
            </m:r>
          </m:e>
        </m:acc>
      </m:oMath>
      <w:r w:rsidR="00210B33">
        <w:rPr>
          <w:rFonts w:eastAsiaTheme="minorEastAsia"/>
        </w:rPr>
        <w:t>,</w:t>
      </w:r>
      <w:r w:rsidR="00210B33">
        <w:t xml:space="preserve"> approached the population mean, </w:t>
      </w:r>
      <m:oMath>
        <m:r>
          <w:rPr>
            <w:rFonts w:ascii="Cambria Math" w:hAnsi="Cambria Math"/>
          </w:rPr>
          <m:t>μ</m:t>
        </m:r>
      </m:oMath>
      <w:r w:rsidR="00210B33">
        <w:t>.</w:t>
      </w:r>
    </w:p>
    <w:p w14:paraId="3640D5E4" w14:textId="55D1BC08" w:rsidR="00210B33" w:rsidRDefault="00210B33" w:rsidP="00210B33">
      <w:pPr>
        <w:pStyle w:val="Heading1"/>
      </w:pPr>
      <w:r>
        <w:t>Calculating the Mean of Grouped Data</w:t>
      </w:r>
    </w:p>
    <w:bookmarkStart w:id="0" w:name="_MON_1660458932"/>
    <w:bookmarkEnd w:id="0"/>
    <w:p w14:paraId="6A275EE3" w14:textId="0597BC2D" w:rsidR="007F575D" w:rsidRPr="007F575D" w:rsidRDefault="00187825" w:rsidP="007F575D">
      <w:r>
        <w:object w:dxaOrig="11208" w:dyaOrig="3499" w14:anchorId="28910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560.6pt;height:174.8pt" o:ole="">
            <v:imagedata r:id="rId7" o:title=""/>
          </v:shape>
          <o:OLEObject Type="Embed" ProgID="Excel.Sheet.12" ShapeID="_x0000_i1058" DrawAspect="Content" ObjectID="_1660473010" r:id="rId8"/>
        </w:object>
      </w:r>
    </w:p>
    <w:p w14:paraId="59B1C1BD" w14:textId="77777777" w:rsidR="00210B33" w:rsidRDefault="00210B33"/>
    <w:p w14:paraId="488F178F" w14:textId="29B53ED3" w:rsidR="00210B33" w:rsidRPr="00AD332E" w:rsidRDefault="00AD332E" w:rsidP="00AD332E">
      <w:pPr>
        <w:pStyle w:val="Heading1"/>
        <w:rPr>
          <w:b/>
          <w:bCs/>
        </w:rPr>
      </w:pPr>
      <w:r w:rsidRPr="00AD332E">
        <w:rPr>
          <w:b/>
          <w:bCs/>
        </w:rPr>
        <w:t>Section 2.6 Skewness and the Mean, Median, and Mode</w:t>
      </w:r>
    </w:p>
    <w:p w14:paraId="78C457FA" w14:textId="239ACD51" w:rsidR="00AD332E" w:rsidRDefault="00AD332E">
      <w:r>
        <w:t>The mode is defined to be the value that occurs most often.  You can multiple modes in a data set.</w:t>
      </w:r>
    </w:p>
    <w:p w14:paraId="04C36170" w14:textId="150B532A" w:rsidR="00AD332E" w:rsidRDefault="00AD332E">
      <w:r>
        <w:lastRenderedPageBreak/>
        <w:t>5, 6, 7, 7, 8, 8, 9, 10</w:t>
      </w:r>
    </w:p>
    <w:p w14:paraId="6E822522" w14:textId="34AB44B0" w:rsidR="00AD332E" w:rsidRDefault="00AD332E">
      <w:r>
        <w:t>The modes are 7 and 8.</w:t>
      </w:r>
    </w:p>
    <w:p w14:paraId="2976D32E" w14:textId="0FBB5E28" w:rsidR="00AD332E" w:rsidRDefault="00AD332E">
      <w:r>
        <w:t xml:space="preserve">If a distribution is symmetric, the mean, median, and mode are the equal.  </w:t>
      </w:r>
    </w:p>
    <w:p w14:paraId="2217E293" w14:textId="43B35D97" w:rsidR="00AD332E" w:rsidRDefault="00AD332E">
      <w:r>
        <w:t>5, 6, 6, 7, 7, 7, 8, 8, 9</w:t>
      </w:r>
    </w:p>
    <w:p w14:paraId="531A4711" w14:textId="52BD0E8C" w:rsidR="00AD332E" w:rsidRDefault="00AD332E">
      <w:r>
        <w:rPr>
          <w:noProof/>
        </w:rPr>
        <w:drawing>
          <wp:inline distT="0" distB="0" distL="0" distR="0" wp14:anchorId="39E3EC46" wp14:editId="569EEA5B">
            <wp:extent cx="3816166" cy="2029651"/>
            <wp:effectExtent l="0" t="0" r="13335" b="8890"/>
            <wp:docPr id="1" name="Chart 1">
              <a:extLst xmlns:a="http://schemas.openxmlformats.org/drawingml/2006/main">
                <a:ext uri="{FF2B5EF4-FFF2-40B4-BE49-F238E27FC236}">
                  <a16:creationId xmlns:a16="http://schemas.microsoft.com/office/drawing/2014/main" id="{CB650332-884F-4F93-9253-627610AD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D44439" w14:textId="065FE66C" w:rsidR="00AD332E" w:rsidRDefault="00AD332E" w:rsidP="00AD332E">
      <w:pPr>
        <w:pStyle w:val="Heading1"/>
      </w:pPr>
      <w:r>
        <w:t>Left skewed distributions</w:t>
      </w:r>
    </w:p>
    <w:p w14:paraId="0747875C" w14:textId="21F8E97F" w:rsidR="00AD332E" w:rsidRDefault="00AD332E">
      <w:r>
        <w:t>If the distribution is left skewed, then extreme values appears on the left.</w:t>
      </w:r>
    </w:p>
    <w:p w14:paraId="28176087" w14:textId="040F9AFF" w:rsidR="00AD332E" w:rsidRDefault="00AD332E">
      <w:r>
        <w:t xml:space="preserve"> 0, 1, 7, 7, 8, 8, 8, 9, </w:t>
      </w:r>
      <w:r w:rsidR="00F2513A">
        <w:t xml:space="preserve">9, 9, 9, 10, 10, 10, </w:t>
      </w:r>
      <w:r>
        <w:t>11, 11</w:t>
      </w:r>
    </w:p>
    <w:p w14:paraId="65B9D2D2" w14:textId="75BF3BAD" w:rsidR="00F2513A" w:rsidRDefault="00F2513A">
      <w:r>
        <w:rPr>
          <w:noProof/>
        </w:rPr>
        <w:drawing>
          <wp:inline distT="0" distB="0" distL="0" distR="0" wp14:anchorId="446145A5" wp14:editId="29918B7D">
            <wp:extent cx="3150187" cy="2537064"/>
            <wp:effectExtent l="0" t="0" r="12700" b="15875"/>
            <wp:docPr id="2" name="Chart 2">
              <a:extLst xmlns:a="http://schemas.openxmlformats.org/drawingml/2006/main">
                <a:ext uri="{FF2B5EF4-FFF2-40B4-BE49-F238E27FC236}">
                  <a16:creationId xmlns:a16="http://schemas.microsoft.com/office/drawing/2014/main" id="{E383D523-DE04-4141-B97C-70F769910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F27C02" w14:textId="0385FEA4" w:rsidR="00AD332E" w:rsidRDefault="00F2513A" w:rsidP="00F2513A">
      <w:pPr>
        <w:pStyle w:val="Heading1"/>
      </w:pPr>
      <w:r>
        <w:t>Right Skewed Distribution</w:t>
      </w:r>
    </w:p>
    <w:p w14:paraId="46868FE7" w14:textId="5635EF44" w:rsidR="00F2513A" w:rsidRPr="00F2513A" w:rsidRDefault="00F2513A" w:rsidP="00F2513A">
      <w:r>
        <w:t>7, 7, 8, 8, 8, 9, 9, 9, 9, 10, 10, 10, 11, 11</w:t>
      </w:r>
      <w:r w:rsidR="00376CB9">
        <w:t>, 26</w:t>
      </w:r>
    </w:p>
    <w:p w14:paraId="19F9B88E" w14:textId="1646A77A" w:rsidR="00F2513A" w:rsidRDefault="00376CB9">
      <w:r>
        <w:rPr>
          <w:noProof/>
        </w:rPr>
        <w:drawing>
          <wp:inline distT="0" distB="0" distL="0" distR="0" wp14:anchorId="2F93B46F" wp14:editId="4FA0F980">
            <wp:extent cx="4572000" cy="2743200"/>
            <wp:effectExtent l="0" t="0" r="0" b="0"/>
            <wp:docPr id="4" name="Chart 4">
              <a:extLst xmlns:a="http://schemas.openxmlformats.org/drawingml/2006/main">
                <a:ext uri="{FF2B5EF4-FFF2-40B4-BE49-F238E27FC236}">
                  <a16:creationId xmlns:a16="http://schemas.microsoft.com/office/drawing/2014/main" id="{FF482D87-C900-40A8-9D2F-768772F4C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CAA9E0" w14:textId="0F24C16E" w:rsidR="00AD332E" w:rsidRPr="00376CB9" w:rsidRDefault="00F2513A" w:rsidP="00376CB9">
      <w:pPr>
        <w:pStyle w:val="Heading1"/>
        <w:rPr>
          <w:b/>
          <w:bCs/>
        </w:rPr>
      </w:pPr>
      <w:r w:rsidRPr="00376CB9">
        <w:rPr>
          <w:b/>
          <w:bCs/>
        </w:rPr>
        <w:t>Section 2.7 Measures of the Spread of Data</w:t>
      </w:r>
    </w:p>
    <w:p w14:paraId="50DF1443" w14:textId="77777777" w:rsidR="00376CB9" w:rsidRDefault="00F2513A">
      <w:r>
        <w:t>The range is a measure of spread of the data.  The range is defined as the maximum value – minimum value.</w:t>
      </w:r>
      <w:r w:rsidR="00770443">
        <w:t xml:space="preserve">  </w:t>
      </w:r>
    </w:p>
    <w:p w14:paraId="76215321" w14:textId="66D5AE88" w:rsidR="00376CB9" w:rsidRDefault="00376CB9" w:rsidP="00376CB9">
      <w:pPr>
        <w:jc w:val="center"/>
      </w:pPr>
      <w:r>
        <w:t>Range = Maximum - Minimum</w:t>
      </w:r>
    </w:p>
    <w:p w14:paraId="101D5595" w14:textId="6A71CF6E" w:rsidR="00F2513A" w:rsidRDefault="00770443">
      <w:r>
        <w:t xml:space="preserve">It can tell you the distance between the two extreme values; but it does not </w:t>
      </w:r>
      <w:proofErr w:type="gramStart"/>
      <w:r>
        <w:t>take into account</w:t>
      </w:r>
      <w:proofErr w:type="gramEnd"/>
      <w:r>
        <w:t xml:space="preserve"> all the data values.</w:t>
      </w:r>
    </w:p>
    <w:p w14:paraId="3A8A3CFE" w14:textId="77777777" w:rsidR="00376CB9" w:rsidRDefault="00770443">
      <w:r>
        <w:t xml:space="preserve">The next, measure of spread is the interquartile range.  </w:t>
      </w:r>
    </w:p>
    <w:p w14:paraId="540D291D" w14:textId="7ECAC88B" w:rsidR="00376CB9" w:rsidRDefault="00376CB9" w:rsidP="00376CB9">
      <w:pPr>
        <w:jc w:val="center"/>
      </w:pPr>
      <w:r>
        <w:t>IQR = Q3 – Q1</w:t>
      </w:r>
    </w:p>
    <w:p w14:paraId="4E5BF72F" w14:textId="17EF0D69" w:rsidR="00770443" w:rsidRDefault="00770443">
      <w:r>
        <w:t>It measures the distance where 50% of the data lies.   The interquartile range is used to determine outliers.  But it does not use all the data in computing the range.</w:t>
      </w:r>
    </w:p>
    <w:p w14:paraId="4BD063AE" w14:textId="463BBEF6" w:rsidR="00770443" w:rsidRDefault="00770443">
      <w:r>
        <w:t xml:space="preserve">A new measure of spread is called the standard deviation.  It considers all the data values.  It measures the difference of each data value from the mean and squares the distance.  Then it totals the squared deviations and divides by n is we are looking at all values in the population.  Or it divides by n-1 if we are looking at the sample distribution.  </w:t>
      </w:r>
      <w:r w:rsidR="00A36848">
        <w:t>The value is called variance</w:t>
      </w:r>
    </w:p>
    <w:p w14:paraId="3DDE72EB" w14:textId="43D27A0C" w:rsidR="00770443" w:rsidRDefault="002039B6">
      <m:oMathPara>
        <m:oMath>
          <m:r>
            <w:rPr>
              <w:rFonts w:ascii="Cambria Math" w:hAnsi="Cambria Math"/>
            </w:rPr>
            <m:t xml:space="preserve">Population Variance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e>
                    <m:sup>
                      <m:r>
                        <w:rPr>
                          <w:rFonts w:ascii="Cambria Math" w:hAnsi="Cambria Math"/>
                        </w:rPr>
                        <m:t>2</m:t>
                      </m:r>
                    </m:sup>
                  </m:sSup>
                </m:e>
              </m:nary>
            </m:num>
            <m:den>
              <m:r>
                <w:rPr>
                  <w:rFonts w:ascii="Cambria Math" w:hAnsi="Cambria Math"/>
                </w:rPr>
                <m:t>N</m:t>
              </m:r>
            </m:den>
          </m:f>
          <m:r>
            <w:rPr>
              <w:rFonts w:ascii="Cambria Math" w:hAnsi="Cambria Math"/>
            </w:rPr>
            <m:t xml:space="preserve">,    Sample Variance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74927882" w14:textId="612336B4" w:rsidR="00770443" w:rsidRPr="002039B6" w:rsidRDefault="002039B6">
      <w:pPr>
        <w:rPr>
          <w:rFonts w:eastAsiaTheme="minorEastAsia"/>
        </w:rPr>
      </w:pPr>
      <m:oMathPara>
        <m:oMath>
          <m:r>
            <w:rPr>
              <w:rFonts w:ascii="Cambria Math" w:hAnsi="Cambria Math"/>
            </w:rPr>
            <m:t>Population Standard Deviation σ=</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oMath>
      </m:oMathPara>
    </w:p>
    <w:p w14:paraId="78E73DA2" w14:textId="3592A6A7" w:rsidR="002039B6" w:rsidRPr="002039B6" w:rsidRDefault="002039B6" w:rsidP="002039B6">
      <w:pPr>
        <w:rPr>
          <w:rFonts w:eastAsiaTheme="minorEastAsia"/>
        </w:rPr>
      </w:pPr>
      <m:oMathPara>
        <m:oMath>
          <m:r>
            <w:rPr>
              <w:rFonts w:ascii="Cambria Math" w:hAnsi="Cambria Math"/>
            </w:rPr>
            <m:t>Sample</m:t>
          </m:r>
          <m:r>
            <w:rPr>
              <w:rFonts w:ascii="Cambria Math" w:hAnsi="Cambria Math"/>
            </w:rPr>
            <m:t xml:space="preserve"> Standard Deviation </m:t>
          </m:r>
          <m:r>
            <w:rPr>
              <w:rFonts w:ascii="Cambria Math" w:hAnsi="Cambria Math"/>
            </w:rPr>
            <m:t>s</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r>
            <w:rPr>
              <w:rFonts w:ascii="Cambria Math" w:hAnsi="Cambria Math"/>
            </w:rPr>
            <m:t xml:space="preserve"> </m:t>
          </m:r>
        </m:oMath>
      </m:oMathPara>
    </w:p>
    <w:p w14:paraId="1EF67F52" w14:textId="77777777" w:rsidR="002039B6" w:rsidRDefault="002039B6"/>
    <w:p w14:paraId="5F29D614" w14:textId="54571165" w:rsidR="00770443" w:rsidRDefault="00A36848">
      <w:r>
        <w:t>Then we take the square root of the formula for standard deviation.</w:t>
      </w:r>
    </w:p>
    <w:p w14:paraId="12049446" w14:textId="77777777" w:rsidR="00770443" w:rsidRDefault="00770443"/>
    <w:bookmarkStart w:id="1" w:name="_MON_1660466921"/>
    <w:bookmarkEnd w:id="1"/>
    <w:p w14:paraId="2B13057B" w14:textId="2939108F" w:rsidR="00BB6D0D" w:rsidRDefault="002039B6">
      <w:r>
        <w:object w:dxaOrig="11208" w:dyaOrig="4078" w14:anchorId="2615AF6B">
          <v:shape id="_x0000_i1069" type="#_x0000_t75" style="width:467.8pt;height:170.2pt" o:ole="">
            <v:imagedata r:id="rId12" o:title=""/>
          </v:shape>
          <o:OLEObject Type="Embed" ProgID="Excel.Sheet.12" ShapeID="_x0000_i1069" DrawAspect="Content" ObjectID="_1660473011" r:id="rId13"/>
        </w:object>
      </w:r>
    </w:p>
    <w:p w14:paraId="53BCD40F" w14:textId="4759E7DB" w:rsidR="00770443" w:rsidRDefault="00BB6D0D" w:rsidP="00EE37A6">
      <w:pPr>
        <w:pStyle w:val="Heading1"/>
        <w:rPr>
          <w:b/>
          <w:bCs/>
        </w:rPr>
      </w:pPr>
      <w:r w:rsidRPr="00EE37A6">
        <w:rPr>
          <w:b/>
          <w:bCs/>
        </w:rPr>
        <w:t>Empirical Rule</w:t>
      </w:r>
    </w:p>
    <w:p w14:paraId="5F2089CF" w14:textId="655A8B56" w:rsidR="00EE37A6" w:rsidRDefault="00EE37A6" w:rsidP="00EE37A6">
      <w:r>
        <w:t>When the data is symmetric, we know the approximate percentage of data with standard deviations.</w:t>
      </w:r>
    </w:p>
    <w:p w14:paraId="5DA06032" w14:textId="492BC2BE" w:rsidR="00EE37A6" w:rsidRPr="00EE37A6" w:rsidRDefault="00EE37A6" w:rsidP="00EE37A6">
      <w:pPr>
        <w:pStyle w:val="ListParagraph"/>
        <w:numPr>
          <w:ilvl w:val="0"/>
          <w:numId w:val="1"/>
        </w:numPr>
        <w:rPr>
          <w:rFonts w:eastAsiaTheme="minorEastAsia"/>
        </w:rPr>
      </w:pPr>
      <w:r>
        <w:t xml:space="preserve">Between </w:t>
      </w:r>
      <m:oMath>
        <m:r>
          <w:rPr>
            <w:rFonts w:ascii="Cambria Math" w:hAnsi="Cambria Math"/>
          </w:rPr>
          <m:t xml:space="preserve">μ- σ  and </m:t>
        </m:r>
        <m:r>
          <w:rPr>
            <w:rFonts w:ascii="Cambria Math" w:hAnsi="Cambria Math"/>
          </w:rPr>
          <m:t>μ</m:t>
        </m:r>
        <m:r>
          <w:rPr>
            <w:rFonts w:ascii="Cambria Math" w:hAnsi="Cambria Math"/>
          </w:rPr>
          <m:t>+</m:t>
        </m:r>
        <m:r>
          <w:rPr>
            <w:rFonts w:ascii="Cambria Math" w:hAnsi="Cambria Math"/>
          </w:rPr>
          <m:t xml:space="preserve"> σ</m:t>
        </m:r>
        <m:r>
          <w:rPr>
            <w:rFonts w:ascii="Cambria Math" w:hAnsi="Cambria Math"/>
          </w:rPr>
          <m:t xml:space="preserve"> is 68% of the data</m:t>
        </m:r>
      </m:oMath>
    </w:p>
    <w:p w14:paraId="2EDAD10F" w14:textId="3379329D" w:rsidR="00EE37A6" w:rsidRPr="00EE37A6" w:rsidRDefault="00EE37A6" w:rsidP="00EE37A6">
      <w:pPr>
        <w:pStyle w:val="ListParagraph"/>
        <w:numPr>
          <w:ilvl w:val="0"/>
          <w:numId w:val="1"/>
        </w:numPr>
        <w:rPr>
          <w:rFonts w:eastAsiaTheme="minorEastAsia"/>
        </w:rPr>
      </w:pPr>
      <w:r w:rsidRPr="00EE37A6">
        <w:rPr>
          <w:rFonts w:eastAsiaTheme="minorEastAsia"/>
        </w:rPr>
        <w:t xml:space="preserve">Between </w:t>
      </w:r>
      <m:oMath>
        <m:r>
          <w:rPr>
            <w:rFonts w:ascii="Cambria Math" w:hAnsi="Cambria Math"/>
          </w:rPr>
          <m:t xml:space="preserve">μ- </m:t>
        </m:r>
        <m:r>
          <w:rPr>
            <w:rFonts w:ascii="Cambria Math" w:hAnsi="Cambria Math"/>
          </w:rPr>
          <m:t>2</m:t>
        </m:r>
        <m:r>
          <w:rPr>
            <w:rFonts w:ascii="Cambria Math" w:hAnsi="Cambria Math"/>
          </w:rPr>
          <m:t xml:space="preserve">σ  and μ+ </m:t>
        </m:r>
        <m:r>
          <w:rPr>
            <w:rFonts w:ascii="Cambria Math" w:hAnsi="Cambria Math"/>
          </w:rPr>
          <m:t>2</m:t>
        </m:r>
        <m:r>
          <w:rPr>
            <w:rFonts w:ascii="Cambria Math" w:hAnsi="Cambria Math"/>
          </w:rPr>
          <m:t xml:space="preserve">σ is </m:t>
        </m:r>
        <m:r>
          <w:rPr>
            <w:rFonts w:ascii="Cambria Math" w:hAnsi="Cambria Math"/>
          </w:rPr>
          <m:t>95</m:t>
        </m:r>
        <m:r>
          <w:rPr>
            <w:rFonts w:ascii="Cambria Math" w:hAnsi="Cambria Math"/>
          </w:rPr>
          <m:t>% of the data</m:t>
        </m:r>
      </m:oMath>
    </w:p>
    <w:p w14:paraId="1D52A241" w14:textId="06275043" w:rsidR="00EE37A6" w:rsidRPr="00EE37A6" w:rsidRDefault="00EE37A6" w:rsidP="00D04BC3">
      <w:pPr>
        <w:pStyle w:val="ListParagraph"/>
        <w:numPr>
          <w:ilvl w:val="0"/>
          <w:numId w:val="1"/>
        </w:numPr>
      </w:pPr>
      <w:r w:rsidRPr="00EE37A6">
        <w:rPr>
          <w:rFonts w:eastAsiaTheme="minorEastAsia"/>
        </w:rPr>
        <w:t xml:space="preserve">Between </w:t>
      </w:r>
      <m:oMath>
        <m:r>
          <w:rPr>
            <w:rFonts w:ascii="Cambria Math" w:hAnsi="Cambria Math"/>
          </w:rPr>
          <m:t xml:space="preserve">μ- </m:t>
        </m:r>
        <m:r>
          <w:rPr>
            <w:rFonts w:ascii="Cambria Math" w:hAnsi="Cambria Math"/>
          </w:rPr>
          <m:t>3</m:t>
        </m:r>
        <m:r>
          <w:rPr>
            <w:rFonts w:ascii="Cambria Math" w:hAnsi="Cambria Math"/>
          </w:rPr>
          <m:t xml:space="preserve">σ  and μ+ </m:t>
        </m:r>
        <m:r>
          <w:rPr>
            <w:rFonts w:ascii="Cambria Math" w:hAnsi="Cambria Math"/>
          </w:rPr>
          <m:t>3</m:t>
        </m:r>
        <m:r>
          <w:rPr>
            <w:rFonts w:ascii="Cambria Math" w:hAnsi="Cambria Math"/>
          </w:rPr>
          <m:t xml:space="preserve">σ is </m:t>
        </m:r>
        <m:r>
          <w:rPr>
            <w:rFonts w:ascii="Cambria Math" w:hAnsi="Cambria Math"/>
          </w:rPr>
          <m:t>99.7%</m:t>
        </m:r>
        <m:r>
          <w:rPr>
            <w:rFonts w:ascii="Cambria Math" w:hAnsi="Cambria Math"/>
          </w:rPr>
          <m:t xml:space="preserve"> of the data</m:t>
        </m:r>
      </m:oMath>
    </w:p>
    <w:p w14:paraId="2D3EDA1B" w14:textId="5FEC8A26" w:rsidR="00EE37A6" w:rsidRDefault="00EE37A6" w:rsidP="00EE37A6">
      <w:pPr>
        <w:ind w:left="360"/>
        <w:rPr>
          <w:rFonts w:eastAsiaTheme="minorEastAsia"/>
        </w:rPr>
      </w:pPr>
      <w:r>
        <w:t xml:space="preserve">The chart below shows the Empirical Rule when the </w:t>
      </w:r>
      <m:oMath>
        <m:r>
          <w:rPr>
            <w:rFonts w:ascii="Cambria Math" w:hAnsi="Cambria Math"/>
          </w:rPr>
          <m:t>μ=60 and σ=5</m:t>
        </m:r>
      </m:oMath>
    </w:p>
    <w:p w14:paraId="107CACE6" w14:textId="744A17CC" w:rsidR="00EE37A6" w:rsidRDefault="00EE37A6" w:rsidP="00EE37A6">
      <w:pPr>
        <w:ind w:left="360"/>
        <w:jc w:val="center"/>
      </w:pPr>
      <w:r>
        <w:rPr>
          <w:noProof/>
        </w:rPr>
        <w:drawing>
          <wp:inline distT="0" distB="0" distL="0" distR="0" wp14:anchorId="64B3375D" wp14:editId="01BE1577">
            <wp:extent cx="2817197" cy="19249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423" cy="1931238"/>
                    </a:xfrm>
                    <a:prstGeom prst="rect">
                      <a:avLst/>
                    </a:prstGeom>
                  </pic:spPr>
                </pic:pic>
              </a:graphicData>
            </a:graphic>
          </wp:inline>
        </w:drawing>
      </w:r>
    </w:p>
    <w:p w14:paraId="597FD556" w14:textId="5E366CC5" w:rsidR="00EE37A6" w:rsidRDefault="00CF46D5" w:rsidP="00EE37A6">
      <w:pPr>
        <w:ind w:left="360"/>
        <w:jc w:val="center"/>
      </w:pPr>
      <w:r>
        <w:t>60 – 5 = 55 and 60 + 5 = 65</w:t>
      </w:r>
      <w:r>
        <w:tab/>
      </w:r>
      <w:r>
        <w:tab/>
        <w:t>68% of the data is between 55 and 65</w:t>
      </w:r>
    </w:p>
    <w:p w14:paraId="5D11B434" w14:textId="20003229" w:rsidR="00CF46D5" w:rsidRPr="00CF46D5" w:rsidRDefault="00CF46D5" w:rsidP="00EE37A6">
      <w:pPr>
        <w:ind w:left="360"/>
        <w:jc w:val="center"/>
        <w:rPr>
          <w:b/>
          <w:bCs/>
        </w:rPr>
      </w:pPr>
      <w:r w:rsidRPr="00CF46D5">
        <w:rPr>
          <w:b/>
          <w:bCs/>
        </w:rPr>
        <w:t>60 – 2*5 = 50 and 60 + 2*5 = 70</w:t>
      </w:r>
      <w:r>
        <w:rPr>
          <w:b/>
          <w:bCs/>
        </w:rPr>
        <w:tab/>
      </w:r>
      <w:r w:rsidRPr="00CF46D5">
        <w:rPr>
          <w:b/>
          <w:bCs/>
        </w:rPr>
        <w:t>95% of the data is between 50 and 70</w:t>
      </w:r>
    </w:p>
    <w:p w14:paraId="02D9953B" w14:textId="54BD3E92" w:rsidR="00CF46D5" w:rsidRDefault="00CF46D5" w:rsidP="00EE37A6">
      <w:pPr>
        <w:ind w:left="360"/>
        <w:jc w:val="center"/>
      </w:pPr>
      <w:r>
        <w:t>60 – 3*5 = 45 and 60 + 3*5 = 75</w:t>
      </w:r>
      <w:r>
        <w:tab/>
        <w:t xml:space="preserve">  99.7% of the data is between 45 and 75</w:t>
      </w:r>
    </w:p>
    <w:p w14:paraId="19D5C6D3" w14:textId="7976EE13" w:rsidR="00CF46D5" w:rsidRPr="00CF46D5" w:rsidRDefault="00CF46D5" w:rsidP="00CF46D5">
      <w:pPr>
        <w:pStyle w:val="Heading1"/>
        <w:rPr>
          <w:b/>
          <w:bCs/>
        </w:rPr>
      </w:pPr>
      <w:r w:rsidRPr="00CF46D5">
        <w:rPr>
          <w:b/>
          <w:bCs/>
        </w:rPr>
        <w:t>Outliers</w:t>
      </w:r>
    </w:p>
    <w:p w14:paraId="454E502F" w14:textId="475EC5C4" w:rsidR="00BB6D0D" w:rsidRDefault="00BB6D0D">
      <w:r>
        <w:t xml:space="preserve">We say that </w:t>
      </w:r>
      <w:r w:rsidR="00CF46D5">
        <w:t xml:space="preserve">values </w:t>
      </w:r>
      <w:r>
        <w:t xml:space="preserve">outside the 95% </w:t>
      </w:r>
      <w:r w:rsidR="00CF46D5">
        <w:t xml:space="preserve">interval </w:t>
      </w:r>
      <w:r>
        <w:t>is unusual.  To find extreme values, use the following formula</w:t>
      </w:r>
      <w:r w:rsidR="00CF46D5">
        <w:t>.</w:t>
      </w:r>
    </w:p>
    <w:p w14:paraId="6240F7F4" w14:textId="414A054D" w:rsidR="00BB6D0D" w:rsidRPr="00BB6D0D" w:rsidRDefault="00BB6D0D">
      <w:pPr>
        <w:rPr>
          <w:rFonts w:eastAsiaTheme="minorEastAsia"/>
        </w:rPr>
      </w:pPr>
      <m:oMathPara>
        <m:oMath>
          <m:r>
            <w:rPr>
              <w:rFonts w:ascii="Cambria Math" w:hAnsi="Cambria Math"/>
            </w:rPr>
            <m:t>less than μ-2*σ  or greater than μ+2*σ</m:t>
          </m:r>
        </m:oMath>
      </m:oMathPara>
    </w:p>
    <w:p w14:paraId="4FBA3A48" w14:textId="01A6E761" w:rsidR="00BB6D0D" w:rsidRDefault="00BB6D0D">
      <w:pPr>
        <w:rPr>
          <w:rFonts w:eastAsiaTheme="minorEastAsia"/>
        </w:rPr>
      </w:pPr>
      <w:r>
        <w:rPr>
          <w:rFonts w:eastAsiaTheme="minorEastAsia"/>
        </w:rPr>
        <w:t>the values are outliers.</w:t>
      </w:r>
    </w:p>
    <w:p w14:paraId="7B072B4F" w14:textId="6A014019" w:rsidR="00EE37A6" w:rsidRDefault="00EE37A6">
      <w:pPr>
        <w:rPr>
          <w:rFonts w:eastAsiaTheme="minorEastAsia"/>
        </w:rPr>
      </w:pPr>
      <w:r>
        <w:rPr>
          <w:rFonts w:eastAsiaTheme="minorEastAsia"/>
        </w:rPr>
        <w:t xml:space="preserve">Not all curves are symmetric, when they are skewed, we can </w:t>
      </w:r>
      <w:proofErr w:type="spellStart"/>
      <w:r>
        <w:rPr>
          <w:rFonts w:eastAsiaTheme="minorEastAsia"/>
        </w:rPr>
        <w:t>Tchebysheff’s</w:t>
      </w:r>
      <w:proofErr w:type="spellEnd"/>
      <w:r>
        <w:rPr>
          <w:rFonts w:eastAsiaTheme="minorEastAsia"/>
        </w:rPr>
        <w:t xml:space="preserve"> Theorem to determine the percent of data within standard deviations from the mean.</w:t>
      </w:r>
    </w:p>
    <w:p w14:paraId="28D9C312" w14:textId="77777777" w:rsidR="00EE37A6" w:rsidRPr="00EE37A6" w:rsidRDefault="00EE37A6" w:rsidP="00EE37A6">
      <w:pPr>
        <w:pStyle w:val="Heading1"/>
        <w:rPr>
          <w:b/>
          <w:bCs/>
        </w:rPr>
      </w:pPr>
      <w:proofErr w:type="spellStart"/>
      <w:r w:rsidRPr="00EE37A6">
        <w:rPr>
          <w:b/>
          <w:bCs/>
        </w:rPr>
        <w:t>Tchebysheff’s</w:t>
      </w:r>
      <w:proofErr w:type="spellEnd"/>
      <w:r w:rsidRPr="00EE37A6">
        <w:rPr>
          <w:b/>
          <w:bCs/>
        </w:rPr>
        <w:t xml:space="preserve"> Theorem </w:t>
      </w:r>
    </w:p>
    <w:p w14:paraId="6713C6E9" w14:textId="77777777" w:rsidR="00EE37A6" w:rsidRDefault="00EE37A6">
      <w:r>
        <w:t>When the data cannot use the Empirical rule to describe it. For example, the data set can be skewed (left or right), flat, or some shape other than a bell</w:t>
      </w:r>
      <w:r>
        <w:t>-</w:t>
      </w:r>
      <w:r>
        <w:t xml:space="preserve">shaped curve. There is a more conservative rule to describe the data. </w:t>
      </w:r>
    </w:p>
    <w:p w14:paraId="54F288F5" w14:textId="77777777" w:rsidR="00EE37A6" w:rsidRDefault="00EE37A6">
      <w:r>
        <w:rPr>
          <w:rFonts w:ascii="Cambria Math" w:hAnsi="Cambria Math" w:cs="Cambria Math"/>
        </w:rPr>
        <w:t>𝑥</w:t>
      </w:r>
      <w:r>
        <w:rPr>
          <w:rFonts w:ascii="Calibri" w:hAnsi="Calibri" w:cs="Calibri"/>
        </w:rPr>
        <w:t>̅</w:t>
      </w:r>
      <w:r>
        <w:t xml:space="preserve">± </w:t>
      </w:r>
      <w:r>
        <w:rPr>
          <w:rFonts w:ascii="Cambria Math" w:hAnsi="Cambria Math" w:cs="Cambria Math"/>
        </w:rPr>
        <w:t>𝑠</w:t>
      </w:r>
      <w:r>
        <w:t xml:space="preserve"> at least 0% </w:t>
      </w:r>
    </w:p>
    <w:p w14:paraId="138823EF" w14:textId="77777777" w:rsidR="00EE37A6" w:rsidRDefault="00EE37A6">
      <w:r>
        <w:rPr>
          <w:rFonts w:ascii="Cambria Math" w:hAnsi="Cambria Math" w:cs="Cambria Math"/>
        </w:rPr>
        <w:t>𝑥</w:t>
      </w:r>
      <w:r>
        <w:rPr>
          <w:rFonts w:ascii="Calibri" w:hAnsi="Calibri" w:cs="Calibri"/>
        </w:rPr>
        <w:t>̅</w:t>
      </w:r>
      <w:r>
        <w:t>± 2</w:t>
      </w:r>
      <w:r>
        <w:rPr>
          <w:rFonts w:ascii="Cambria Math" w:hAnsi="Cambria Math" w:cs="Cambria Math"/>
        </w:rPr>
        <w:t>𝑠</w:t>
      </w:r>
      <w:r>
        <w:t xml:space="preserve"> at least 75% </w:t>
      </w:r>
    </w:p>
    <w:p w14:paraId="238C5056" w14:textId="77777777" w:rsidR="00EE37A6" w:rsidRDefault="00EE37A6">
      <w:r>
        <w:rPr>
          <w:rFonts w:ascii="Cambria Math" w:hAnsi="Cambria Math" w:cs="Cambria Math"/>
        </w:rPr>
        <w:t>𝑥</w:t>
      </w:r>
      <w:r>
        <w:rPr>
          <w:rFonts w:ascii="Calibri" w:hAnsi="Calibri" w:cs="Calibri"/>
        </w:rPr>
        <w:t>̅</w:t>
      </w:r>
      <w:r>
        <w:t>± 3</w:t>
      </w:r>
      <w:r>
        <w:rPr>
          <w:rFonts w:ascii="Cambria Math" w:hAnsi="Cambria Math" w:cs="Cambria Math"/>
        </w:rPr>
        <w:t>𝑠</w:t>
      </w:r>
      <w:r>
        <w:t xml:space="preserve"> at least 89% </w:t>
      </w:r>
    </w:p>
    <w:p w14:paraId="08018E6E" w14:textId="332CEBDB" w:rsidR="00BB6D0D" w:rsidRDefault="00EE37A6">
      <w:r>
        <w:rPr>
          <w:rFonts w:ascii="Cambria Math" w:hAnsi="Cambria Math" w:cs="Cambria Math"/>
        </w:rPr>
        <w:t>𝑥</w:t>
      </w:r>
      <w:r>
        <w:rPr>
          <w:rFonts w:ascii="Calibri" w:hAnsi="Calibri" w:cs="Calibri"/>
        </w:rPr>
        <w:t>̅</w:t>
      </w:r>
      <w:r>
        <w:t xml:space="preserve">± </w:t>
      </w:r>
      <w:r>
        <w:rPr>
          <w:rFonts w:ascii="Cambria Math" w:hAnsi="Cambria Math" w:cs="Cambria Math"/>
        </w:rPr>
        <w:t>𝑘𝑠</w:t>
      </w:r>
      <w:r>
        <w:t xml:space="preserve"> at least 100</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w:r>
        <w:t>%</w:t>
      </w:r>
    </w:p>
    <w:p w14:paraId="728498D6" w14:textId="162512FC" w:rsidR="00EE37A6" w:rsidRDefault="00CF46D5">
      <w:r>
        <w:t>Comparing the Variability of two data sets</w:t>
      </w:r>
    </w:p>
    <w:p w14:paraId="27561A20" w14:textId="0F8BE06F" w:rsidR="00CF46D5" w:rsidRDefault="00CF46D5">
      <w:r>
        <w:t xml:space="preserve">Suppose you wanted to compare two </w:t>
      </w:r>
      <w:r w:rsidR="00662DFF">
        <w:t>blood pressure</w:t>
      </w:r>
      <w:r>
        <w:t xml:space="preserve"> </w:t>
      </w:r>
      <w:r w:rsidR="00662DFF">
        <w:t>drugs</w:t>
      </w:r>
      <w:r>
        <w:t xml:space="preserve">.  The measures below </w:t>
      </w:r>
      <w:r w:rsidR="00662DFF">
        <w:t>are</w:t>
      </w:r>
      <w:r>
        <w:t xml:space="preserve"> the amount of time in hours the medicine will control the blood pressure in a normal range</w:t>
      </w:r>
      <w:r w:rsidR="00662DFF">
        <w:t>.</w:t>
      </w:r>
      <w:r>
        <w:t xml:space="preserve"> </w:t>
      </w:r>
    </w:p>
    <w:bookmarkStart w:id="2" w:name="_MON_1660470290"/>
    <w:bookmarkEnd w:id="2"/>
    <w:p w14:paraId="72218F57" w14:textId="1BBC8448" w:rsidR="00662DFF" w:rsidRDefault="00A31C42">
      <w:r>
        <w:object w:dxaOrig="12645" w:dyaOrig="2049" w14:anchorId="6AB4F903">
          <v:shape id="_x0000_i1081" type="#_x0000_t75" style="width:458.2pt;height:102.4pt" o:ole="">
            <v:imagedata r:id="rId15" o:title=""/>
          </v:shape>
          <o:OLEObject Type="Embed" ProgID="Excel.Sheet.12" ShapeID="_x0000_i1081" DrawAspect="Content" ObjectID="_1660473012" r:id="rId16"/>
        </w:object>
      </w:r>
    </w:p>
    <w:p w14:paraId="464CFA90" w14:textId="1B5A7B82" w:rsidR="00662DFF" w:rsidRDefault="00662DFF">
      <w:r>
        <w:t>To find the mean of the data set copy the data to an Excel spreadsheet and enter the following formulas.</w:t>
      </w:r>
    </w:p>
    <w:p w14:paraId="7940F1A1" w14:textId="42BA4875" w:rsidR="00662DFF" w:rsidRDefault="00662DFF">
      <w:r>
        <w:t>To find the Mean enter =AVERAGE(highlight the data)</w:t>
      </w:r>
    </w:p>
    <w:p w14:paraId="6C350F05" w14:textId="219C3D67" w:rsidR="00662DFF" w:rsidRDefault="00662DFF">
      <w:r>
        <w:t>To find the Standard deviation enter =STDEV.S(highlight the data)</w:t>
      </w:r>
    </w:p>
    <w:p w14:paraId="01EC6C6B" w14:textId="29FF728E" w:rsidR="00662DFF" w:rsidRDefault="00662DFF">
      <w:r>
        <w:t>To find the Coefficient of Variation enter =100*cell of Standard deviation/cell of Average</w:t>
      </w:r>
    </w:p>
    <w:p w14:paraId="47DA73F9" w14:textId="72B53FDF" w:rsidR="00662DFF" w:rsidRDefault="00662DFF">
      <w:r>
        <w:t>Click on the table above to see the Excel Spreadsheet.</w:t>
      </w:r>
    </w:p>
    <w:p w14:paraId="2E6047D9" w14:textId="0E0174A9" w:rsidR="00662DFF" w:rsidRDefault="00A31C42">
      <w:r>
        <w:t xml:space="preserve">Drug A seems to be a bit better medication to use looking only at the mean.  However, when you look at the spread of the values in each data set, the Drug A is more spread out, the standard deviation is larger.  Therefore, the range of values within 2 standard deviations from the mean is 27.3 – 2*12.68  and 27.3 + 2* 12.68(1.94 to 52.66 hours).  </w:t>
      </w:r>
    </w:p>
    <w:p w14:paraId="68E53D60" w14:textId="3C538829" w:rsidR="00A31C42" w:rsidRDefault="00A31C42">
      <w:r>
        <w:t>Drug B is less spread out.  That means when you take the drug it is more reliable since the range of values is 26-2*1.70 and 26 + 2*1.70 ( 22.6 to 29.4 hours).</w:t>
      </w:r>
    </w:p>
    <w:p w14:paraId="6B9B4EAE" w14:textId="3EB17DC4" w:rsidR="00A31C42" w:rsidRDefault="00A31C42">
      <w:r>
        <w:t xml:space="preserve">Another way to measure variability is the </w:t>
      </w:r>
      <w:r>
        <w:rPr>
          <w:b/>
          <w:bCs/>
        </w:rPr>
        <w:t xml:space="preserve">Coefficient of Variation.  </w:t>
      </w:r>
      <w:r>
        <w:t>It is defined to be</w:t>
      </w:r>
    </w:p>
    <w:p w14:paraId="3A329C93" w14:textId="034382E8" w:rsidR="00A31C42" w:rsidRPr="00A31C42" w:rsidRDefault="00A31C42">
      <w:pPr>
        <w:rPr>
          <w:rFonts w:eastAsiaTheme="minorEastAsia"/>
        </w:rPr>
      </w:pPr>
      <m:oMathPara>
        <m:oMath>
          <m:r>
            <w:rPr>
              <w:rFonts w:ascii="Cambria Math" w:hAnsi="Cambria Math"/>
            </w:rPr>
            <m:t>Population CV=100*</m:t>
          </m:r>
          <m:f>
            <m:fPr>
              <m:ctrlPr>
                <w:rPr>
                  <w:rFonts w:ascii="Cambria Math" w:hAnsi="Cambria Math"/>
                  <w:i/>
                </w:rPr>
              </m:ctrlPr>
            </m:fPr>
            <m:num>
              <m:r>
                <w:rPr>
                  <w:rFonts w:ascii="Cambria Math" w:hAnsi="Cambria Math"/>
                </w:rPr>
                <m:t>σ</m:t>
              </m:r>
            </m:num>
            <m:den>
              <m:acc>
                <m:accPr>
                  <m:chr m:val="̅"/>
                  <m:ctrlPr>
                    <w:rPr>
                      <w:rFonts w:ascii="Cambria Math" w:hAnsi="Cambria Math"/>
                      <w:i/>
                    </w:rPr>
                  </m:ctrlPr>
                </m:accPr>
                <m:e>
                  <m:r>
                    <w:rPr>
                      <w:rFonts w:ascii="Cambria Math" w:hAnsi="Cambria Math"/>
                    </w:rPr>
                    <m:t>μ</m:t>
                  </m:r>
                </m:e>
              </m:acc>
            </m:den>
          </m:f>
          <m:r>
            <w:rPr>
              <w:rFonts w:ascii="Cambria Math" w:hAnsi="Cambria Math"/>
            </w:rPr>
            <m:t>, or   Sample CV=100*</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m:t>
          </m:r>
        </m:oMath>
      </m:oMathPara>
    </w:p>
    <w:p w14:paraId="5001B43B" w14:textId="63EA3328" w:rsidR="00A31C42" w:rsidRPr="00A31C42" w:rsidRDefault="00A31C42">
      <w:r>
        <w:rPr>
          <w:rFonts w:eastAsiaTheme="minorEastAsia"/>
        </w:rPr>
        <w:t>Whichever, population or sample has the smallest percentage is the less variable.</w:t>
      </w:r>
    </w:p>
    <w:p w14:paraId="034997F4" w14:textId="39571454" w:rsidR="00770443" w:rsidRDefault="00770443"/>
    <w:p w14:paraId="5CB3A632" w14:textId="77777777" w:rsidR="00770443" w:rsidRDefault="00770443"/>
    <w:p w14:paraId="5545D0FB" w14:textId="77777777" w:rsidR="00210B33" w:rsidRDefault="00210B33"/>
    <w:p w14:paraId="15F07AC8" w14:textId="77777777" w:rsidR="00A05126" w:rsidRDefault="00A05126"/>
    <w:p w14:paraId="3848CCA8" w14:textId="77777777" w:rsidR="005C542E" w:rsidRDefault="005C542E"/>
    <w:sectPr w:rsidR="005C542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23202" w14:textId="77777777" w:rsidR="00D94044" w:rsidRDefault="00D94044" w:rsidP="00A31C42">
      <w:pPr>
        <w:spacing w:after="0" w:line="240" w:lineRule="auto"/>
      </w:pPr>
      <w:r>
        <w:separator/>
      </w:r>
    </w:p>
  </w:endnote>
  <w:endnote w:type="continuationSeparator" w:id="0">
    <w:p w14:paraId="2B948BAF" w14:textId="77777777" w:rsidR="00D94044" w:rsidRDefault="00D94044" w:rsidP="00A31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3599912"/>
      <w:docPartObj>
        <w:docPartGallery w:val="Page Numbers (Bottom of Page)"/>
        <w:docPartUnique/>
      </w:docPartObj>
    </w:sdtPr>
    <w:sdtEndPr>
      <w:rPr>
        <w:noProof/>
      </w:rPr>
    </w:sdtEndPr>
    <w:sdtContent>
      <w:p w14:paraId="279F5CE4" w14:textId="58188442" w:rsidR="00A31C42" w:rsidRDefault="00A31C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EC3A6" w14:textId="77777777" w:rsidR="00A31C42" w:rsidRDefault="00A31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5D4EB" w14:textId="77777777" w:rsidR="00D94044" w:rsidRDefault="00D94044" w:rsidP="00A31C42">
      <w:pPr>
        <w:spacing w:after="0" w:line="240" w:lineRule="auto"/>
      </w:pPr>
      <w:r>
        <w:separator/>
      </w:r>
    </w:p>
  </w:footnote>
  <w:footnote w:type="continuationSeparator" w:id="0">
    <w:p w14:paraId="33B4CC9E" w14:textId="77777777" w:rsidR="00D94044" w:rsidRDefault="00D94044" w:rsidP="00A31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15FB7"/>
    <w:multiLevelType w:val="hybridMultilevel"/>
    <w:tmpl w:val="94B0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2E"/>
    <w:rsid w:val="00187825"/>
    <w:rsid w:val="002039B6"/>
    <w:rsid w:val="00210B33"/>
    <w:rsid w:val="00376CB9"/>
    <w:rsid w:val="005627D8"/>
    <w:rsid w:val="005C542E"/>
    <w:rsid w:val="00604439"/>
    <w:rsid w:val="00662DFF"/>
    <w:rsid w:val="0070178D"/>
    <w:rsid w:val="00770443"/>
    <w:rsid w:val="007F575D"/>
    <w:rsid w:val="00A05126"/>
    <w:rsid w:val="00A31C42"/>
    <w:rsid w:val="00A36848"/>
    <w:rsid w:val="00AD332E"/>
    <w:rsid w:val="00BB6D0D"/>
    <w:rsid w:val="00CF46D5"/>
    <w:rsid w:val="00D94044"/>
    <w:rsid w:val="00EE37A6"/>
    <w:rsid w:val="00F2513A"/>
    <w:rsid w:val="00FF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6790"/>
  <w15:chartTrackingRefBased/>
  <w15:docId w15:val="{F172180B-A1D4-4BBE-A014-B17585BC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42E"/>
    <w:rPr>
      <w:color w:val="808080"/>
    </w:rPr>
  </w:style>
  <w:style w:type="character" w:customStyle="1" w:styleId="Heading1Char">
    <w:name w:val="Heading 1 Char"/>
    <w:basedOn w:val="DefaultParagraphFont"/>
    <w:link w:val="Heading1"/>
    <w:uiPriority w:val="9"/>
    <w:rsid w:val="00210B3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04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37A6"/>
    <w:pPr>
      <w:ind w:left="720"/>
      <w:contextualSpacing/>
    </w:pPr>
  </w:style>
  <w:style w:type="paragraph" w:styleId="Header">
    <w:name w:val="header"/>
    <w:basedOn w:val="Normal"/>
    <w:link w:val="HeaderChar"/>
    <w:uiPriority w:val="99"/>
    <w:unhideWhenUsed/>
    <w:rsid w:val="00A31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C42"/>
  </w:style>
  <w:style w:type="paragraph" w:styleId="Footer">
    <w:name w:val="footer"/>
    <w:basedOn w:val="Normal"/>
    <w:link w:val="FooterChar"/>
    <w:uiPriority w:val="99"/>
    <w:unhideWhenUsed/>
    <w:rsid w:val="00A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28566">
      <w:bodyDiv w:val="1"/>
      <w:marLeft w:val="0"/>
      <w:marRight w:val="0"/>
      <w:marTop w:val="0"/>
      <w:marBottom w:val="0"/>
      <w:divBdr>
        <w:top w:val="none" w:sz="0" w:space="0" w:color="auto"/>
        <w:left w:val="none" w:sz="0" w:space="0" w:color="auto"/>
        <w:bottom w:val="none" w:sz="0" w:space="0" w:color="auto"/>
        <w:right w:val="none" w:sz="0" w:space="0" w:color="auto"/>
      </w:divBdr>
      <w:divsChild>
        <w:div w:id="208499621">
          <w:marLeft w:val="0"/>
          <w:marRight w:val="0"/>
          <w:marTop w:val="0"/>
          <w:marBottom w:val="0"/>
          <w:divBdr>
            <w:top w:val="none" w:sz="0" w:space="0" w:color="auto"/>
            <w:left w:val="none" w:sz="0" w:space="0" w:color="auto"/>
            <w:bottom w:val="none" w:sz="0" w:space="0" w:color="auto"/>
            <w:right w:val="none" w:sz="0" w:space="0" w:color="auto"/>
          </w:divBdr>
        </w:div>
      </w:divsChild>
    </w:div>
    <w:div w:id="17499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2.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Symmetric Distribution</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Sheet1!$H$2:$H$6</c:f>
              <c:numCache>
                <c:formatCode>General</c:formatCode>
                <c:ptCount val="5"/>
                <c:pt idx="0">
                  <c:v>5</c:v>
                </c:pt>
                <c:pt idx="1">
                  <c:v>6</c:v>
                </c:pt>
                <c:pt idx="2">
                  <c:v>7</c:v>
                </c:pt>
                <c:pt idx="3">
                  <c:v>8</c:v>
                </c:pt>
                <c:pt idx="4">
                  <c:v>9</c:v>
                </c:pt>
              </c:numCache>
            </c:numRef>
          </c:cat>
          <c:val>
            <c:numRef>
              <c:f>Sheet1!$I$2:$I$6</c:f>
              <c:numCache>
                <c:formatCode>General</c:formatCode>
                <c:ptCount val="5"/>
                <c:pt idx="0">
                  <c:v>1</c:v>
                </c:pt>
                <c:pt idx="1">
                  <c:v>2</c:v>
                </c:pt>
                <c:pt idx="2">
                  <c:v>3</c:v>
                </c:pt>
                <c:pt idx="3">
                  <c:v>2</c:v>
                </c:pt>
                <c:pt idx="4">
                  <c:v>1</c:v>
                </c:pt>
              </c:numCache>
            </c:numRef>
          </c:val>
          <c:extLst>
            <c:ext xmlns:c16="http://schemas.microsoft.com/office/drawing/2014/chart" uri="{C3380CC4-5D6E-409C-BE32-E72D297353CC}">
              <c16:uniqueId val="{00000000-353C-4997-98D4-CCE52CBAE0C8}"/>
            </c:ext>
          </c:extLst>
        </c:ser>
        <c:dLbls>
          <c:dLblPos val="inEnd"/>
          <c:showLegendKey val="0"/>
          <c:showVal val="1"/>
          <c:showCatName val="0"/>
          <c:showSerName val="0"/>
          <c:showPercent val="0"/>
          <c:showBubbleSize val="0"/>
        </c:dLbls>
        <c:gapWidth val="41"/>
        <c:axId val="1479722640"/>
        <c:axId val="1331117152"/>
      </c:barChart>
      <c:catAx>
        <c:axId val="1479722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331117152"/>
        <c:crosses val="autoZero"/>
        <c:auto val="1"/>
        <c:lblAlgn val="ctr"/>
        <c:lblOffset val="100"/>
        <c:noMultiLvlLbl val="0"/>
      </c:catAx>
      <c:valAx>
        <c:axId val="1331117152"/>
        <c:scaling>
          <c:orientation val="minMax"/>
        </c:scaling>
        <c:delete val="1"/>
        <c:axPos val="l"/>
        <c:numFmt formatCode="General" sourceLinked="1"/>
        <c:majorTickMark val="none"/>
        <c:minorTickMark val="none"/>
        <c:tickLblPos val="nextTo"/>
        <c:crossAx val="1479722640"/>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Left Skewed Distribution</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Sheet1!$B$14:$B$25</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Sheet1!$C$14:$C$25</c:f>
              <c:numCache>
                <c:formatCode>General</c:formatCode>
                <c:ptCount val="12"/>
                <c:pt idx="0">
                  <c:v>1</c:v>
                </c:pt>
                <c:pt idx="1">
                  <c:v>1</c:v>
                </c:pt>
                <c:pt idx="2">
                  <c:v>0</c:v>
                </c:pt>
                <c:pt idx="3">
                  <c:v>0</c:v>
                </c:pt>
                <c:pt idx="4">
                  <c:v>0</c:v>
                </c:pt>
                <c:pt idx="5">
                  <c:v>0</c:v>
                </c:pt>
                <c:pt idx="6">
                  <c:v>0</c:v>
                </c:pt>
                <c:pt idx="7">
                  <c:v>2</c:v>
                </c:pt>
                <c:pt idx="8">
                  <c:v>3</c:v>
                </c:pt>
                <c:pt idx="9">
                  <c:v>4</c:v>
                </c:pt>
                <c:pt idx="10">
                  <c:v>3</c:v>
                </c:pt>
                <c:pt idx="11">
                  <c:v>2</c:v>
                </c:pt>
              </c:numCache>
            </c:numRef>
          </c:val>
          <c:extLst>
            <c:ext xmlns:c16="http://schemas.microsoft.com/office/drawing/2014/chart" uri="{C3380CC4-5D6E-409C-BE32-E72D297353CC}">
              <c16:uniqueId val="{00000000-40CC-48E9-A46C-6DBD2AFE503E}"/>
            </c:ext>
          </c:extLst>
        </c:ser>
        <c:dLbls>
          <c:dLblPos val="inEnd"/>
          <c:showLegendKey val="0"/>
          <c:showVal val="1"/>
          <c:showCatName val="0"/>
          <c:showSerName val="0"/>
          <c:showPercent val="0"/>
          <c:showBubbleSize val="0"/>
        </c:dLbls>
        <c:gapWidth val="41"/>
        <c:axId val="1536826704"/>
        <c:axId val="1481634400"/>
      </c:barChart>
      <c:catAx>
        <c:axId val="15368267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Data values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481634400"/>
        <c:crosses val="autoZero"/>
        <c:auto val="1"/>
        <c:lblAlgn val="ctr"/>
        <c:lblOffset val="100"/>
        <c:noMultiLvlLbl val="0"/>
      </c:catAx>
      <c:valAx>
        <c:axId val="1481634400"/>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368267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Right Skewed</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Sheet4!$A$1:$A$14</c:f>
              <c:numCache>
                <c:formatCode>General</c:formatCode>
                <c:ptCount val="1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numCache>
            </c:numRef>
          </c:cat>
          <c:val>
            <c:numRef>
              <c:f>Sheet4!$B$1:$B$14</c:f>
              <c:numCache>
                <c:formatCode>General</c:formatCode>
                <c:ptCount val="14"/>
                <c:pt idx="0">
                  <c:v>2</c:v>
                </c:pt>
                <c:pt idx="1">
                  <c:v>3</c:v>
                </c:pt>
                <c:pt idx="2">
                  <c:v>4</c:v>
                </c:pt>
                <c:pt idx="3">
                  <c:v>3</c:v>
                </c:pt>
                <c:pt idx="4">
                  <c:v>2</c:v>
                </c:pt>
                <c:pt idx="5">
                  <c:v>0</c:v>
                </c:pt>
                <c:pt idx="6">
                  <c:v>0</c:v>
                </c:pt>
                <c:pt idx="7">
                  <c:v>0</c:v>
                </c:pt>
                <c:pt idx="8">
                  <c:v>0</c:v>
                </c:pt>
                <c:pt idx="9">
                  <c:v>0</c:v>
                </c:pt>
                <c:pt idx="10">
                  <c:v>0</c:v>
                </c:pt>
                <c:pt idx="11">
                  <c:v>0</c:v>
                </c:pt>
                <c:pt idx="12">
                  <c:v>0</c:v>
                </c:pt>
                <c:pt idx="13">
                  <c:v>1</c:v>
                </c:pt>
              </c:numCache>
            </c:numRef>
          </c:val>
          <c:extLst>
            <c:ext xmlns:c16="http://schemas.microsoft.com/office/drawing/2014/chart" uri="{C3380CC4-5D6E-409C-BE32-E72D297353CC}">
              <c16:uniqueId val="{00000000-811C-43C7-AD10-7B7A47FCA5D9}"/>
            </c:ext>
          </c:extLst>
        </c:ser>
        <c:dLbls>
          <c:dLblPos val="inEnd"/>
          <c:showLegendKey val="0"/>
          <c:showVal val="1"/>
          <c:showCatName val="0"/>
          <c:showSerName val="0"/>
          <c:showPercent val="0"/>
          <c:showBubbleSize val="0"/>
        </c:dLbls>
        <c:gapWidth val="41"/>
        <c:axId val="1539427552"/>
        <c:axId val="1607908896"/>
      </c:barChart>
      <c:catAx>
        <c:axId val="15394275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Data Values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607908896"/>
        <c:crosses val="autoZero"/>
        <c:auto val="1"/>
        <c:lblAlgn val="ctr"/>
        <c:lblOffset val="100"/>
        <c:noMultiLvlLbl val="0"/>
      </c:catAx>
      <c:valAx>
        <c:axId val="160790889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39427552"/>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863</Words>
  <Characters>4924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Section 2.5 Measures of the Center of the Data</vt:lpstr>
      <vt:lpstr>Law of Large Numbers</vt:lpstr>
      <vt:lpstr>Calculating the Mean of Grouped Data</vt:lpstr>
      <vt:lpstr>Section 2.6 Skewness and the Mean, Median, and Mode</vt:lpstr>
      <vt:lpstr>Left skewed distributions</vt:lpstr>
      <vt:lpstr>Right Skewed Distribution</vt:lpstr>
      <vt:lpstr>Section 2.7 Measures of the Spread of Data</vt:lpstr>
      <vt:lpstr>Empirical Rule</vt:lpstr>
      <vt:lpstr>Outliers</vt:lpstr>
      <vt:lpstr>Tchebysheff’s Theorem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JoEllen Green</dc:creator>
  <cp:keywords/>
  <dc:description/>
  <cp:lastModifiedBy>JoEllen Green</cp:lastModifiedBy>
  <cp:revision>2</cp:revision>
  <dcterms:created xsi:type="dcterms:W3CDTF">2020-09-01T20:43:00Z</dcterms:created>
  <dcterms:modified xsi:type="dcterms:W3CDTF">2020-09-01T20:43:00Z</dcterms:modified>
</cp:coreProperties>
</file>