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67F1F" w14:textId="77777777" w:rsidR="009F41F4" w:rsidRPr="004F28D6" w:rsidRDefault="009F41F4" w:rsidP="009F41F4">
      <w:pPr>
        <w:jc w:val="center"/>
        <w:rPr>
          <w:b/>
          <w:bCs/>
          <w:sz w:val="40"/>
          <w:szCs w:val="40"/>
          <w:u w:val="single"/>
        </w:rPr>
      </w:pPr>
      <w:r w:rsidRPr="004F28D6">
        <w:rPr>
          <w:b/>
          <w:bCs/>
          <w:sz w:val="40"/>
          <w:szCs w:val="40"/>
          <w:u w:val="single"/>
        </w:rPr>
        <w:t>Investment Banking</w:t>
      </w:r>
    </w:p>
    <w:p w14:paraId="120786C1" w14:textId="77777777" w:rsidR="009F41F4" w:rsidRDefault="009F41F4" w:rsidP="009F41F4">
      <w:r>
        <w:t>Few frequently used acronyms in the Investment Banking sector:</w:t>
      </w:r>
    </w:p>
    <w:p w14:paraId="45C96052" w14:textId="77777777" w:rsidR="009F41F4" w:rsidRDefault="009F41F4" w:rsidP="009F41F4">
      <w:r>
        <w:t>Deal-related Acronyms</w:t>
      </w:r>
    </w:p>
    <w:p w14:paraId="59810B32" w14:textId="77777777" w:rsidR="009F41F4" w:rsidRDefault="009F41F4" w:rsidP="009F41F4">
      <w:pPr>
        <w:pStyle w:val="ListParagraph"/>
        <w:numPr>
          <w:ilvl w:val="0"/>
          <w:numId w:val="1"/>
        </w:numPr>
      </w:pPr>
      <w:r>
        <w:t>IPO - Initial Public Offering</w:t>
      </w:r>
    </w:p>
    <w:p w14:paraId="46975C19" w14:textId="77777777" w:rsidR="009F41F4" w:rsidRDefault="009F41F4" w:rsidP="009F41F4">
      <w:pPr>
        <w:pStyle w:val="ListParagraph"/>
        <w:numPr>
          <w:ilvl w:val="0"/>
          <w:numId w:val="1"/>
        </w:numPr>
      </w:pPr>
      <w:r>
        <w:t xml:space="preserve">FPO - </w:t>
      </w:r>
      <w:r w:rsidRPr="008B4599">
        <w:t>Follow-on Public Offer</w:t>
      </w:r>
    </w:p>
    <w:p w14:paraId="37B50A3E" w14:textId="77777777" w:rsidR="009F41F4" w:rsidRDefault="009F41F4" w:rsidP="009F41F4">
      <w:pPr>
        <w:pStyle w:val="ListParagraph"/>
        <w:numPr>
          <w:ilvl w:val="0"/>
          <w:numId w:val="1"/>
        </w:numPr>
      </w:pPr>
      <w:r>
        <w:t>M&amp;A - Mergers and Acquisitions</w:t>
      </w:r>
    </w:p>
    <w:p w14:paraId="3756BA3A" w14:textId="77777777" w:rsidR="009F41F4" w:rsidRDefault="009F41F4" w:rsidP="009F41F4">
      <w:pPr>
        <w:pStyle w:val="ListParagraph"/>
        <w:numPr>
          <w:ilvl w:val="0"/>
          <w:numId w:val="1"/>
        </w:numPr>
      </w:pPr>
      <w:r>
        <w:t>LBO - Leveraged Buyout</w:t>
      </w:r>
    </w:p>
    <w:p w14:paraId="15330469" w14:textId="77777777" w:rsidR="009F41F4" w:rsidRDefault="009F41F4" w:rsidP="009F41F4">
      <w:pPr>
        <w:pStyle w:val="ListParagraph"/>
        <w:numPr>
          <w:ilvl w:val="0"/>
          <w:numId w:val="1"/>
        </w:numPr>
      </w:pPr>
      <w:r>
        <w:t>MBO - Management Buyout</w:t>
      </w:r>
    </w:p>
    <w:p w14:paraId="613CF29B" w14:textId="77777777" w:rsidR="009F41F4" w:rsidRDefault="009F41F4" w:rsidP="009F41F4">
      <w:pPr>
        <w:pStyle w:val="ListParagraph"/>
        <w:numPr>
          <w:ilvl w:val="0"/>
          <w:numId w:val="1"/>
        </w:numPr>
      </w:pPr>
      <w:r>
        <w:t>EBITDA - Earnings Before Interest, Taxes, Depreciation, and Amortization</w:t>
      </w:r>
    </w:p>
    <w:p w14:paraId="7A340291" w14:textId="77777777" w:rsidR="009F41F4" w:rsidRDefault="009F41F4" w:rsidP="009F41F4">
      <w:pPr>
        <w:pStyle w:val="ListParagraph"/>
        <w:numPr>
          <w:ilvl w:val="0"/>
          <w:numId w:val="1"/>
        </w:numPr>
      </w:pPr>
      <w:r>
        <w:t xml:space="preserve">MOA - </w:t>
      </w:r>
      <w:r w:rsidRPr="008B4599">
        <w:t>Memorandum of Association</w:t>
      </w:r>
    </w:p>
    <w:p w14:paraId="385361D9" w14:textId="77777777" w:rsidR="009F41F4" w:rsidRDefault="009F41F4" w:rsidP="009F41F4">
      <w:pPr>
        <w:pStyle w:val="ListParagraph"/>
        <w:numPr>
          <w:ilvl w:val="0"/>
          <w:numId w:val="1"/>
        </w:numPr>
      </w:pPr>
      <w:r>
        <w:t xml:space="preserve">ROC - </w:t>
      </w:r>
      <w:r w:rsidRPr="008B4599">
        <w:t>Registrar of Companies</w:t>
      </w:r>
    </w:p>
    <w:p w14:paraId="37B1D5EE" w14:textId="5C15CDCA" w:rsidR="00454648" w:rsidRDefault="00454648" w:rsidP="00454648">
      <w:r>
        <w:t>Investment related common Acronyms</w:t>
      </w:r>
    </w:p>
    <w:p w14:paraId="6BF52550" w14:textId="210D1516" w:rsidR="00454648" w:rsidRDefault="00454648" w:rsidP="00454648">
      <w:pPr>
        <w:pStyle w:val="ListParagraph"/>
        <w:numPr>
          <w:ilvl w:val="0"/>
          <w:numId w:val="19"/>
        </w:numPr>
      </w:pPr>
      <w:r>
        <w:t>NAV</w:t>
      </w:r>
      <w:r>
        <w:t xml:space="preserve"> - </w:t>
      </w:r>
      <w:r>
        <w:t>Net Asset Value</w:t>
      </w:r>
    </w:p>
    <w:p w14:paraId="36A570E3" w14:textId="386C51DA" w:rsidR="00454648" w:rsidRDefault="00454648" w:rsidP="00454648">
      <w:pPr>
        <w:pStyle w:val="ListParagraph"/>
        <w:numPr>
          <w:ilvl w:val="0"/>
          <w:numId w:val="19"/>
        </w:numPr>
      </w:pPr>
      <w:r>
        <w:t>AUM</w:t>
      </w:r>
      <w:r>
        <w:t xml:space="preserve"> - </w:t>
      </w:r>
      <w:r>
        <w:t>Assets Under Management</w:t>
      </w:r>
    </w:p>
    <w:p w14:paraId="03E89401" w14:textId="25B54BA4" w:rsidR="00454648" w:rsidRDefault="00454648" w:rsidP="00454648">
      <w:pPr>
        <w:pStyle w:val="ListParagraph"/>
        <w:numPr>
          <w:ilvl w:val="0"/>
          <w:numId w:val="19"/>
        </w:numPr>
      </w:pPr>
      <w:r>
        <w:t>CAGR</w:t>
      </w:r>
      <w:r>
        <w:t xml:space="preserve"> - </w:t>
      </w:r>
      <w:r>
        <w:t>Compound Annual Growth Rate</w:t>
      </w:r>
    </w:p>
    <w:p w14:paraId="0C828E2F" w14:textId="19C7E591" w:rsidR="00454648" w:rsidRDefault="00454648" w:rsidP="00454648">
      <w:pPr>
        <w:pStyle w:val="ListParagraph"/>
        <w:numPr>
          <w:ilvl w:val="0"/>
          <w:numId w:val="19"/>
        </w:numPr>
      </w:pPr>
      <w:r>
        <w:t>SME IPO</w:t>
      </w:r>
      <w:r>
        <w:t xml:space="preserve"> - </w:t>
      </w:r>
      <w:r>
        <w:t>Small and Medium Enterprises Initial Public Offering</w:t>
      </w:r>
    </w:p>
    <w:p w14:paraId="07954DCF" w14:textId="55D9ED51" w:rsidR="00454648" w:rsidRDefault="00454648" w:rsidP="00454648">
      <w:pPr>
        <w:pStyle w:val="ListParagraph"/>
        <w:numPr>
          <w:ilvl w:val="0"/>
          <w:numId w:val="19"/>
        </w:numPr>
      </w:pPr>
      <w:r>
        <w:t>NBFC</w:t>
      </w:r>
      <w:r>
        <w:t xml:space="preserve"> - </w:t>
      </w:r>
      <w:r>
        <w:t>Non-Banking Financial Company</w:t>
      </w:r>
    </w:p>
    <w:p w14:paraId="05D6C28A" w14:textId="6ABD2672" w:rsidR="00454648" w:rsidRDefault="00454648" w:rsidP="00454648">
      <w:pPr>
        <w:pStyle w:val="ListParagraph"/>
        <w:numPr>
          <w:ilvl w:val="0"/>
          <w:numId w:val="19"/>
        </w:numPr>
      </w:pPr>
      <w:r>
        <w:t>BRLM</w:t>
      </w:r>
      <w:r>
        <w:t xml:space="preserve"> - </w:t>
      </w:r>
      <w:r>
        <w:t>Book Running Lead Manager</w:t>
      </w:r>
    </w:p>
    <w:p w14:paraId="1AF1CE6C" w14:textId="74FEA39E" w:rsidR="00454648" w:rsidRDefault="00454648" w:rsidP="00454648">
      <w:pPr>
        <w:pStyle w:val="ListParagraph"/>
        <w:numPr>
          <w:ilvl w:val="0"/>
          <w:numId w:val="19"/>
        </w:numPr>
      </w:pPr>
      <w:r>
        <w:t>QIP</w:t>
      </w:r>
      <w:r>
        <w:t xml:space="preserve"> - </w:t>
      </w:r>
      <w:r>
        <w:t>Qualified Institutional Placement</w:t>
      </w:r>
    </w:p>
    <w:p w14:paraId="4988D81B" w14:textId="40C52EEF" w:rsidR="00454648" w:rsidRDefault="00454648" w:rsidP="00454648">
      <w:pPr>
        <w:pStyle w:val="ListParagraph"/>
        <w:numPr>
          <w:ilvl w:val="0"/>
          <w:numId w:val="19"/>
        </w:numPr>
      </w:pPr>
      <w:r>
        <w:t>FII</w:t>
      </w:r>
      <w:r>
        <w:t xml:space="preserve"> - </w:t>
      </w:r>
      <w:r>
        <w:t>Foreign Institutional Investor</w:t>
      </w:r>
    </w:p>
    <w:p w14:paraId="4800A38E" w14:textId="784E9F8C" w:rsidR="00454648" w:rsidRDefault="00454648" w:rsidP="00454648">
      <w:pPr>
        <w:pStyle w:val="ListParagraph"/>
        <w:numPr>
          <w:ilvl w:val="0"/>
          <w:numId w:val="19"/>
        </w:numPr>
      </w:pPr>
      <w:r>
        <w:t>NCLT</w:t>
      </w:r>
      <w:r>
        <w:t xml:space="preserve"> - </w:t>
      </w:r>
      <w:r>
        <w:t>National Company Law Tribunal</w:t>
      </w:r>
    </w:p>
    <w:p w14:paraId="57F663FB" w14:textId="77777777" w:rsidR="00991340" w:rsidRDefault="00991340" w:rsidP="00991340">
      <w:r>
        <w:t>Other Acronyms</w:t>
      </w:r>
    </w:p>
    <w:p w14:paraId="22666BA1" w14:textId="77777777" w:rsidR="00991340" w:rsidRDefault="00991340" w:rsidP="00991340">
      <w:pPr>
        <w:pStyle w:val="ListParagraph"/>
        <w:numPr>
          <w:ilvl w:val="0"/>
          <w:numId w:val="18"/>
        </w:numPr>
      </w:pPr>
      <w:r>
        <w:t>EBIT - Earnings Before Interest and Taxes</w:t>
      </w:r>
    </w:p>
    <w:p w14:paraId="4E3BB1FD" w14:textId="77777777" w:rsidR="00991340" w:rsidRDefault="00991340" w:rsidP="00991340">
      <w:pPr>
        <w:pStyle w:val="ListParagraph"/>
        <w:numPr>
          <w:ilvl w:val="0"/>
          <w:numId w:val="18"/>
        </w:numPr>
      </w:pPr>
      <w:r>
        <w:t>CAPEX - Capital Expenditures</w:t>
      </w:r>
    </w:p>
    <w:p w14:paraId="63282115" w14:textId="77777777" w:rsidR="00991340" w:rsidRDefault="00991340" w:rsidP="00991340">
      <w:pPr>
        <w:pStyle w:val="ListParagraph"/>
        <w:numPr>
          <w:ilvl w:val="0"/>
          <w:numId w:val="18"/>
        </w:numPr>
      </w:pPr>
      <w:proofErr w:type="spellStart"/>
      <w:r>
        <w:t>OPEx</w:t>
      </w:r>
      <w:proofErr w:type="spellEnd"/>
      <w:r>
        <w:t xml:space="preserve"> - Operating Expenses</w:t>
      </w:r>
    </w:p>
    <w:p w14:paraId="158A0B3B" w14:textId="77777777" w:rsidR="00991340" w:rsidRDefault="00991340" w:rsidP="00991340">
      <w:pPr>
        <w:pStyle w:val="ListParagraph"/>
        <w:numPr>
          <w:ilvl w:val="0"/>
          <w:numId w:val="18"/>
        </w:numPr>
      </w:pPr>
      <w:r>
        <w:t>ROE - Return on Equity</w:t>
      </w:r>
    </w:p>
    <w:p w14:paraId="6BDD9FC9" w14:textId="77777777" w:rsidR="00991340" w:rsidRDefault="00991340" w:rsidP="00991340">
      <w:pPr>
        <w:pStyle w:val="ListParagraph"/>
        <w:numPr>
          <w:ilvl w:val="0"/>
          <w:numId w:val="18"/>
        </w:numPr>
      </w:pPr>
      <w:r>
        <w:t>ROI - Return on Investment</w:t>
      </w:r>
    </w:p>
    <w:p w14:paraId="3047DB8E" w14:textId="77777777" w:rsidR="00991340" w:rsidRDefault="00991340" w:rsidP="00991340">
      <w:pPr>
        <w:pStyle w:val="ListParagraph"/>
        <w:numPr>
          <w:ilvl w:val="0"/>
          <w:numId w:val="18"/>
        </w:numPr>
      </w:pPr>
      <w:r w:rsidRPr="002F0157">
        <w:t>ROA: Return on Assets</w:t>
      </w:r>
    </w:p>
    <w:p w14:paraId="4FBEA20A" w14:textId="77777777" w:rsidR="00991340" w:rsidRDefault="00991340" w:rsidP="00991340">
      <w:pPr>
        <w:pStyle w:val="ListParagraph"/>
        <w:numPr>
          <w:ilvl w:val="0"/>
          <w:numId w:val="18"/>
        </w:numPr>
      </w:pPr>
      <w:r>
        <w:t>EPS: Earnings Per Share</w:t>
      </w:r>
    </w:p>
    <w:p w14:paraId="5F5B3019" w14:textId="77777777" w:rsidR="00991340" w:rsidRDefault="00991340" w:rsidP="00991340">
      <w:pPr>
        <w:pStyle w:val="ListParagraph"/>
        <w:numPr>
          <w:ilvl w:val="0"/>
          <w:numId w:val="18"/>
        </w:numPr>
      </w:pPr>
      <w:r>
        <w:t>P/E: Price-to-Earnings ratio</w:t>
      </w:r>
    </w:p>
    <w:p w14:paraId="48512073" w14:textId="77777777" w:rsidR="00991340" w:rsidRDefault="00991340" w:rsidP="00991340">
      <w:pPr>
        <w:pStyle w:val="ListParagraph"/>
        <w:numPr>
          <w:ilvl w:val="0"/>
          <w:numId w:val="18"/>
        </w:numPr>
      </w:pPr>
      <w:r>
        <w:t>P/B: Price-to-Book ratio</w:t>
      </w:r>
    </w:p>
    <w:p w14:paraId="6B56AECC" w14:textId="77777777" w:rsidR="00991340" w:rsidRDefault="00991340" w:rsidP="00991340">
      <w:pPr>
        <w:pStyle w:val="ListParagraph"/>
        <w:numPr>
          <w:ilvl w:val="0"/>
          <w:numId w:val="18"/>
        </w:numPr>
      </w:pPr>
      <w:r>
        <w:t>ROCE: Return on Capital Employed</w:t>
      </w:r>
    </w:p>
    <w:p w14:paraId="777CABD6" w14:textId="77777777" w:rsidR="00991340" w:rsidRDefault="00991340" w:rsidP="00991340">
      <w:pPr>
        <w:pStyle w:val="ListParagraph"/>
        <w:numPr>
          <w:ilvl w:val="0"/>
          <w:numId w:val="18"/>
        </w:numPr>
      </w:pPr>
      <w:r>
        <w:t>FCF: Free Cash Flow</w:t>
      </w:r>
    </w:p>
    <w:p w14:paraId="04D927F5" w14:textId="77777777" w:rsidR="00991340" w:rsidRDefault="00991340" w:rsidP="00991340">
      <w:pPr>
        <w:pStyle w:val="ListParagraph"/>
        <w:numPr>
          <w:ilvl w:val="0"/>
          <w:numId w:val="18"/>
        </w:numPr>
      </w:pPr>
      <w:r>
        <w:t>OCF: Operating Cash Flow</w:t>
      </w:r>
    </w:p>
    <w:p w14:paraId="19DE952F" w14:textId="77777777" w:rsidR="00991340" w:rsidRDefault="00991340" w:rsidP="00991340">
      <w:pPr>
        <w:pStyle w:val="ListParagraph"/>
        <w:numPr>
          <w:ilvl w:val="0"/>
          <w:numId w:val="18"/>
        </w:numPr>
      </w:pPr>
      <w:r>
        <w:t>NOPAT: Net Operating Profit After Taxes</w:t>
      </w:r>
    </w:p>
    <w:p w14:paraId="0B0DE1E0" w14:textId="77777777" w:rsidR="00991340" w:rsidRDefault="00991340" w:rsidP="00991340">
      <w:pPr>
        <w:pStyle w:val="ListParagraph"/>
        <w:numPr>
          <w:ilvl w:val="0"/>
          <w:numId w:val="18"/>
        </w:numPr>
      </w:pPr>
      <w:r>
        <w:t>Gross Margin: Gross Profit / Revenue</w:t>
      </w:r>
    </w:p>
    <w:p w14:paraId="2E9F11E3" w14:textId="77777777" w:rsidR="00991340" w:rsidRDefault="00991340" w:rsidP="00991340">
      <w:pPr>
        <w:pStyle w:val="ListParagraph"/>
        <w:numPr>
          <w:ilvl w:val="0"/>
          <w:numId w:val="18"/>
        </w:numPr>
      </w:pPr>
      <w:r>
        <w:t>Operating Margin: Operating Income / Revenue</w:t>
      </w:r>
    </w:p>
    <w:p w14:paraId="277DFE31" w14:textId="77777777" w:rsidR="00991340" w:rsidRDefault="00991340" w:rsidP="00991340">
      <w:pPr>
        <w:pStyle w:val="ListParagraph"/>
        <w:numPr>
          <w:ilvl w:val="0"/>
          <w:numId w:val="18"/>
        </w:numPr>
      </w:pPr>
      <w:r>
        <w:t>Net Profit Margin: Net Income / Revenue</w:t>
      </w:r>
    </w:p>
    <w:p w14:paraId="278D77A4" w14:textId="77777777" w:rsidR="00991340" w:rsidRDefault="00991340" w:rsidP="00991340">
      <w:r>
        <w:t>Deal Structuring &amp; Capital Raising</w:t>
      </w:r>
    </w:p>
    <w:p w14:paraId="7933A03F" w14:textId="77777777" w:rsidR="00991340" w:rsidRDefault="00991340" w:rsidP="00991340">
      <w:pPr>
        <w:pStyle w:val="ListParagraph"/>
        <w:numPr>
          <w:ilvl w:val="0"/>
          <w:numId w:val="20"/>
        </w:numPr>
      </w:pPr>
      <w:r>
        <w:t>QIP - Qualified Institutional Placement</w:t>
      </w:r>
    </w:p>
    <w:p w14:paraId="4C9790A4" w14:textId="77777777" w:rsidR="00991340" w:rsidRDefault="00991340" w:rsidP="00991340">
      <w:pPr>
        <w:pStyle w:val="ListParagraph"/>
        <w:numPr>
          <w:ilvl w:val="0"/>
          <w:numId w:val="20"/>
        </w:numPr>
      </w:pPr>
      <w:r>
        <w:t>BRLM - Book Running Lead Manager</w:t>
      </w:r>
    </w:p>
    <w:p w14:paraId="6D94B1E0" w14:textId="77777777" w:rsidR="00991340" w:rsidRDefault="00991340" w:rsidP="00991340">
      <w:pPr>
        <w:pStyle w:val="ListParagraph"/>
        <w:numPr>
          <w:ilvl w:val="0"/>
          <w:numId w:val="20"/>
        </w:numPr>
      </w:pPr>
      <w:r>
        <w:t>RHP - Red Herring Prospectus</w:t>
      </w:r>
    </w:p>
    <w:p w14:paraId="7C78D775" w14:textId="77777777" w:rsidR="00991340" w:rsidRDefault="00991340" w:rsidP="00991340">
      <w:pPr>
        <w:pStyle w:val="ListParagraph"/>
        <w:numPr>
          <w:ilvl w:val="0"/>
          <w:numId w:val="20"/>
        </w:numPr>
      </w:pPr>
      <w:r>
        <w:t>DRHP - Draft Red Herring Prospectus</w:t>
      </w:r>
    </w:p>
    <w:p w14:paraId="42EE91B9" w14:textId="77777777" w:rsidR="00991340" w:rsidRDefault="00991340" w:rsidP="00991340">
      <w:pPr>
        <w:pStyle w:val="ListParagraph"/>
        <w:numPr>
          <w:ilvl w:val="0"/>
          <w:numId w:val="20"/>
        </w:numPr>
      </w:pPr>
      <w:r>
        <w:t>SCSB - Self-Certified Syndicate Bank</w:t>
      </w:r>
    </w:p>
    <w:p w14:paraId="5559478A" w14:textId="77777777" w:rsidR="00991340" w:rsidRDefault="00991340" w:rsidP="00991340">
      <w:pPr>
        <w:pStyle w:val="ListParagraph"/>
        <w:numPr>
          <w:ilvl w:val="0"/>
          <w:numId w:val="20"/>
        </w:numPr>
      </w:pPr>
      <w:r>
        <w:t>ASBA - Application Supported by Blocked Amount</w:t>
      </w:r>
    </w:p>
    <w:p w14:paraId="5D1A5119" w14:textId="77777777" w:rsidR="00991340" w:rsidRDefault="00991340" w:rsidP="00991340">
      <w:pPr>
        <w:pStyle w:val="ListParagraph"/>
        <w:numPr>
          <w:ilvl w:val="0"/>
          <w:numId w:val="20"/>
        </w:numPr>
      </w:pPr>
      <w:r>
        <w:lastRenderedPageBreak/>
        <w:t>OTM - One Time Mandate (used in SIPs and IPOs)</w:t>
      </w:r>
    </w:p>
    <w:p w14:paraId="55A60F5C" w14:textId="77777777" w:rsidR="00991340" w:rsidRDefault="00991340" w:rsidP="00991340">
      <w:r>
        <w:t>Investment &amp; Market Participants</w:t>
      </w:r>
    </w:p>
    <w:p w14:paraId="5EA8301C" w14:textId="77777777" w:rsidR="00991340" w:rsidRDefault="00991340" w:rsidP="00991340">
      <w:pPr>
        <w:pStyle w:val="ListParagraph"/>
        <w:numPr>
          <w:ilvl w:val="0"/>
          <w:numId w:val="21"/>
        </w:numPr>
      </w:pPr>
      <w:r>
        <w:t>HNI/HNWI - High Net-Worth Individual</w:t>
      </w:r>
    </w:p>
    <w:p w14:paraId="754A8D64" w14:textId="77777777" w:rsidR="00991340" w:rsidRDefault="00991340" w:rsidP="00991340">
      <w:pPr>
        <w:pStyle w:val="ListParagraph"/>
        <w:numPr>
          <w:ilvl w:val="0"/>
          <w:numId w:val="21"/>
        </w:numPr>
      </w:pPr>
      <w:r>
        <w:t>UHNI - Ultra High Net-Worth Individual</w:t>
      </w:r>
    </w:p>
    <w:p w14:paraId="481F32C2" w14:textId="77777777" w:rsidR="00991340" w:rsidRDefault="00991340" w:rsidP="00991340">
      <w:pPr>
        <w:pStyle w:val="ListParagraph"/>
        <w:numPr>
          <w:ilvl w:val="0"/>
          <w:numId w:val="21"/>
        </w:numPr>
      </w:pPr>
      <w:r>
        <w:t>FII - Foreign Institutional Investor</w:t>
      </w:r>
    </w:p>
    <w:p w14:paraId="6FEB1903" w14:textId="77777777" w:rsidR="00991340" w:rsidRDefault="00991340" w:rsidP="00991340">
      <w:pPr>
        <w:pStyle w:val="ListParagraph"/>
        <w:numPr>
          <w:ilvl w:val="0"/>
          <w:numId w:val="21"/>
        </w:numPr>
      </w:pPr>
      <w:r>
        <w:t>DII - Domestic Institutional Investor</w:t>
      </w:r>
    </w:p>
    <w:p w14:paraId="292B6E72" w14:textId="77777777" w:rsidR="00991340" w:rsidRDefault="00991340" w:rsidP="00991340">
      <w:pPr>
        <w:pStyle w:val="ListParagraph"/>
        <w:numPr>
          <w:ilvl w:val="0"/>
          <w:numId w:val="21"/>
        </w:numPr>
      </w:pPr>
      <w:r>
        <w:t>PMS - Portfolio Management Services</w:t>
      </w:r>
    </w:p>
    <w:p w14:paraId="0238C3B0" w14:textId="77777777" w:rsidR="00991340" w:rsidRDefault="00991340" w:rsidP="00991340">
      <w:pPr>
        <w:pStyle w:val="ListParagraph"/>
        <w:numPr>
          <w:ilvl w:val="0"/>
          <w:numId w:val="21"/>
        </w:numPr>
      </w:pPr>
      <w:r>
        <w:t>AMC - Asset Management Company</w:t>
      </w:r>
    </w:p>
    <w:p w14:paraId="56B7FA39" w14:textId="77777777" w:rsidR="00991340" w:rsidRDefault="00991340" w:rsidP="00991340">
      <w:r>
        <w:t>Markets, Instruments &amp; Trading</w:t>
      </w:r>
    </w:p>
    <w:p w14:paraId="6B073AE4" w14:textId="77777777" w:rsidR="00991340" w:rsidRDefault="00991340" w:rsidP="00991340">
      <w:pPr>
        <w:pStyle w:val="ListParagraph"/>
        <w:numPr>
          <w:ilvl w:val="0"/>
          <w:numId w:val="22"/>
        </w:numPr>
      </w:pPr>
      <w:r>
        <w:t>ETF - Exchange Traded Fund</w:t>
      </w:r>
    </w:p>
    <w:p w14:paraId="0F6B3A09" w14:textId="77777777" w:rsidR="00991340" w:rsidRDefault="00991340" w:rsidP="00991340">
      <w:pPr>
        <w:pStyle w:val="ListParagraph"/>
        <w:numPr>
          <w:ilvl w:val="0"/>
          <w:numId w:val="22"/>
        </w:numPr>
      </w:pPr>
      <w:r>
        <w:t>REIT - Real Estate Investment Trust</w:t>
      </w:r>
    </w:p>
    <w:p w14:paraId="1F9E32D4" w14:textId="77777777" w:rsidR="00991340" w:rsidRDefault="00991340" w:rsidP="00991340">
      <w:pPr>
        <w:pStyle w:val="ListParagraph"/>
        <w:numPr>
          <w:ilvl w:val="0"/>
          <w:numId w:val="22"/>
        </w:numPr>
      </w:pPr>
      <w:r>
        <w:t>INVIT - Infrastructure Investment Trust</w:t>
      </w:r>
    </w:p>
    <w:p w14:paraId="1310B467" w14:textId="77777777" w:rsidR="00991340" w:rsidRDefault="00991340" w:rsidP="00991340">
      <w:pPr>
        <w:pStyle w:val="ListParagraph"/>
        <w:numPr>
          <w:ilvl w:val="0"/>
          <w:numId w:val="22"/>
        </w:numPr>
      </w:pPr>
      <w:r>
        <w:t>GDR - Global Depository Receipt</w:t>
      </w:r>
    </w:p>
    <w:p w14:paraId="02E58E8A" w14:textId="77777777" w:rsidR="00991340" w:rsidRDefault="00991340" w:rsidP="00991340">
      <w:pPr>
        <w:pStyle w:val="ListParagraph"/>
        <w:numPr>
          <w:ilvl w:val="0"/>
          <w:numId w:val="22"/>
        </w:numPr>
      </w:pPr>
      <w:r>
        <w:t>ADR - American Depository Receipt</w:t>
      </w:r>
    </w:p>
    <w:p w14:paraId="3B9A03AC" w14:textId="77777777" w:rsidR="00991340" w:rsidRDefault="00991340" w:rsidP="00991340">
      <w:pPr>
        <w:pStyle w:val="ListParagraph"/>
        <w:numPr>
          <w:ilvl w:val="0"/>
          <w:numId w:val="22"/>
        </w:numPr>
      </w:pPr>
      <w:r>
        <w:t>NCD - Non-Convertible Debenture</w:t>
      </w:r>
    </w:p>
    <w:p w14:paraId="1E8BB887" w14:textId="77777777" w:rsidR="00991340" w:rsidRDefault="00991340" w:rsidP="00991340">
      <w:pPr>
        <w:pStyle w:val="ListParagraph"/>
        <w:numPr>
          <w:ilvl w:val="0"/>
          <w:numId w:val="22"/>
        </w:numPr>
      </w:pPr>
      <w:r>
        <w:t>CP - Commercial Paper</w:t>
      </w:r>
    </w:p>
    <w:p w14:paraId="7132D1C1" w14:textId="77777777" w:rsidR="00991340" w:rsidRDefault="00991340" w:rsidP="00991340">
      <w:pPr>
        <w:pStyle w:val="ListParagraph"/>
        <w:numPr>
          <w:ilvl w:val="0"/>
          <w:numId w:val="22"/>
        </w:numPr>
      </w:pPr>
      <w:r>
        <w:t>CD - Certificate of Deposit</w:t>
      </w:r>
    </w:p>
    <w:p w14:paraId="45A5DA97" w14:textId="77777777" w:rsidR="00991340" w:rsidRDefault="00991340" w:rsidP="00991340">
      <w:pPr>
        <w:pStyle w:val="ListParagraph"/>
        <w:numPr>
          <w:ilvl w:val="0"/>
          <w:numId w:val="22"/>
        </w:numPr>
      </w:pPr>
      <w:r>
        <w:t>F&amp;O - Futures and Options</w:t>
      </w:r>
    </w:p>
    <w:p w14:paraId="06BFA7E7" w14:textId="77777777" w:rsidR="00991340" w:rsidRDefault="00991340" w:rsidP="00991340">
      <w:pPr>
        <w:pStyle w:val="ListParagraph"/>
        <w:numPr>
          <w:ilvl w:val="0"/>
          <w:numId w:val="22"/>
        </w:numPr>
      </w:pPr>
      <w:proofErr w:type="spellStart"/>
      <w:r>
        <w:t>PnL</w:t>
      </w:r>
      <w:proofErr w:type="spellEnd"/>
      <w:r>
        <w:t xml:space="preserve"> - Profit and Loss</w:t>
      </w:r>
    </w:p>
    <w:p w14:paraId="0199029E" w14:textId="77777777" w:rsidR="00991340" w:rsidRDefault="00991340" w:rsidP="00991340">
      <w:r>
        <w:t>Digital Finance Acronyms (for FinTech exposure)</w:t>
      </w:r>
    </w:p>
    <w:p w14:paraId="660615A1" w14:textId="77777777" w:rsidR="00991340" w:rsidRDefault="00991340" w:rsidP="00991340">
      <w:pPr>
        <w:pStyle w:val="ListParagraph"/>
        <w:numPr>
          <w:ilvl w:val="0"/>
          <w:numId w:val="23"/>
        </w:numPr>
      </w:pPr>
      <w:r>
        <w:t>API - Application Programming Interface</w:t>
      </w:r>
    </w:p>
    <w:p w14:paraId="12789E1B" w14:textId="77777777" w:rsidR="00991340" w:rsidRDefault="00991340" w:rsidP="00991340">
      <w:pPr>
        <w:pStyle w:val="ListParagraph"/>
        <w:numPr>
          <w:ilvl w:val="0"/>
          <w:numId w:val="23"/>
        </w:numPr>
      </w:pPr>
      <w:r>
        <w:t>UPI - Unified Payments Interface</w:t>
      </w:r>
    </w:p>
    <w:p w14:paraId="38561DDE" w14:textId="77777777" w:rsidR="00991340" w:rsidRDefault="00991340" w:rsidP="00991340">
      <w:pPr>
        <w:pStyle w:val="ListParagraph"/>
        <w:numPr>
          <w:ilvl w:val="0"/>
          <w:numId w:val="23"/>
        </w:numPr>
      </w:pPr>
      <w:r>
        <w:t>NBFC - Non-Banking Financial Company</w:t>
      </w:r>
    </w:p>
    <w:p w14:paraId="5AC49FFE" w14:textId="77777777" w:rsidR="00991340" w:rsidRDefault="00991340" w:rsidP="00991340">
      <w:pPr>
        <w:pStyle w:val="ListParagraph"/>
        <w:numPr>
          <w:ilvl w:val="0"/>
          <w:numId w:val="23"/>
        </w:numPr>
      </w:pPr>
      <w:r>
        <w:t>RTGS - Real-Time Gross Settlement</w:t>
      </w:r>
    </w:p>
    <w:p w14:paraId="443AC504" w14:textId="77777777" w:rsidR="00991340" w:rsidRDefault="00991340" w:rsidP="00991340">
      <w:pPr>
        <w:pStyle w:val="ListParagraph"/>
        <w:numPr>
          <w:ilvl w:val="0"/>
          <w:numId w:val="23"/>
        </w:numPr>
      </w:pPr>
      <w:r>
        <w:t>NEFT - National Electronic Funds Transfer</w:t>
      </w:r>
    </w:p>
    <w:p w14:paraId="1DA4F9F4" w14:textId="77777777" w:rsidR="00991340" w:rsidRDefault="00991340" w:rsidP="00991340">
      <w:pPr>
        <w:pStyle w:val="ListParagraph"/>
        <w:numPr>
          <w:ilvl w:val="0"/>
          <w:numId w:val="23"/>
        </w:numPr>
      </w:pPr>
      <w:r>
        <w:t>IMPS - Immediate Payment Service</w:t>
      </w:r>
    </w:p>
    <w:p w14:paraId="71DD8E55" w14:textId="41DE8792" w:rsidR="009F41F4" w:rsidRDefault="009F41F4" w:rsidP="009F41F4">
      <w:r>
        <w:t>Financial Modelling Acronyms</w:t>
      </w:r>
    </w:p>
    <w:p w14:paraId="5BAA3E2D" w14:textId="77777777" w:rsidR="009F41F4" w:rsidRDefault="009F41F4" w:rsidP="009F41F4">
      <w:pPr>
        <w:pStyle w:val="ListParagraph"/>
        <w:numPr>
          <w:ilvl w:val="0"/>
          <w:numId w:val="2"/>
        </w:numPr>
      </w:pPr>
      <w:r>
        <w:t>DCF - Discounted Cash Flow</w:t>
      </w:r>
    </w:p>
    <w:p w14:paraId="2D202262" w14:textId="77777777" w:rsidR="009F41F4" w:rsidRDefault="009F41F4" w:rsidP="009F41F4">
      <w:pPr>
        <w:pStyle w:val="ListParagraph"/>
        <w:numPr>
          <w:ilvl w:val="0"/>
          <w:numId w:val="2"/>
        </w:numPr>
      </w:pPr>
      <w:r>
        <w:t>WACC - Weighted Average Cost of Capital</w:t>
      </w:r>
    </w:p>
    <w:p w14:paraId="44D3E1DE" w14:textId="77777777" w:rsidR="009F41F4" w:rsidRDefault="009F41F4" w:rsidP="009F41F4">
      <w:pPr>
        <w:pStyle w:val="ListParagraph"/>
        <w:numPr>
          <w:ilvl w:val="0"/>
          <w:numId w:val="2"/>
        </w:numPr>
      </w:pPr>
      <w:r>
        <w:t>FCFF - Free Cash Flow to Firm</w:t>
      </w:r>
    </w:p>
    <w:p w14:paraId="0F8CDA71" w14:textId="77777777" w:rsidR="009F41F4" w:rsidRDefault="009F41F4" w:rsidP="009F41F4">
      <w:pPr>
        <w:pStyle w:val="ListParagraph"/>
        <w:numPr>
          <w:ilvl w:val="0"/>
          <w:numId w:val="2"/>
        </w:numPr>
      </w:pPr>
      <w:r>
        <w:t>FCFE - Free Cash Flow to Equity</w:t>
      </w:r>
    </w:p>
    <w:p w14:paraId="29A4DDE5" w14:textId="77777777" w:rsidR="009F41F4" w:rsidRDefault="009F41F4" w:rsidP="009F41F4">
      <w:pPr>
        <w:pStyle w:val="ListParagraph"/>
        <w:numPr>
          <w:ilvl w:val="0"/>
          <w:numId w:val="2"/>
        </w:numPr>
      </w:pPr>
      <w:r>
        <w:t>ROIC - Return on Invested Capital</w:t>
      </w:r>
    </w:p>
    <w:p w14:paraId="34E1608D" w14:textId="77777777" w:rsidR="009F41F4" w:rsidRDefault="009F41F4" w:rsidP="009F41F4">
      <w:r>
        <w:t>Investment Banking Division Acronyms</w:t>
      </w:r>
    </w:p>
    <w:p w14:paraId="4541CA34" w14:textId="77777777" w:rsidR="009F41F4" w:rsidRDefault="009F41F4" w:rsidP="009F41F4">
      <w:pPr>
        <w:pStyle w:val="ListParagraph"/>
        <w:numPr>
          <w:ilvl w:val="0"/>
          <w:numId w:val="3"/>
        </w:numPr>
      </w:pPr>
      <w:r>
        <w:t>IBD - Investment Banking Division</w:t>
      </w:r>
    </w:p>
    <w:p w14:paraId="07F70396" w14:textId="77777777" w:rsidR="009F41F4" w:rsidRDefault="009F41F4" w:rsidP="009F41F4">
      <w:pPr>
        <w:pStyle w:val="ListParagraph"/>
        <w:numPr>
          <w:ilvl w:val="0"/>
          <w:numId w:val="3"/>
        </w:numPr>
      </w:pPr>
      <w:r>
        <w:t>M&amp;A - Mergers and Acquisitions</w:t>
      </w:r>
    </w:p>
    <w:p w14:paraId="2A514B0A" w14:textId="77777777" w:rsidR="009F41F4" w:rsidRDefault="009F41F4" w:rsidP="009F41F4">
      <w:pPr>
        <w:pStyle w:val="ListParagraph"/>
        <w:numPr>
          <w:ilvl w:val="0"/>
          <w:numId w:val="3"/>
        </w:numPr>
      </w:pPr>
      <w:r>
        <w:t>ECM - Equity Capital Markets</w:t>
      </w:r>
    </w:p>
    <w:p w14:paraId="0BB8854B" w14:textId="77777777" w:rsidR="009F41F4" w:rsidRDefault="009F41F4" w:rsidP="009F41F4">
      <w:pPr>
        <w:pStyle w:val="ListParagraph"/>
        <w:numPr>
          <w:ilvl w:val="0"/>
          <w:numId w:val="3"/>
        </w:numPr>
      </w:pPr>
      <w:r>
        <w:t>DCM - Debt Capital Markets</w:t>
      </w:r>
    </w:p>
    <w:p w14:paraId="40DE4CBD" w14:textId="77777777" w:rsidR="009F41F4" w:rsidRDefault="009F41F4" w:rsidP="009F41F4">
      <w:pPr>
        <w:pStyle w:val="ListParagraph"/>
        <w:numPr>
          <w:ilvl w:val="0"/>
          <w:numId w:val="3"/>
        </w:numPr>
      </w:pPr>
      <w:r>
        <w:t>Leveraged Finance - LF</w:t>
      </w:r>
    </w:p>
    <w:p w14:paraId="2B32B4DF" w14:textId="77777777" w:rsidR="009F41F4" w:rsidRDefault="009F41F4" w:rsidP="009F41F4">
      <w:r>
        <w:t>Regulatory and Compliance Acronyms</w:t>
      </w:r>
    </w:p>
    <w:p w14:paraId="53518A0E" w14:textId="77777777" w:rsidR="009F41F4" w:rsidRDefault="009F41F4" w:rsidP="009F41F4">
      <w:pPr>
        <w:pStyle w:val="ListParagraph"/>
        <w:numPr>
          <w:ilvl w:val="0"/>
          <w:numId w:val="4"/>
        </w:numPr>
      </w:pPr>
      <w:r>
        <w:t>SEC - Securities and Exchange Commission</w:t>
      </w:r>
    </w:p>
    <w:p w14:paraId="7A2A1A04" w14:textId="77777777" w:rsidR="009F41F4" w:rsidRDefault="009F41F4" w:rsidP="009F41F4">
      <w:pPr>
        <w:pStyle w:val="ListParagraph"/>
        <w:numPr>
          <w:ilvl w:val="0"/>
          <w:numId w:val="4"/>
        </w:numPr>
      </w:pPr>
      <w:r>
        <w:t>FINRA - Financial Industry Regulatory Authority</w:t>
      </w:r>
    </w:p>
    <w:p w14:paraId="3C3510FA" w14:textId="77777777" w:rsidR="009F41F4" w:rsidRDefault="009F41F4" w:rsidP="009F41F4">
      <w:pPr>
        <w:pStyle w:val="ListParagraph"/>
        <w:numPr>
          <w:ilvl w:val="0"/>
          <w:numId w:val="4"/>
        </w:numPr>
      </w:pPr>
      <w:r>
        <w:t>Dodd-Frank - Dodd-Frank Wall Street Reform and Consumer Protection Act</w:t>
      </w:r>
    </w:p>
    <w:p w14:paraId="5AD914AB" w14:textId="77777777" w:rsidR="009F41F4" w:rsidRDefault="009F41F4" w:rsidP="009F41F4">
      <w:pPr>
        <w:pStyle w:val="ListParagraph"/>
        <w:numPr>
          <w:ilvl w:val="0"/>
          <w:numId w:val="4"/>
        </w:numPr>
      </w:pPr>
      <w:r>
        <w:t>SOX - Sarbanes-Oxley Act</w:t>
      </w:r>
    </w:p>
    <w:p w14:paraId="54FAD9C2" w14:textId="77777777" w:rsidR="009F41F4" w:rsidRDefault="009F41F4" w:rsidP="009F41F4">
      <w:pPr>
        <w:pStyle w:val="ListParagraph"/>
        <w:numPr>
          <w:ilvl w:val="0"/>
          <w:numId w:val="4"/>
        </w:numPr>
      </w:pPr>
      <w:r>
        <w:t>MiFID - Markets in Financial Instruments Directive</w:t>
      </w:r>
    </w:p>
    <w:p w14:paraId="5BD8470E" w14:textId="585464B2" w:rsidR="009F41F4" w:rsidRDefault="00B35704" w:rsidP="009F41F4">
      <w:r w:rsidRPr="00B35704">
        <w:lastRenderedPageBreak/>
        <w:t>Indian Regulatory Bodies and Financial Institutions</w:t>
      </w:r>
    </w:p>
    <w:p w14:paraId="132AD322" w14:textId="77777777" w:rsidR="009F41F4" w:rsidRDefault="009F41F4" w:rsidP="009F41F4">
      <w:pPr>
        <w:pStyle w:val="ListParagraph"/>
        <w:numPr>
          <w:ilvl w:val="0"/>
          <w:numId w:val="6"/>
        </w:numPr>
      </w:pPr>
      <w:r>
        <w:t>SEBI: Securities and Exchange Board of India (regulatory body for securities markets)</w:t>
      </w:r>
    </w:p>
    <w:p w14:paraId="6CF27A2B" w14:textId="77777777" w:rsidR="009F41F4" w:rsidRDefault="009F41F4" w:rsidP="009F41F4">
      <w:pPr>
        <w:pStyle w:val="ListParagraph"/>
        <w:numPr>
          <w:ilvl w:val="0"/>
          <w:numId w:val="6"/>
        </w:numPr>
      </w:pPr>
      <w:r>
        <w:t>AMFI: Association of Mutual Funds in India (trade association for mutual funds)</w:t>
      </w:r>
    </w:p>
    <w:p w14:paraId="2D45B404" w14:textId="77777777" w:rsidR="009F41F4" w:rsidRDefault="009F41F4" w:rsidP="009F41F4">
      <w:pPr>
        <w:pStyle w:val="ListParagraph"/>
        <w:numPr>
          <w:ilvl w:val="0"/>
          <w:numId w:val="6"/>
        </w:numPr>
      </w:pPr>
      <w:r>
        <w:t>IRDAI: Insurance Regulatory and Development Authority of India (regulatory body for insurance)</w:t>
      </w:r>
    </w:p>
    <w:p w14:paraId="6617C29C" w14:textId="77777777" w:rsidR="009F41F4" w:rsidRDefault="009F41F4" w:rsidP="009F41F4">
      <w:pPr>
        <w:pStyle w:val="ListParagraph"/>
        <w:numPr>
          <w:ilvl w:val="0"/>
          <w:numId w:val="6"/>
        </w:numPr>
      </w:pPr>
      <w:r>
        <w:t>PFRDA: Pension Fund Regulatory and Development Authority (regulatory body for pension funds)</w:t>
      </w:r>
    </w:p>
    <w:p w14:paraId="3891CD9D" w14:textId="77777777" w:rsidR="009F41F4" w:rsidRDefault="009F41F4" w:rsidP="009F41F4">
      <w:pPr>
        <w:pStyle w:val="ListParagraph"/>
        <w:numPr>
          <w:ilvl w:val="0"/>
          <w:numId w:val="6"/>
        </w:numPr>
      </w:pPr>
      <w:r>
        <w:t>NSDL: National Securities Depository Limited (central securities depository)</w:t>
      </w:r>
    </w:p>
    <w:p w14:paraId="4C89CBF0" w14:textId="77777777" w:rsidR="009F41F4" w:rsidRDefault="009F41F4" w:rsidP="009F41F4">
      <w:pPr>
        <w:pStyle w:val="ListParagraph"/>
        <w:numPr>
          <w:ilvl w:val="0"/>
          <w:numId w:val="6"/>
        </w:numPr>
      </w:pPr>
      <w:r>
        <w:t>CDSL: Central Depository Services (India) Limited (central securities depository)</w:t>
      </w:r>
    </w:p>
    <w:p w14:paraId="5D61901A" w14:textId="77777777" w:rsidR="009F41F4" w:rsidRDefault="009F41F4" w:rsidP="009F41F4">
      <w:pPr>
        <w:pStyle w:val="ListParagraph"/>
        <w:numPr>
          <w:ilvl w:val="0"/>
          <w:numId w:val="6"/>
        </w:numPr>
      </w:pPr>
      <w:r>
        <w:t>BSE: Bombay Stock Exchange (stock exchange)</w:t>
      </w:r>
    </w:p>
    <w:p w14:paraId="02E20E17" w14:textId="77777777" w:rsidR="009F41F4" w:rsidRDefault="009F41F4" w:rsidP="009F41F4">
      <w:pPr>
        <w:pStyle w:val="ListParagraph"/>
        <w:numPr>
          <w:ilvl w:val="0"/>
          <w:numId w:val="6"/>
        </w:numPr>
      </w:pPr>
      <w:r>
        <w:t>NSE: National Stock Exchange of India Limited (stock exchange)</w:t>
      </w:r>
    </w:p>
    <w:p w14:paraId="35433743" w14:textId="77777777" w:rsidR="009F41F4" w:rsidRDefault="009F41F4" w:rsidP="009F41F4">
      <w:pPr>
        <w:pStyle w:val="ListParagraph"/>
        <w:numPr>
          <w:ilvl w:val="0"/>
          <w:numId w:val="6"/>
        </w:numPr>
      </w:pPr>
      <w:r>
        <w:t>NCDEX: National Commodity &amp; Derivatives Exchange Limited (commodity exchange)</w:t>
      </w:r>
    </w:p>
    <w:p w14:paraId="6EABD3F0" w14:textId="77777777" w:rsidR="009F41F4" w:rsidRDefault="009F41F4" w:rsidP="009F41F4">
      <w:pPr>
        <w:pStyle w:val="ListParagraph"/>
        <w:numPr>
          <w:ilvl w:val="0"/>
          <w:numId w:val="6"/>
        </w:numPr>
      </w:pPr>
      <w:r>
        <w:t>MCX: Multi Commodity Exchange of India Limited (commodity exchange)</w:t>
      </w:r>
    </w:p>
    <w:p w14:paraId="50EEA3C9" w14:textId="77777777" w:rsidR="009F41F4" w:rsidRDefault="009F41F4" w:rsidP="009F41F4">
      <w:pPr>
        <w:pStyle w:val="ListParagraph"/>
        <w:numPr>
          <w:ilvl w:val="0"/>
          <w:numId w:val="6"/>
        </w:numPr>
      </w:pPr>
      <w:r>
        <w:t>RBI: Reserve Bank of India (central bank)</w:t>
      </w:r>
    </w:p>
    <w:p w14:paraId="6E0E2AC3" w14:textId="77777777" w:rsidR="009F41F4" w:rsidRDefault="009F41F4" w:rsidP="009F41F4">
      <w:pPr>
        <w:pStyle w:val="ListParagraph"/>
        <w:numPr>
          <w:ilvl w:val="0"/>
          <w:numId w:val="6"/>
        </w:numPr>
      </w:pPr>
      <w:r>
        <w:t>FPI: Foreign Portfolio Investor (foreign investor in Indian securities)</w:t>
      </w:r>
    </w:p>
    <w:p w14:paraId="308B6564" w14:textId="77777777" w:rsidR="009F41F4" w:rsidRDefault="009F41F4" w:rsidP="009F41F4">
      <w:pPr>
        <w:pStyle w:val="ListParagraph"/>
        <w:numPr>
          <w:ilvl w:val="0"/>
          <w:numId w:val="6"/>
        </w:numPr>
      </w:pPr>
      <w:r>
        <w:t>DPI: Domestic Portfolio Investor (domestic investor in Indian securities)</w:t>
      </w:r>
    </w:p>
    <w:p w14:paraId="6EBD6C31" w14:textId="77777777" w:rsidR="009F41F4" w:rsidRDefault="009F41F4" w:rsidP="009F41F4">
      <w:pPr>
        <w:pStyle w:val="ListParagraph"/>
        <w:numPr>
          <w:ilvl w:val="0"/>
          <w:numId w:val="6"/>
        </w:numPr>
      </w:pPr>
      <w:r>
        <w:t>KYC: Know Your Customer (customer identification process)</w:t>
      </w:r>
    </w:p>
    <w:p w14:paraId="73EC7CD9" w14:textId="77777777" w:rsidR="009F41F4" w:rsidRDefault="009F41F4" w:rsidP="009F41F4">
      <w:pPr>
        <w:pStyle w:val="ListParagraph"/>
        <w:numPr>
          <w:ilvl w:val="0"/>
          <w:numId w:val="6"/>
        </w:numPr>
      </w:pPr>
      <w:r>
        <w:t>AML: Anti-Money Laundering (regulations to prevent money laundering)</w:t>
      </w:r>
    </w:p>
    <w:p w14:paraId="527E8425" w14:textId="77777777" w:rsidR="009F41F4" w:rsidRDefault="009F41F4" w:rsidP="009F41F4">
      <w:r>
        <w:t>Index and Stock Market</w:t>
      </w:r>
    </w:p>
    <w:p w14:paraId="5AA06E42" w14:textId="77777777" w:rsidR="009F41F4" w:rsidRDefault="009F41F4" w:rsidP="009F41F4">
      <w:pPr>
        <w:pStyle w:val="ListParagraph"/>
        <w:numPr>
          <w:ilvl w:val="0"/>
          <w:numId w:val="7"/>
        </w:numPr>
      </w:pPr>
      <w:r>
        <w:t xml:space="preserve">Sensex: Also known as the BSE Sensex, </w:t>
      </w:r>
      <w:proofErr w:type="gramStart"/>
      <w:r>
        <w:t>it's</w:t>
      </w:r>
      <w:proofErr w:type="gramEnd"/>
      <w:r>
        <w:t xml:space="preserve"> a benchmark index of the Bombay Stock Exchange (BSE</w:t>
      </w:r>
      <w:proofErr w:type="gramStart"/>
      <w:r>
        <w:t>).¹</w:t>
      </w:r>
      <w:proofErr w:type="gramEnd"/>
    </w:p>
    <w:p w14:paraId="57B2CC9E" w14:textId="77777777" w:rsidR="009F41F4" w:rsidRDefault="009F41F4" w:rsidP="009F41F4">
      <w:pPr>
        <w:pStyle w:val="ListParagraph"/>
        <w:numPr>
          <w:ilvl w:val="0"/>
          <w:numId w:val="7"/>
        </w:numPr>
      </w:pPr>
      <w:r>
        <w:t>Nifty: The NSE Nifty, also known as the CNX Nifty, is the benchmark index of the National Stock Exchange (NSE).</w:t>
      </w:r>
    </w:p>
    <w:p w14:paraId="01609FCB" w14:textId="77777777" w:rsidR="009F41F4" w:rsidRDefault="009F41F4" w:rsidP="009F41F4">
      <w:r>
        <w:t>Major Indices</w:t>
      </w:r>
    </w:p>
    <w:p w14:paraId="72DEF2C7" w14:textId="77777777" w:rsidR="009F41F4" w:rsidRDefault="009F41F4" w:rsidP="009F41F4">
      <w:pPr>
        <w:pStyle w:val="ListParagraph"/>
        <w:numPr>
          <w:ilvl w:val="0"/>
          <w:numId w:val="8"/>
        </w:numPr>
      </w:pPr>
      <w:r>
        <w:t>Sensex: Bombay Stock Exchange (BSE)</w:t>
      </w:r>
    </w:p>
    <w:p w14:paraId="6E14B9CC" w14:textId="77777777" w:rsidR="009F41F4" w:rsidRDefault="009F41F4" w:rsidP="009F41F4">
      <w:pPr>
        <w:pStyle w:val="ListParagraph"/>
        <w:numPr>
          <w:ilvl w:val="0"/>
          <w:numId w:val="8"/>
        </w:numPr>
      </w:pPr>
      <w:r>
        <w:t>Nifty 50: National Stock Exchange (NSE)</w:t>
      </w:r>
    </w:p>
    <w:p w14:paraId="2C28B614" w14:textId="77777777" w:rsidR="009F41F4" w:rsidRDefault="009F41F4" w:rsidP="009F41F4">
      <w:pPr>
        <w:pStyle w:val="ListParagraph"/>
        <w:numPr>
          <w:ilvl w:val="0"/>
          <w:numId w:val="8"/>
        </w:numPr>
      </w:pPr>
      <w:r>
        <w:t>Nifty Next 50: National Stock Exchange (NSE)</w:t>
      </w:r>
    </w:p>
    <w:p w14:paraId="30DDF78E" w14:textId="77777777" w:rsidR="009F41F4" w:rsidRDefault="009F41F4" w:rsidP="009F41F4">
      <w:pPr>
        <w:pStyle w:val="ListParagraph"/>
        <w:numPr>
          <w:ilvl w:val="0"/>
          <w:numId w:val="8"/>
        </w:numPr>
      </w:pPr>
      <w:r>
        <w:t>Nifty Midcap 100: National Stock Exchange (NSE)</w:t>
      </w:r>
    </w:p>
    <w:p w14:paraId="4E6ED7B4" w14:textId="77777777" w:rsidR="009F41F4" w:rsidRDefault="009F41F4" w:rsidP="009F41F4">
      <w:pPr>
        <w:pStyle w:val="ListParagraph"/>
        <w:numPr>
          <w:ilvl w:val="0"/>
          <w:numId w:val="8"/>
        </w:numPr>
      </w:pPr>
      <w:r>
        <w:t xml:space="preserve">Nifty </w:t>
      </w:r>
      <w:proofErr w:type="spellStart"/>
      <w:r>
        <w:t>Smallcap</w:t>
      </w:r>
      <w:proofErr w:type="spellEnd"/>
      <w:r>
        <w:t xml:space="preserve"> 100: National Stock Exchange (NSE)</w:t>
      </w:r>
    </w:p>
    <w:p w14:paraId="0D55FB6C" w14:textId="77777777" w:rsidR="009F41F4" w:rsidRDefault="009F41F4" w:rsidP="009F41F4">
      <w:pPr>
        <w:pStyle w:val="ListParagraph"/>
        <w:numPr>
          <w:ilvl w:val="0"/>
          <w:numId w:val="8"/>
        </w:numPr>
      </w:pPr>
      <w:r>
        <w:t>BSE 100: Bombay Stock Exchange (BSE)</w:t>
      </w:r>
    </w:p>
    <w:p w14:paraId="369B0858" w14:textId="77777777" w:rsidR="009F41F4" w:rsidRDefault="009F41F4" w:rsidP="009F41F4">
      <w:pPr>
        <w:pStyle w:val="ListParagraph"/>
        <w:numPr>
          <w:ilvl w:val="0"/>
          <w:numId w:val="8"/>
        </w:numPr>
      </w:pPr>
      <w:r>
        <w:t>BSE 200: Bombay Stock Exchange (BSE)</w:t>
      </w:r>
    </w:p>
    <w:p w14:paraId="749BF4F4" w14:textId="77777777" w:rsidR="009F41F4" w:rsidRDefault="009F41F4" w:rsidP="009F41F4">
      <w:pPr>
        <w:pStyle w:val="ListParagraph"/>
        <w:numPr>
          <w:ilvl w:val="0"/>
          <w:numId w:val="8"/>
        </w:numPr>
      </w:pPr>
      <w:r>
        <w:t>BSE 500: Bombay Stock Exchange (BSE)</w:t>
      </w:r>
    </w:p>
    <w:p w14:paraId="11C99AD0" w14:textId="77777777" w:rsidR="009F41F4" w:rsidRDefault="009F41F4" w:rsidP="009F41F4">
      <w:r>
        <w:t>Sectoral Indices</w:t>
      </w:r>
    </w:p>
    <w:p w14:paraId="7E44D528" w14:textId="77777777" w:rsidR="009F41F4" w:rsidRDefault="009F41F4" w:rsidP="009F41F4">
      <w:pPr>
        <w:pStyle w:val="ListParagraph"/>
        <w:numPr>
          <w:ilvl w:val="0"/>
          <w:numId w:val="9"/>
        </w:numPr>
      </w:pPr>
      <w:r>
        <w:t>Nifty Bank: National Stock Exchange (NSE)</w:t>
      </w:r>
    </w:p>
    <w:p w14:paraId="31B25731" w14:textId="77777777" w:rsidR="009F41F4" w:rsidRDefault="009F41F4" w:rsidP="009F41F4">
      <w:pPr>
        <w:pStyle w:val="ListParagraph"/>
        <w:numPr>
          <w:ilvl w:val="0"/>
          <w:numId w:val="9"/>
        </w:numPr>
      </w:pPr>
      <w:r>
        <w:t>Nifty IT: National Stock Exchange (NSE)</w:t>
      </w:r>
    </w:p>
    <w:p w14:paraId="21C7CFCA" w14:textId="77777777" w:rsidR="009F41F4" w:rsidRDefault="009F41F4" w:rsidP="009F41F4">
      <w:pPr>
        <w:pStyle w:val="ListParagraph"/>
        <w:numPr>
          <w:ilvl w:val="0"/>
          <w:numId w:val="9"/>
        </w:numPr>
      </w:pPr>
      <w:r>
        <w:t>Nifty Pharma: National Stock Exchange (NSE)</w:t>
      </w:r>
    </w:p>
    <w:p w14:paraId="097B3BD2" w14:textId="77777777" w:rsidR="009F41F4" w:rsidRDefault="009F41F4" w:rsidP="009F41F4">
      <w:pPr>
        <w:pStyle w:val="ListParagraph"/>
        <w:numPr>
          <w:ilvl w:val="0"/>
          <w:numId w:val="9"/>
        </w:numPr>
      </w:pPr>
      <w:r>
        <w:t>Nifty Auto: National Stock Exchange (NSE)</w:t>
      </w:r>
    </w:p>
    <w:p w14:paraId="57B2AD0C" w14:textId="77777777" w:rsidR="009F41F4" w:rsidRDefault="009F41F4" w:rsidP="009F41F4">
      <w:pPr>
        <w:pStyle w:val="ListParagraph"/>
        <w:numPr>
          <w:ilvl w:val="0"/>
          <w:numId w:val="9"/>
        </w:numPr>
      </w:pPr>
      <w:r>
        <w:t>Nifty FMCG: National Stock Exchange (NSE)</w:t>
      </w:r>
    </w:p>
    <w:p w14:paraId="74ABB215" w14:textId="77777777" w:rsidR="009F41F4" w:rsidRDefault="009F41F4" w:rsidP="009F41F4">
      <w:r>
        <w:t>Other Indices</w:t>
      </w:r>
    </w:p>
    <w:p w14:paraId="79DBD2FA" w14:textId="77777777" w:rsidR="009F41F4" w:rsidRDefault="009F41F4" w:rsidP="009F41F4">
      <w:pPr>
        <w:pStyle w:val="ListParagraph"/>
        <w:numPr>
          <w:ilvl w:val="0"/>
          <w:numId w:val="10"/>
        </w:numPr>
      </w:pPr>
      <w:r>
        <w:t>CNX 100: National Stock Exchange (NSE)</w:t>
      </w:r>
    </w:p>
    <w:p w14:paraId="0139AAB3" w14:textId="77777777" w:rsidR="009F41F4" w:rsidRDefault="009F41F4" w:rsidP="009F41F4">
      <w:pPr>
        <w:pStyle w:val="ListParagraph"/>
        <w:numPr>
          <w:ilvl w:val="0"/>
          <w:numId w:val="10"/>
        </w:numPr>
      </w:pPr>
      <w:r>
        <w:t>CNX 200: National Stock Exchange (NSE)</w:t>
      </w:r>
    </w:p>
    <w:p w14:paraId="1C563B78" w14:textId="77777777" w:rsidR="009F41F4" w:rsidRDefault="009F41F4" w:rsidP="009F41F4">
      <w:pPr>
        <w:pStyle w:val="ListParagraph"/>
        <w:numPr>
          <w:ilvl w:val="0"/>
          <w:numId w:val="10"/>
        </w:numPr>
      </w:pPr>
      <w:r>
        <w:t>BSE Sensex 50: Bombay Stock Exchange (BSE)</w:t>
      </w:r>
    </w:p>
    <w:p w14:paraId="3334250A" w14:textId="77777777" w:rsidR="009F41F4" w:rsidRDefault="009F41F4" w:rsidP="009F41F4">
      <w:pPr>
        <w:pStyle w:val="ListParagraph"/>
        <w:numPr>
          <w:ilvl w:val="0"/>
          <w:numId w:val="10"/>
        </w:numPr>
      </w:pPr>
      <w:r>
        <w:t>BSE 1000: Bombay Stock Exchange (BSE)</w:t>
      </w:r>
    </w:p>
    <w:p w14:paraId="5EAF26FC" w14:textId="77777777" w:rsidR="009F41F4" w:rsidRDefault="009F41F4" w:rsidP="009F41F4">
      <w:r>
        <w:t>Americas</w:t>
      </w:r>
    </w:p>
    <w:p w14:paraId="00778311" w14:textId="77777777" w:rsidR="009F41F4" w:rsidRDefault="009F41F4" w:rsidP="009F41F4">
      <w:pPr>
        <w:pStyle w:val="ListParagraph"/>
        <w:numPr>
          <w:ilvl w:val="0"/>
          <w:numId w:val="11"/>
        </w:numPr>
      </w:pPr>
      <w:r>
        <w:t>S&amp;P 500 (Standard &amp; Poor's 500): New York Stock Exchange (NYSE) and NASDAQ</w:t>
      </w:r>
    </w:p>
    <w:p w14:paraId="03EBDDC6" w14:textId="77777777" w:rsidR="009F41F4" w:rsidRDefault="009F41F4" w:rsidP="009F41F4">
      <w:pPr>
        <w:pStyle w:val="ListParagraph"/>
        <w:numPr>
          <w:ilvl w:val="0"/>
          <w:numId w:val="11"/>
        </w:numPr>
      </w:pPr>
      <w:r>
        <w:t>Dow Jones Industrial Average (DJIA): New York Stock Exchange (NYSE)</w:t>
      </w:r>
    </w:p>
    <w:p w14:paraId="0AA7AA0F" w14:textId="77777777" w:rsidR="009F41F4" w:rsidRDefault="009F41F4" w:rsidP="009F41F4">
      <w:pPr>
        <w:pStyle w:val="ListParagraph"/>
        <w:numPr>
          <w:ilvl w:val="0"/>
          <w:numId w:val="11"/>
        </w:numPr>
      </w:pPr>
      <w:r>
        <w:t>NASDAQ Composite: NASDAQ</w:t>
      </w:r>
    </w:p>
    <w:p w14:paraId="5D33B81A" w14:textId="77777777" w:rsidR="009F41F4" w:rsidRDefault="009F41F4" w:rsidP="009F41F4">
      <w:pPr>
        <w:pStyle w:val="ListParagraph"/>
        <w:numPr>
          <w:ilvl w:val="0"/>
          <w:numId w:val="11"/>
        </w:numPr>
      </w:pPr>
      <w:r>
        <w:lastRenderedPageBreak/>
        <w:t>Russell 2000: NYSE, NASDAQ, and American Stock Exchange (AMEX)</w:t>
      </w:r>
    </w:p>
    <w:p w14:paraId="159FEFB4" w14:textId="77777777" w:rsidR="009F41F4" w:rsidRDefault="009F41F4" w:rsidP="009F41F4">
      <w:r>
        <w:t>Europe</w:t>
      </w:r>
    </w:p>
    <w:p w14:paraId="33BB966C" w14:textId="77777777" w:rsidR="009F41F4" w:rsidRDefault="009F41F4" w:rsidP="009F41F4">
      <w:pPr>
        <w:pStyle w:val="ListParagraph"/>
        <w:numPr>
          <w:ilvl w:val="0"/>
          <w:numId w:val="12"/>
        </w:numPr>
      </w:pPr>
      <w:r>
        <w:t>FTSE 100: London Stock Exchange (LSE)</w:t>
      </w:r>
    </w:p>
    <w:p w14:paraId="3E867265" w14:textId="77777777" w:rsidR="009F41F4" w:rsidRDefault="009F41F4" w:rsidP="009F41F4">
      <w:pPr>
        <w:pStyle w:val="ListParagraph"/>
        <w:numPr>
          <w:ilvl w:val="0"/>
          <w:numId w:val="12"/>
        </w:numPr>
      </w:pPr>
      <w:r>
        <w:t>Euro Stoxx 50: Euronext, Deutsche Börse (</w:t>
      </w:r>
      <w:proofErr w:type="spellStart"/>
      <w:r>
        <w:t>Xetra</w:t>
      </w:r>
      <w:proofErr w:type="spellEnd"/>
      <w:r>
        <w:t>), and SIX Swiss Exchange</w:t>
      </w:r>
    </w:p>
    <w:p w14:paraId="46DF5945" w14:textId="77777777" w:rsidR="009F41F4" w:rsidRDefault="009F41F4" w:rsidP="009F41F4">
      <w:pPr>
        <w:pStyle w:val="ListParagraph"/>
        <w:numPr>
          <w:ilvl w:val="0"/>
          <w:numId w:val="12"/>
        </w:numPr>
      </w:pPr>
      <w:r>
        <w:t>DAX: Deutsche Börse (</w:t>
      </w:r>
      <w:proofErr w:type="spellStart"/>
      <w:r>
        <w:t>Xetra</w:t>
      </w:r>
      <w:proofErr w:type="spellEnd"/>
      <w:r>
        <w:t>)</w:t>
      </w:r>
    </w:p>
    <w:p w14:paraId="017077F9" w14:textId="77777777" w:rsidR="009F41F4" w:rsidRDefault="009F41F4" w:rsidP="009F41F4">
      <w:pPr>
        <w:pStyle w:val="ListParagraph"/>
        <w:numPr>
          <w:ilvl w:val="0"/>
          <w:numId w:val="12"/>
        </w:numPr>
      </w:pPr>
      <w:r>
        <w:t>CAC 40: Euronext Paris</w:t>
      </w:r>
    </w:p>
    <w:p w14:paraId="5AF9085E" w14:textId="77777777" w:rsidR="009F41F4" w:rsidRDefault="009F41F4" w:rsidP="009F41F4">
      <w:r>
        <w:t>Asia-Pacific</w:t>
      </w:r>
    </w:p>
    <w:p w14:paraId="1EC2DEE2" w14:textId="77777777" w:rsidR="009F41F4" w:rsidRDefault="009F41F4" w:rsidP="009F41F4">
      <w:pPr>
        <w:pStyle w:val="ListParagraph"/>
        <w:numPr>
          <w:ilvl w:val="0"/>
          <w:numId w:val="13"/>
        </w:numPr>
      </w:pPr>
      <w:r>
        <w:t>Nikkei 225: Tokyo Stock Exchange (TSE)</w:t>
      </w:r>
    </w:p>
    <w:p w14:paraId="34ED4AAF" w14:textId="77777777" w:rsidR="009F41F4" w:rsidRDefault="009F41F4" w:rsidP="009F41F4">
      <w:pPr>
        <w:pStyle w:val="ListParagraph"/>
        <w:numPr>
          <w:ilvl w:val="0"/>
          <w:numId w:val="13"/>
        </w:numPr>
      </w:pPr>
      <w:r>
        <w:t>Hang Seng Index: Hong Kong Stock Exchange (HKEX)</w:t>
      </w:r>
    </w:p>
    <w:p w14:paraId="0E56F976" w14:textId="77777777" w:rsidR="009F41F4" w:rsidRDefault="009F41F4" w:rsidP="009F41F4">
      <w:pPr>
        <w:pStyle w:val="ListParagraph"/>
        <w:numPr>
          <w:ilvl w:val="0"/>
          <w:numId w:val="13"/>
        </w:numPr>
      </w:pPr>
      <w:r>
        <w:t>Shanghai Composite Index: Shanghai Stock Exchange (SSE)</w:t>
      </w:r>
    </w:p>
    <w:p w14:paraId="39ACEE32" w14:textId="77777777" w:rsidR="009F41F4" w:rsidRDefault="009F41F4" w:rsidP="009F41F4">
      <w:pPr>
        <w:pStyle w:val="ListParagraph"/>
        <w:numPr>
          <w:ilvl w:val="0"/>
          <w:numId w:val="13"/>
        </w:numPr>
      </w:pPr>
      <w:r>
        <w:t>Sensex: Bombay Stock Exchange (BSE)</w:t>
      </w:r>
    </w:p>
    <w:p w14:paraId="3A3AD532" w14:textId="77777777" w:rsidR="009F41F4" w:rsidRDefault="009F41F4" w:rsidP="009F41F4">
      <w:pPr>
        <w:pStyle w:val="ListParagraph"/>
        <w:numPr>
          <w:ilvl w:val="0"/>
          <w:numId w:val="13"/>
        </w:numPr>
      </w:pPr>
      <w:r>
        <w:t>Nifty 50: National Stock Exchange of India (NSE)</w:t>
      </w:r>
    </w:p>
    <w:p w14:paraId="0A3DBE2B" w14:textId="77777777" w:rsidR="009F41F4" w:rsidRDefault="009F41F4" w:rsidP="009F41F4">
      <w:r>
        <w:t>Other notable indices</w:t>
      </w:r>
    </w:p>
    <w:p w14:paraId="7DB51D28" w14:textId="77777777" w:rsidR="009F41F4" w:rsidRDefault="009F41F4" w:rsidP="009F41F4">
      <w:pPr>
        <w:pStyle w:val="ListParagraph"/>
        <w:numPr>
          <w:ilvl w:val="0"/>
          <w:numId w:val="14"/>
        </w:numPr>
      </w:pPr>
      <w:r>
        <w:t>MSCI World Index: A global equity index covering developed markets</w:t>
      </w:r>
    </w:p>
    <w:p w14:paraId="282C87CF" w14:textId="77777777" w:rsidR="009F41F4" w:rsidRDefault="009F41F4" w:rsidP="009F41F4">
      <w:pPr>
        <w:pStyle w:val="ListParagraph"/>
        <w:numPr>
          <w:ilvl w:val="0"/>
          <w:numId w:val="14"/>
        </w:numPr>
      </w:pPr>
      <w:r>
        <w:t>MSCI Emerging Markets Index: A global equity index covering emerging markets</w:t>
      </w:r>
    </w:p>
    <w:p w14:paraId="4F62E8D7" w14:textId="77777777" w:rsidR="009F41F4" w:rsidRDefault="009F41F4" w:rsidP="009F41F4">
      <w:pPr>
        <w:pStyle w:val="ListParagraph"/>
        <w:numPr>
          <w:ilvl w:val="0"/>
          <w:numId w:val="14"/>
        </w:numPr>
      </w:pPr>
      <w:r>
        <w:t>VIX (CBOE Volatility Index): Chicago Board Options Exchange (CBOE)</w:t>
      </w:r>
    </w:p>
    <w:sectPr w:rsidR="009F41F4" w:rsidSect="00FE116C">
      <w:headerReference w:type="default" r:id="rId7"/>
      <w:footerReference w:type="default" r:id="rId8"/>
      <w:pgSz w:w="11906" w:h="16838"/>
      <w:pgMar w:top="720" w:right="720" w:bottom="720" w:left="720" w:header="708" w:footer="36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D66D49" w14:textId="77777777" w:rsidR="008940B6" w:rsidRDefault="008940B6" w:rsidP="00FE116C">
      <w:pPr>
        <w:spacing w:after="0" w:line="240" w:lineRule="auto"/>
      </w:pPr>
      <w:r>
        <w:separator/>
      </w:r>
    </w:p>
  </w:endnote>
  <w:endnote w:type="continuationSeparator" w:id="0">
    <w:p w14:paraId="5F0CDBFB" w14:textId="77777777" w:rsidR="008940B6" w:rsidRDefault="008940B6" w:rsidP="00FE1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639B9" w14:textId="77777777" w:rsidR="00FE116C" w:rsidRDefault="00FE116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ADD70C6" w14:textId="77777777" w:rsidR="00FE116C" w:rsidRDefault="00FE11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06D5D1" w14:textId="77777777" w:rsidR="008940B6" w:rsidRDefault="008940B6" w:rsidP="00FE116C">
      <w:pPr>
        <w:spacing w:after="0" w:line="240" w:lineRule="auto"/>
      </w:pPr>
      <w:r>
        <w:separator/>
      </w:r>
    </w:p>
  </w:footnote>
  <w:footnote w:type="continuationSeparator" w:id="0">
    <w:p w14:paraId="6B161746" w14:textId="77777777" w:rsidR="008940B6" w:rsidRDefault="008940B6" w:rsidP="00FE1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1D6135" w14:textId="3E401D70" w:rsidR="008F3625" w:rsidRDefault="008F3625">
    <w:pPr>
      <w:pStyle w:val="Header"/>
    </w:pPr>
    <w:sdt>
      <w:sdtPr>
        <w:id w:val="2106996940"/>
        <w:docPartObj>
          <w:docPartGallery w:val="Watermarks"/>
          <w:docPartUnique/>
        </w:docPartObj>
      </w:sdtPr>
      <w:sdtContent>
        <w:r>
          <w:rPr>
            <w:noProof/>
          </w:rPr>
          <w:pict w14:anchorId="33E8399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69884970" o:spid="_x0000_s1025" type="#_x0000_t136" style="position:absolute;margin-left:0;margin-top:0;width:516.45pt;height:221.3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njna T G"/>
              <w10:wrap anchorx="margin" anchory="margin"/>
            </v:shape>
          </w:pict>
        </w:r>
      </w:sdtContent>
    </w:sdt>
    <w:r w:rsidR="003064CF">
      <w:t>Acronyms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975C6"/>
    <w:multiLevelType w:val="hybridMultilevel"/>
    <w:tmpl w:val="D89A18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36F1F"/>
    <w:multiLevelType w:val="hybridMultilevel"/>
    <w:tmpl w:val="38AC9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8457F"/>
    <w:multiLevelType w:val="hybridMultilevel"/>
    <w:tmpl w:val="AC0A92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44E6E"/>
    <w:multiLevelType w:val="hybridMultilevel"/>
    <w:tmpl w:val="3CFE4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A7949"/>
    <w:multiLevelType w:val="hybridMultilevel"/>
    <w:tmpl w:val="4F62CE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D482D"/>
    <w:multiLevelType w:val="hybridMultilevel"/>
    <w:tmpl w:val="6D1EAF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D22FC"/>
    <w:multiLevelType w:val="hybridMultilevel"/>
    <w:tmpl w:val="AB2C6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D1C05"/>
    <w:multiLevelType w:val="hybridMultilevel"/>
    <w:tmpl w:val="88B624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846849"/>
    <w:multiLevelType w:val="hybridMultilevel"/>
    <w:tmpl w:val="17DCAA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7C04C0"/>
    <w:multiLevelType w:val="hybridMultilevel"/>
    <w:tmpl w:val="CDAE30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0436A"/>
    <w:multiLevelType w:val="hybridMultilevel"/>
    <w:tmpl w:val="A35ED8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052E5"/>
    <w:multiLevelType w:val="hybridMultilevel"/>
    <w:tmpl w:val="174E7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55506F"/>
    <w:multiLevelType w:val="hybridMultilevel"/>
    <w:tmpl w:val="3AECE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167E3"/>
    <w:multiLevelType w:val="hybridMultilevel"/>
    <w:tmpl w:val="B84E1B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13EC6"/>
    <w:multiLevelType w:val="hybridMultilevel"/>
    <w:tmpl w:val="6C02F7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C21EC"/>
    <w:multiLevelType w:val="hybridMultilevel"/>
    <w:tmpl w:val="48AAF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4D24F4"/>
    <w:multiLevelType w:val="hybridMultilevel"/>
    <w:tmpl w:val="F69C7E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3735A9"/>
    <w:multiLevelType w:val="hybridMultilevel"/>
    <w:tmpl w:val="953228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E7C8D"/>
    <w:multiLevelType w:val="hybridMultilevel"/>
    <w:tmpl w:val="9F1C6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8E25BE"/>
    <w:multiLevelType w:val="hybridMultilevel"/>
    <w:tmpl w:val="2EB8AE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9196E"/>
    <w:multiLevelType w:val="hybridMultilevel"/>
    <w:tmpl w:val="981E23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6F568E"/>
    <w:multiLevelType w:val="hybridMultilevel"/>
    <w:tmpl w:val="AFD04F3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F7C11EA"/>
    <w:multiLevelType w:val="hybridMultilevel"/>
    <w:tmpl w:val="80A81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66571">
    <w:abstractNumId w:val="2"/>
  </w:num>
  <w:num w:numId="2" w16cid:durableId="2112629321">
    <w:abstractNumId w:val="0"/>
  </w:num>
  <w:num w:numId="3" w16cid:durableId="920261682">
    <w:abstractNumId w:val="16"/>
  </w:num>
  <w:num w:numId="4" w16cid:durableId="1403988972">
    <w:abstractNumId w:val="22"/>
  </w:num>
  <w:num w:numId="5" w16cid:durableId="723260017">
    <w:abstractNumId w:val="12"/>
  </w:num>
  <w:num w:numId="6" w16cid:durableId="44910717">
    <w:abstractNumId w:val="14"/>
  </w:num>
  <w:num w:numId="7" w16cid:durableId="886258380">
    <w:abstractNumId w:val="19"/>
  </w:num>
  <w:num w:numId="8" w16cid:durableId="326596791">
    <w:abstractNumId w:val="13"/>
  </w:num>
  <w:num w:numId="9" w16cid:durableId="1332872005">
    <w:abstractNumId w:val="8"/>
  </w:num>
  <w:num w:numId="10" w16cid:durableId="102040232">
    <w:abstractNumId w:val="1"/>
  </w:num>
  <w:num w:numId="11" w16cid:durableId="609051166">
    <w:abstractNumId w:val="10"/>
  </w:num>
  <w:num w:numId="12" w16cid:durableId="679503715">
    <w:abstractNumId w:val="11"/>
  </w:num>
  <w:num w:numId="13" w16cid:durableId="577709870">
    <w:abstractNumId w:val="7"/>
  </w:num>
  <w:num w:numId="14" w16cid:durableId="1159073070">
    <w:abstractNumId w:val="18"/>
  </w:num>
  <w:num w:numId="15" w16cid:durableId="45565008">
    <w:abstractNumId w:val="21"/>
  </w:num>
  <w:num w:numId="16" w16cid:durableId="434447986">
    <w:abstractNumId w:val="3"/>
  </w:num>
  <w:num w:numId="17" w16cid:durableId="1189298886">
    <w:abstractNumId w:val="20"/>
  </w:num>
  <w:num w:numId="18" w16cid:durableId="2098360700">
    <w:abstractNumId w:val="17"/>
  </w:num>
  <w:num w:numId="19" w16cid:durableId="853107278">
    <w:abstractNumId w:val="4"/>
  </w:num>
  <w:num w:numId="20" w16cid:durableId="1103260280">
    <w:abstractNumId w:val="15"/>
  </w:num>
  <w:num w:numId="21" w16cid:durableId="1022361944">
    <w:abstractNumId w:val="6"/>
  </w:num>
  <w:num w:numId="22" w16cid:durableId="1086148220">
    <w:abstractNumId w:val="9"/>
  </w:num>
  <w:num w:numId="23" w16cid:durableId="17983324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F4"/>
    <w:rsid w:val="000661B4"/>
    <w:rsid w:val="002F0157"/>
    <w:rsid w:val="003064CF"/>
    <w:rsid w:val="00454648"/>
    <w:rsid w:val="00473A52"/>
    <w:rsid w:val="00540150"/>
    <w:rsid w:val="00623A3D"/>
    <w:rsid w:val="00641995"/>
    <w:rsid w:val="007A4E96"/>
    <w:rsid w:val="008940B6"/>
    <w:rsid w:val="008F3625"/>
    <w:rsid w:val="00945526"/>
    <w:rsid w:val="00991340"/>
    <w:rsid w:val="009F41F4"/>
    <w:rsid w:val="00AA2199"/>
    <w:rsid w:val="00B35704"/>
    <w:rsid w:val="00D57F3C"/>
    <w:rsid w:val="00DE2631"/>
    <w:rsid w:val="00FE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68242"/>
  <w15:chartTrackingRefBased/>
  <w15:docId w15:val="{65AC00D5-9524-4D6D-A02E-C50F7691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1F4"/>
  </w:style>
  <w:style w:type="paragraph" w:styleId="Heading1">
    <w:name w:val="heading 1"/>
    <w:basedOn w:val="Normal"/>
    <w:next w:val="Normal"/>
    <w:link w:val="Heading1Char"/>
    <w:uiPriority w:val="9"/>
    <w:qFormat/>
    <w:rsid w:val="009F4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1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1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1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1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1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1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1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1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1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1F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1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16C"/>
  </w:style>
  <w:style w:type="paragraph" w:styleId="Footer">
    <w:name w:val="footer"/>
    <w:basedOn w:val="Normal"/>
    <w:link w:val="FooterChar"/>
    <w:uiPriority w:val="99"/>
    <w:unhideWhenUsed/>
    <w:rsid w:val="00FE1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sanjna sharath</dc:creator>
  <cp:keywords/>
  <dc:description/>
  <cp:lastModifiedBy>sanjna sharath</cp:lastModifiedBy>
  <cp:revision>17</cp:revision>
  <dcterms:created xsi:type="dcterms:W3CDTF">2025-04-04T07:56:00Z</dcterms:created>
  <dcterms:modified xsi:type="dcterms:W3CDTF">2025-05-28T12:30:00Z</dcterms:modified>
</cp:coreProperties>
</file>