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463781" w14:textId="0A1298A3" w:rsidR="00B042F7" w:rsidRPr="00B042F7" w:rsidRDefault="00B042F7" w:rsidP="00B042F7">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kern w:val="36"/>
          <w:sz w:val="28"/>
          <w:szCs w:val="28"/>
          <w14:ligatures w14:val="none"/>
        </w:rPr>
        <w:t>ChronicleAI: Transforming Clinical Documentation into Explainable Patient Journeys</w:t>
      </w:r>
    </w:p>
    <w:p w14:paraId="36CC153F" w14:textId="77777777" w:rsidR="00B042F7" w:rsidRPr="00B042F7" w:rsidRDefault="00B042F7" w:rsidP="00B042F7">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Clinical Natural Language Technology in Healthcare</w:t>
      </w:r>
    </w:p>
    <w:p w14:paraId="4E57F35E" w14:textId="77777777" w:rsidR="00B042F7" w:rsidRPr="00B042F7" w:rsidRDefault="00B042F7" w:rsidP="00B042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Healthcare organizations generate enormous volumes of clinical documentation every day. Progress notes, discharge summaries, specialist consultations, and follow-up visits contain valuable information about a patient's history, treatment decisions, and outcomes. However, much of this information remains difficult to analyze because it exists as unstructured text.</w:t>
      </w:r>
    </w:p>
    <w:p w14:paraId="1F20430E" w14:textId="77777777" w:rsidR="00B042F7" w:rsidRPr="00B042F7" w:rsidRDefault="00B042F7" w:rsidP="00B042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Traditional Natural Language Processing (NLP) methods have improved access to clinical information through techniques such as entity recognition, terminology extraction, and concept identification. These approaches support applications including medical coding, information retrieval, and population health analysis.</w:t>
      </w:r>
    </w:p>
    <w:p w14:paraId="60C41AEA" w14:textId="60FE7DF6" w:rsidR="00B042F7" w:rsidRPr="00B042F7" w:rsidRDefault="00B042F7" w:rsidP="00B042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Recent advances in Large Language Models (LLMs) have expanded these capabilities beyond extraction tasks. Modern systems can synthesize information across multiple encounters, understand context, and generate concise clinical narratives.</w:t>
      </w:r>
      <w:r w:rsidR="006E4F85">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Healthcare is gradually shifting from understanding individual documents to understanding patients over time. This creates opportunities to reconstruct patient journeys, monitor symptom progression, identify changes in treatment, and detect potential gaps in care.</w:t>
      </w:r>
    </w:p>
    <w:p w14:paraId="2C71166D" w14:textId="098DEB42" w:rsidR="00255BC8" w:rsidRDefault="00B042F7" w:rsidP="00B042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organizations focused on healthcare analytics, payment integrity, and quality improvement, longitudinal clinical intelligence represents an important emerging capability.</w:t>
      </w:r>
    </w:p>
    <w:p w14:paraId="55A5A771" w14:textId="43E5B814" w:rsidR="00255BC8" w:rsidRPr="00255BC8" w:rsidRDefault="00255BC8" w:rsidP="00255BC8">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Future Outlook</w:t>
      </w:r>
    </w:p>
    <w:p w14:paraId="15E7F14B" w14:textId="5AAC0E4D" w:rsidR="00255BC8" w:rsidRPr="00B042F7" w:rsidRDefault="00255BC8" w:rsidP="00255BC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next phase of clinical language technology is expected to move beyond summarization toward decision support and operational intelligence. Emerging systems are beginning to combine structured clinical data, narrative documentation, and generative AI to provide a more comprehensive understanding of patient care. Rather than simply extracting information from individual notes, these systems can identify longitudinal patterns, explain disease progression, and support activities related to treatment, payment, and healthcare operations. As healthcare organizations continue to accumulate large volumes of clinical documentation, tools that convert narrative records into actionable insights may become increasingly valuable.</w:t>
      </w:r>
    </w:p>
    <w:p w14:paraId="410870A8" w14:textId="77777777" w:rsidR="00B042F7" w:rsidRPr="00B042F7" w:rsidRDefault="00B042F7" w:rsidP="00B042F7">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Current Trends</w:t>
      </w:r>
    </w:p>
    <w:p w14:paraId="7BD6BD29" w14:textId="77777777" w:rsidR="00B042F7" w:rsidRPr="00B042F7" w:rsidRDefault="00B042F7" w:rsidP="00B042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Several trends are influencing the future of clinical language technologies.</w:t>
      </w:r>
    </w:p>
    <w:p w14:paraId="7823CFD1" w14:textId="77777777" w:rsidR="00B042F7" w:rsidRPr="00B042F7" w:rsidRDefault="00B042F7" w:rsidP="00B042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Longitudinal reasoning</w:t>
      </w:r>
      <w:r>
        <w:rPr>
          <w:rFonts w:ascii="Times New Roman" w:eastAsia="Times New Roman" w:hAnsi="Times New Roman" w:cs="Times New Roman"/>
          <w:kern w:val="0"/>
          <w14:ligatures w14:val="none"/>
        </w:rPr>
        <w:t xml:space="preserve"> enables AI systems to analyze information across months or years of documentation rather than focusing on a single encounter.</w:t>
      </w:r>
    </w:p>
    <w:p w14:paraId="10E883C8" w14:textId="77777777" w:rsidR="00B042F7" w:rsidRPr="00B042F7" w:rsidRDefault="00B042F7" w:rsidP="00B042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Explainable AI</w:t>
      </w:r>
      <w:r>
        <w:rPr>
          <w:rFonts w:ascii="Times New Roman" w:eastAsia="Times New Roman" w:hAnsi="Times New Roman" w:cs="Times New Roman"/>
          <w:kern w:val="0"/>
          <w14:ligatures w14:val="none"/>
        </w:rPr>
        <w:t xml:space="preserve"> is becoming increasingly important in healthcare. Clinical users need systems that provide evidence supporting recommendations and conclusions.</w:t>
      </w:r>
    </w:p>
    <w:p w14:paraId="43145710" w14:textId="77777777" w:rsidR="00B042F7" w:rsidRPr="00B042F7" w:rsidRDefault="00B042F7" w:rsidP="00B042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Narrative intelligence</w:t>
      </w:r>
      <w:r>
        <w:rPr>
          <w:rFonts w:ascii="Times New Roman" w:eastAsia="Times New Roman" w:hAnsi="Times New Roman" w:cs="Times New Roman"/>
          <w:kern w:val="0"/>
          <w14:ligatures w14:val="none"/>
        </w:rPr>
        <w:t xml:space="preserve"> aims to reduce the burden of reviewing lengthy patient histories by generating concise summaries of disease progression and treatment changes.</w:t>
      </w:r>
    </w:p>
    <w:p w14:paraId="4DFA0974" w14:textId="77777777" w:rsidR="00255BC8" w:rsidRDefault="00B042F7" w:rsidP="00255BC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Care gap detection</w:t>
      </w:r>
      <w:r>
        <w:rPr>
          <w:rFonts w:ascii="Times New Roman" w:eastAsia="Times New Roman" w:hAnsi="Times New Roman" w:cs="Times New Roman"/>
          <w:kern w:val="0"/>
          <w14:ligatures w14:val="none"/>
        </w:rPr>
        <w:t xml:space="preserve"> uses documentation patterns to identify missing follow-up activities and opportunities for improved care coordination. </w:t>
      </w:r>
    </w:p>
    <w:p w14:paraId="2E6994C2" w14:textId="77777777" w:rsidR="006E4F85" w:rsidRDefault="006E4F85" w:rsidP="00255BC8">
      <w:pPr>
        <w:spacing w:before="100" w:beforeAutospacing="1" w:after="100" w:afterAutospacing="1" w:line="240" w:lineRule="auto"/>
        <w:rPr>
          <w:rFonts w:ascii="Times New Roman" w:eastAsia="Times New Roman" w:hAnsi="Times New Roman" w:cs="Times New Roman"/>
          <w:b/>
          <w:bCs/>
          <w:kern w:val="0"/>
          <w14:ligatures w14:val="none"/>
        </w:rPr>
      </w:pPr>
    </w:p>
    <w:p w14:paraId="4BD5637C" w14:textId="1E333AF5" w:rsidR="00B042F7" w:rsidRPr="00255BC8" w:rsidRDefault="00B042F7" w:rsidP="00255BC8">
      <w:p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b/>
          <w:bCs/>
          <w:kern w:val="0"/>
          <w14:ligatures w14:val="none"/>
        </w:rPr>
        <w:lastRenderedPageBreak/>
        <w:t>ChronicleAI</w:t>
      </w:r>
      <w:proofErr w:type="spellEnd"/>
      <w:r>
        <w:rPr>
          <w:rFonts w:ascii="Times New Roman" w:eastAsia="Times New Roman" w:hAnsi="Times New Roman" w:cs="Times New Roman"/>
          <w:b/>
          <w:bCs/>
          <w:kern w:val="0"/>
          <w14:ligatures w14:val="none"/>
        </w:rPr>
        <w:t>: A Proof-of-Concept</w:t>
      </w:r>
    </w:p>
    <w:p w14:paraId="440F027C" w14:textId="6E57416B" w:rsidR="00B042F7" w:rsidRPr="00B042F7" w:rsidRDefault="00B042F7" w:rsidP="00B042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explore these ideas, a prototype called </w:t>
      </w:r>
      <w:r>
        <w:rPr>
          <w:rFonts w:ascii="Times New Roman" w:eastAsia="Times New Roman" w:hAnsi="Times New Roman" w:cs="Times New Roman"/>
          <w:b/>
          <w:bCs/>
          <w:kern w:val="0"/>
          <w14:ligatures w14:val="none"/>
        </w:rPr>
        <w:t>ChronicleAI</w:t>
      </w:r>
      <w:r>
        <w:rPr>
          <w:rFonts w:ascii="Times New Roman" w:eastAsia="Times New Roman" w:hAnsi="Times New Roman" w:cs="Times New Roman"/>
          <w:kern w:val="0"/>
          <w14:ligatures w14:val="none"/>
        </w:rPr>
        <w:t xml:space="preserve"> was developed.</w:t>
      </w:r>
      <w:r>
        <w:rPr>
          <w:rFonts w:ascii="Times New Roman" w:eastAsia="Times New Roman" w:hAnsi="Times New Roman" w:cs="Times New Roman"/>
          <w:kern w:val="0"/>
          <w14:ligatures w14:val="none"/>
        </w:rPr>
        <w:br/>
        <w:t>ChronicleAI converts sequential clinical notes into explainable patient journeys. Instead of functioning as a chatbot, the system acts as a clinical intelligence layer that analyzes longitudinal documentation and presents findings in an interpretable format.</w:t>
      </w:r>
      <w:r w:rsidR="006E4F85">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The prototype performs several analytical tasks:</w:t>
      </w:r>
    </w:p>
    <w:p w14:paraId="0EDF2FDC" w14:textId="77777777" w:rsidR="00B042F7" w:rsidRPr="00B042F7" w:rsidRDefault="00B042F7" w:rsidP="00B042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Timeline generation across encounters</w:t>
      </w:r>
    </w:p>
    <w:p w14:paraId="233BB21D" w14:textId="77777777" w:rsidR="00B042F7" w:rsidRPr="00B042F7" w:rsidRDefault="00B042F7" w:rsidP="00B042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Detection of emerging and resolved symptoms</w:t>
      </w:r>
    </w:p>
    <w:p w14:paraId="442CB5F0" w14:textId="6EB86137" w:rsidR="00B042F7" w:rsidRPr="00B042F7" w:rsidRDefault="00B042F7" w:rsidP="00B042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Medication changes tracking</w:t>
      </w:r>
    </w:p>
    <w:p w14:paraId="024C82E5" w14:textId="77777777" w:rsidR="00B042F7" w:rsidRPr="00B042F7" w:rsidRDefault="00B042F7" w:rsidP="00B042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Treatment progression analysis</w:t>
      </w:r>
    </w:p>
    <w:p w14:paraId="4C464257" w14:textId="77777777" w:rsidR="00B042F7" w:rsidRPr="00B042F7" w:rsidRDefault="00B042F7" w:rsidP="00B042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Identification of potential care gaps</w:t>
      </w:r>
    </w:p>
    <w:p w14:paraId="3E6BD175" w14:textId="77777777" w:rsidR="00B042F7" w:rsidRPr="00B042F7" w:rsidRDefault="00B042F7" w:rsidP="00B042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attribution for findings</w:t>
      </w:r>
    </w:p>
    <w:p w14:paraId="494F5BC8" w14:textId="77777777" w:rsidR="00B042F7" w:rsidRPr="00B042F7" w:rsidRDefault="00B042F7" w:rsidP="00B042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AI-generated clinical summaries</w:t>
      </w:r>
    </w:p>
    <w:p w14:paraId="0480DF2D" w14:textId="77777777" w:rsidR="00B042F7" w:rsidRPr="00B042F7" w:rsidRDefault="00B042F7" w:rsidP="00B042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Trajectory classification as improving, stable, or worsening</w:t>
      </w:r>
    </w:p>
    <w:p w14:paraId="63BA89FA" w14:textId="76957DC1" w:rsidR="00B042F7" w:rsidRPr="00B042F7" w:rsidRDefault="00B042F7" w:rsidP="00B042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ChronicleAI combines deterministic NLP methods with Large Language Models. Rule-based extraction techniques identify symptoms, medications, diagnostics, and clinical events, while language models synthesize these findings into concise summaries and explain patient progression over time.</w:t>
      </w:r>
      <w:r>
        <w:rPr>
          <w:rFonts w:ascii="Times New Roman" w:eastAsia="Times New Roman" w:hAnsi="Times New Roman" w:cs="Times New Roman"/>
          <w:kern w:val="0"/>
          <w14:ligatures w14:val="none"/>
        </w:rPr>
        <w:br/>
        <w:t>This hybrid approach balances transparency with contextual understanding. Traditional methods provide reproducible outputs, while language models improve readability and support higher-level clinical reasoning.</w:t>
      </w:r>
    </w:p>
    <w:p w14:paraId="064C24CC" w14:textId="77777777" w:rsidR="00B042F7" w:rsidRPr="00B042F7" w:rsidRDefault="00B042F7" w:rsidP="00B042F7">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Opportunities and Risks</w:t>
      </w:r>
    </w:p>
    <w:p w14:paraId="6D35E17A" w14:textId="0FD84254" w:rsidR="00B042F7" w:rsidRPr="00B042F7" w:rsidRDefault="00B042F7" w:rsidP="00B042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Clinical narrative intelligence has the potential to reduce the effort required to review historical records, improve clinical workflows, and support healthcare operations.</w:t>
      </w:r>
      <w:r w:rsidR="006E4F85">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Organizations may benefit from faster chart review processes, improved utilization management, enhanced care coordination, and better visibility into patient trajectories.</w:t>
      </w:r>
    </w:p>
    <w:p w14:paraId="4717F8DC" w14:textId="77777777" w:rsidR="00B042F7" w:rsidRPr="00B042F7" w:rsidRDefault="00B042F7" w:rsidP="00B042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However, generative AI also introduces meaningful threats. Language models can occasionally produce unsupported or hallucinated conclusions, which carries direct liability exposure in audit and payment-integrity contexts where decisions must be defensible. Models trained on non-representative clinical data may encode bias against underserved populations, and reliance on third-party LLM providers introduces vendor dependency and data-handling risk under HIPAA. Healthcare applications must therefore maintain transparency, protect patient information, and ensure outputs remain interpretable and auditable by human reviewers before being trusted in production workflows.</w:t>
      </w:r>
    </w:p>
    <w:p w14:paraId="7DB2ED34" w14:textId="77777777" w:rsidR="00B042F7" w:rsidRPr="00B042F7" w:rsidRDefault="00B042F7" w:rsidP="00B042F7">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Strategic Recommendations for Cotiviti</w:t>
      </w:r>
    </w:p>
    <w:p w14:paraId="260714F4" w14:textId="6C9CA0E2" w:rsidR="00B042F7" w:rsidRPr="00B042F7" w:rsidRDefault="00B042F7" w:rsidP="00B042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Cotiviti could explore longitudinal clinical intelligence as a complementary capability within its healthcare analytics ecosystem.</w:t>
      </w:r>
      <w:r w:rsidR="006E4F85">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Potential investment areas include:</w:t>
      </w:r>
    </w:p>
    <w:p w14:paraId="78BB8DBC" w14:textId="77777777" w:rsidR="00B042F7" w:rsidRPr="00B042F7" w:rsidRDefault="00B042F7" w:rsidP="00B042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Patient journey reconstruction from historical documentation</w:t>
      </w:r>
    </w:p>
    <w:p w14:paraId="4E394EDF" w14:textId="77777777" w:rsidR="00B042F7" w:rsidRPr="00B042F7" w:rsidRDefault="00B042F7" w:rsidP="00B042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Explainable care gap identification</w:t>
      </w:r>
    </w:p>
    <w:p w14:paraId="61517C84" w14:textId="77777777" w:rsidR="006E4F85" w:rsidRDefault="00B042F7" w:rsidP="006E4F85">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E4F85">
        <w:rPr>
          <w:rFonts w:ascii="Times New Roman" w:eastAsia="Times New Roman" w:hAnsi="Times New Roman" w:cs="Times New Roman"/>
          <w:kern w:val="0"/>
          <w14:ligatures w14:val="none"/>
        </w:rPr>
        <w:t>Longitudinal summarization tools for clinical review teams</w:t>
      </w:r>
    </w:p>
    <w:p w14:paraId="7E275A73" w14:textId="77777777" w:rsidR="006E4F85" w:rsidRPr="006E4F85" w:rsidRDefault="00B042F7" w:rsidP="006E4F85">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E4F85">
        <w:rPr>
          <w:rFonts w:ascii="Times New Roman" w:eastAsia="Times New Roman" w:hAnsi="Times New Roman" w:cs="Times New Roman"/>
          <w:kern w:val="0"/>
          <w14:ligatures w14:val="none"/>
        </w:rPr>
        <w:t>Evidence-backed language model applications that combine NLP with generative AI</w:t>
      </w:r>
      <w:r w:rsidR="006E4F85" w:rsidRPr="006E4F85">
        <w:rPr>
          <w:rFonts w:ascii="Times New Roman" w:eastAsia="Times New Roman" w:hAnsi="Times New Roman" w:cs="Times New Roman"/>
          <w:kern w:val="0"/>
          <w14:ligatures w14:val="none"/>
        </w:rPr>
        <w:br/>
      </w:r>
    </w:p>
    <w:p w14:paraId="675803C1" w14:textId="0D0118F6" w:rsidR="00B042F7" w:rsidRPr="006E4F85" w:rsidRDefault="00B042F7" w:rsidP="006E4F85">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6E4F85">
        <w:rPr>
          <w:rFonts w:ascii="Times New Roman" w:eastAsia="Times New Roman" w:hAnsi="Times New Roman" w:cs="Times New Roman"/>
          <w:kern w:val="0"/>
          <w14:ligatures w14:val="none"/>
        </w:rPr>
        <w:t>As healthcare documentation continues to grow, organizations that can transform narrative records into</w:t>
      </w:r>
      <w:r w:rsidR="006E4F85" w:rsidRPr="006E4F85">
        <w:rPr>
          <w:rFonts w:ascii="Times New Roman" w:eastAsia="Times New Roman" w:hAnsi="Times New Roman" w:cs="Times New Roman"/>
          <w:kern w:val="0"/>
          <w14:ligatures w14:val="none"/>
        </w:rPr>
        <w:t xml:space="preserve"> </w:t>
      </w:r>
      <w:r w:rsidRPr="006E4F85">
        <w:rPr>
          <w:rFonts w:ascii="Times New Roman" w:eastAsia="Times New Roman" w:hAnsi="Times New Roman" w:cs="Times New Roman"/>
          <w:kern w:val="0"/>
          <w14:ligatures w14:val="none"/>
        </w:rPr>
        <w:t>actionable insights may gain a meaningful advantage in supporting treatment, payment, and operational workflows.</w:t>
      </w:r>
    </w:p>
    <w:p w14:paraId="532F597E" w14:textId="3B0196F0" w:rsidR="00255BC8" w:rsidRPr="00255BC8" w:rsidRDefault="00255BC8" w:rsidP="00255BC8">
      <w:pPr>
        <w:spacing w:before="100" w:beforeAutospacing="1" w:after="100" w:afterAutospacing="1" w:line="240" w:lineRule="auto"/>
        <w:jc w:val="center"/>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kern w:val="36"/>
          <w:sz w:val="28"/>
          <w:szCs w:val="28"/>
          <w14:ligatures w14:val="none"/>
        </w:rPr>
        <w:lastRenderedPageBreak/>
        <w:t>References</w:t>
      </w:r>
    </w:p>
    <w:p w14:paraId="5ADE5FB6" w14:textId="6AA8FB37" w:rsidR="00255BC8" w:rsidRPr="00255BC8" w:rsidRDefault="00255BC8" w:rsidP="00255BC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(APA 7th Edition)</w:t>
      </w:r>
    </w:p>
    <w:p w14:paraId="200AA07C" w14:textId="2427B35F" w:rsidR="00255BC8" w:rsidRPr="00255BC8" w:rsidRDefault="00255BC8" w:rsidP="00255BC8">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Devlin, J., Chang, M. W., Lee, K., &amp; Toutanova, K. (2019). BERT: Pre-training of deep bidirectional transformers for language understanding. </w:t>
      </w:r>
      <w:r>
        <w:rPr>
          <w:rFonts w:ascii="Times New Roman" w:eastAsia="Times New Roman" w:hAnsi="Times New Roman" w:cs="Times New Roman"/>
          <w:i/>
          <w:iCs/>
          <w:kern w:val="0"/>
          <w14:ligatures w14:val="none"/>
        </w:rPr>
        <w:t>Proceedings of NAACL-HLT 2019</w:t>
      </w:r>
      <w:r>
        <w:rPr>
          <w:rFonts w:ascii="Times New Roman" w:eastAsia="Times New Roman" w:hAnsi="Times New Roman" w:cs="Times New Roman"/>
          <w:kern w:val="0"/>
          <w14:ligatures w14:val="none"/>
        </w:rPr>
        <w:t>, 4171–4186.</w:t>
      </w:r>
      <w:r>
        <w:rPr>
          <w:rFonts w:ascii="Times New Roman" w:eastAsia="Times New Roman" w:hAnsi="Times New Roman" w:cs="Times New Roman"/>
          <w:kern w:val="0"/>
          <w14:ligatures w14:val="none"/>
        </w:rPr>
        <w:br/>
      </w:r>
    </w:p>
    <w:p w14:paraId="52BB86F1" w14:textId="2218F93D" w:rsidR="00255BC8" w:rsidRPr="00255BC8" w:rsidRDefault="00255BC8" w:rsidP="00255BC8">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Jiang, Y., Wang, X., Luo, Y., &amp; colleagues. (2023). Applications of large language models in healthcare. </w:t>
      </w:r>
      <w:r>
        <w:rPr>
          <w:rFonts w:ascii="Times New Roman" w:eastAsia="Times New Roman" w:hAnsi="Times New Roman" w:cs="Times New Roman"/>
          <w:i/>
          <w:iCs/>
          <w:kern w:val="0"/>
          <w14:ligatures w14:val="none"/>
        </w:rPr>
        <w:t>npj Digital Medicine, 6</w:t>
      </w:r>
      <w:r>
        <w:rPr>
          <w:rFonts w:ascii="Times New Roman" w:eastAsia="Times New Roman" w:hAnsi="Times New Roman" w:cs="Times New Roman"/>
          <w:kern w:val="0"/>
          <w14:ligatures w14:val="none"/>
        </w:rPr>
        <w:t>(1), 1–9.</w:t>
      </w:r>
      <w:r>
        <w:rPr>
          <w:rFonts w:ascii="Times New Roman" w:eastAsia="Times New Roman" w:hAnsi="Times New Roman" w:cs="Times New Roman"/>
          <w:kern w:val="0"/>
          <w14:ligatures w14:val="none"/>
        </w:rPr>
        <w:br/>
      </w:r>
    </w:p>
    <w:p w14:paraId="7F34B9D7" w14:textId="3F71D10D" w:rsidR="00255BC8" w:rsidRDefault="00255BC8" w:rsidP="00255BC8">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Lee, J., Yoon, W., Kim, S., Kim, D., Kim, S., So, C. H., &amp; Kang, J. (2020). BioBERT: A pre-trained biomedical language representation model for biomedical text mining. </w:t>
      </w:r>
      <w:r>
        <w:rPr>
          <w:rFonts w:ascii="Times New Roman" w:eastAsia="Times New Roman" w:hAnsi="Times New Roman" w:cs="Times New Roman"/>
          <w:i/>
          <w:iCs/>
          <w:kern w:val="0"/>
          <w14:ligatures w14:val="none"/>
        </w:rPr>
        <w:t>Bioinformatics, 36</w:t>
      </w:r>
      <w:r>
        <w:rPr>
          <w:rFonts w:ascii="Times New Roman" w:eastAsia="Times New Roman" w:hAnsi="Times New Roman" w:cs="Times New Roman"/>
          <w:kern w:val="0"/>
          <w14:ligatures w14:val="none"/>
        </w:rPr>
        <w:t>(4), 1234-1240.</w:t>
      </w:r>
    </w:p>
    <w:p w14:paraId="2DCAAB3D" w14:textId="77777777" w:rsidR="00255BC8" w:rsidRPr="00255BC8" w:rsidRDefault="00255BC8" w:rsidP="00255BC8">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4CA7BB2" w14:textId="26EB8EBC" w:rsidR="00255BC8" w:rsidRDefault="00255BC8" w:rsidP="00255BC8">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Rajkomar, A., Dean, J., &amp; Kohane, I. (2019). Machine learning in medicine. </w:t>
      </w:r>
      <w:r>
        <w:rPr>
          <w:rFonts w:ascii="Times New Roman" w:eastAsia="Times New Roman" w:hAnsi="Times New Roman" w:cs="Times New Roman"/>
          <w:i/>
          <w:iCs/>
          <w:kern w:val="0"/>
          <w14:ligatures w14:val="none"/>
        </w:rPr>
        <w:t>New England Journal of Medicine, 380</w:t>
      </w:r>
      <w:r>
        <w:rPr>
          <w:rFonts w:ascii="Times New Roman" w:eastAsia="Times New Roman" w:hAnsi="Times New Roman" w:cs="Times New Roman"/>
          <w:kern w:val="0"/>
          <w14:ligatures w14:val="none"/>
        </w:rPr>
        <w:t>(14), 1347–1358.</w:t>
      </w:r>
    </w:p>
    <w:p w14:paraId="419BB786" w14:textId="77777777" w:rsidR="00255BC8" w:rsidRPr="00255BC8" w:rsidRDefault="00255BC8" w:rsidP="00255BC8">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6F8289F" w14:textId="0DDC6EFE" w:rsidR="00255BC8" w:rsidRPr="00255BC8" w:rsidRDefault="00255BC8" w:rsidP="00255BC8">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Singhal, K., Azizi, S., Tu, T., Mahdavi, S. S., Wei, J., Chung, H. W., Scales, N., Tanwani, A., Cole-Lewis, H., Pfohl, S., Payne, P., Seneviratne, M., Gamble, P., Kelly, C., Scharli, N., Chowdhery, A., Mansfield, P., &amp; others. (2023). Large language models encode clinical knowledge. </w:t>
      </w:r>
      <w:r>
        <w:rPr>
          <w:rFonts w:ascii="Times New Roman" w:eastAsia="Times New Roman" w:hAnsi="Times New Roman" w:cs="Times New Roman"/>
          <w:i/>
          <w:iCs/>
          <w:kern w:val="0"/>
          <w14:ligatures w14:val="none"/>
        </w:rPr>
        <w:t>Nature, 620</w:t>
      </w:r>
      <w:r>
        <w:rPr>
          <w:rFonts w:ascii="Times New Roman" w:eastAsia="Times New Roman" w:hAnsi="Times New Roman" w:cs="Times New Roman"/>
          <w:kern w:val="0"/>
          <w14:ligatures w14:val="none"/>
        </w:rPr>
        <w:t>(7972), 172–180.</w:t>
      </w:r>
      <w:r>
        <w:rPr>
          <w:rFonts w:ascii="Times New Roman" w:eastAsia="Times New Roman" w:hAnsi="Times New Roman" w:cs="Times New Roman"/>
          <w:kern w:val="0"/>
          <w14:ligatures w14:val="none"/>
        </w:rPr>
        <w:br/>
      </w:r>
    </w:p>
    <w:p w14:paraId="793AFDC7" w14:textId="5C9ABB8C" w:rsidR="00255BC8" w:rsidRPr="00255BC8" w:rsidRDefault="00255BC8" w:rsidP="00255BC8">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Topol, E. J. (2019). High-performance medicine: The convergence of human and artificial intelligence. </w:t>
      </w:r>
      <w:r>
        <w:rPr>
          <w:rFonts w:ascii="Times New Roman" w:eastAsia="Times New Roman" w:hAnsi="Times New Roman" w:cs="Times New Roman"/>
          <w:i/>
          <w:iCs/>
          <w:kern w:val="0"/>
          <w14:ligatures w14:val="none"/>
        </w:rPr>
        <w:t>Nature Medicine, 25</w:t>
      </w:r>
      <w:r>
        <w:rPr>
          <w:rFonts w:ascii="Times New Roman" w:eastAsia="Times New Roman" w:hAnsi="Times New Roman" w:cs="Times New Roman"/>
          <w:kern w:val="0"/>
          <w14:ligatures w14:val="none"/>
        </w:rPr>
        <w:t>(1), 44–56.</w:t>
      </w:r>
      <w:r>
        <w:rPr>
          <w:rFonts w:ascii="Times New Roman" w:eastAsia="Times New Roman" w:hAnsi="Times New Roman" w:cs="Times New Roman"/>
          <w:kern w:val="0"/>
          <w14:ligatures w14:val="none"/>
        </w:rPr>
        <w:br/>
      </w:r>
    </w:p>
    <w:p w14:paraId="6726A6F6" w14:textId="29B903B8" w:rsidR="00255BC8" w:rsidRPr="00255BC8" w:rsidRDefault="00255BC8" w:rsidP="00255BC8">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Wornow, M., Xu, Y., Thapa, R., Patel, B., Steinberg, E., Fleming, S., &amp; Shah, N. H. (2023). The shaky foundation of large language models and foundation models for electronic health records. </w:t>
      </w:r>
      <w:r>
        <w:rPr>
          <w:rFonts w:ascii="Times New Roman" w:eastAsia="Times New Roman" w:hAnsi="Times New Roman" w:cs="Times New Roman"/>
          <w:i/>
          <w:iCs/>
          <w:kern w:val="0"/>
          <w14:ligatures w14:val="none"/>
        </w:rPr>
        <w:t>npj Digital Medicine, 6</w:t>
      </w:r>
      <w:r>
        <w:rPr>
          <w:rFonts w:ascii="Times New Roman" w:eastAsia="Times New Roman" w:hAnsi="Times New Roman" w:cs="Times New Roman"/>
          <w:kern w:val="0"/>
          <w14:ligatures w14:val="none"/>
        </w:rPr>
        <w:t>(1), 135.</w:t>
      </w:r>
    </w:p>
    <w:p w14:paraId="4B177D53" w14:textId="77777777" w:rsidR="001475CE" w:rsidRPr="00B042F7" w:rsidRDefault="001475CE">
      <w:pPr>
        <w:rPr>
          <w:rFonts w:ascii="Times New Roman" w:hAnsi="Times New Roman" w:cs="Times New Roman"/>
        </w:rPr>
      </w:pPr>
    </w:p>
    <w:sectPr w:rsidR="001475CE" w:rsidRPr="00B042F7" w:rsidSect="00B042F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A1651B" w14:textId="77777777" w:rsidR="00EB6276" w:rsidRDefault="00EB6276" w:rsidP="00B042F7">
      <w:pPr>
        <w:spacing w:after="0" w:line="240" w:lineRule="auto"/>
      </w:pPr>
      <w:r>
        <w:separator/>
      </w:r>
    </w:p>
  </w:endnote>
  <w:endnote w:type="continuationSeparator" w:id="0">
    <w:p w14:paraId="6D3CBF38" w14:textId="77777777" w:rsidR="00EB6276" w:rsidRDefault="00EB6276" w:rsidP="00B042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A8BACC" w14:textId="77777777" w:rsidR="00EB6276" w:rsidRDefault="00EB6276" w:rsidP="00B042F7">
      <w:pPr>
        <w:spacing w:after="0" w:line="240" w:lineRule="auto"/>
      </w:pPr>
      <w:r>
        <w:separator/>
      </w:r>
    </w:p>
  </w:footnote>
  <w:footnote w:type="continuationSeparator" w:id="0">
    <w:p w14:paraId="09C26631" w14:textId="77777777" w:rsidR="00EB6276" w:rsidRDefault="00EB6276" w:rsidP="00B042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F17247"/>
    <w:multiLevelType w:val="multilevel"/>
    <w:tmpl w:val="D8B8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A43542"/>
    <w:multiLevelType w:val="hybridMultilevel"/>
    <w:tmpl w:val="4704B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BE5EAC"/>
    <w:multiLevelType w:val="multilevel"/>
    <w:tmpl w:val="D43E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418804">
    <w:abstractNumId w:val="2"/>
  </w:num>
  <w:num w:numId="2" w16cid:durableId="1277177177">
    <w:abstractNumId w:val="0"/>
  </w:num>
  <w:num w:numId="3" w16cid:durableId="170304594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2F7"/>
    <w:rsid w:val="001475CE"/>
    <w:rsid w:val="00255BC8"/>
    <w:rsid w:val="002F56B1"/>
    <w:rsid w:val="0042206F"/>
    <w:rsid w:val="006E4F85"/>
    <w:rsid w:val="00A64191"/>
    <w:rsid w:val="00B042F7"/>
    <w:rsid w:val="00E60075"/>
    <w:rsid w:val="00EB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169B6"/>
  <w15:chartTrackingRefBased/>
  <w15:docId w15:val="{80AFA5AA-77E4-EB49-8867-68D6FB61D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2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42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42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2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2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2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42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42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2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2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2F7"/>
    <w:rPr>
      <w:rFonts w:eastAsiaTheme="majorEastAsia" w:cstheme="majorBidi"/>
      <w:color w:val="272727" w:themeColor="text1" w:themeTint="D8"/>
    </w:rPr>
  </w:style>
  <w:style w:type="paragraph" w:styleId="Title">
    <w:name w:val="Title"/>
    <w:basedOn w:val="Normal"/>
    <w:next w:val="Normal"/>
    <w:link w:val="TitleChar"/>
    <w:uiPriority w:val="10"/>
    <w:qFormat/>
    <w:rsid w:val="00B04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2F7"/>
    <w:pPr>
      <w:spacing w:before="160"/>
      <w:jc w:val="center"/>
    </w:pPr>
    <w:rPr>
      <w:i/>
      <w:iCs/>
      <w:color w:val="404040" w:themeColor="text1" w:themeTint="BF"/>
    </w:rPr>
  </w:style>
  <w:style w:type="character" w:customStyle="1" w:styleId="QuoteChar">
    <w:name w:val="Quote Char"/>
    <w:basedOn w:val="DefaultParagraphFont"/>
    <w:link w:val="Quote"/>
    <w:uiPriority w:val="29"/>
    <w:rsid w:val="00B042F7"/>
    <w:rPr>
      <w:i/>
      <w:iCs/>
      <w:color w:val="404040" w:themeColor="text1" w:themeTint="BF"/>
    </w:rPr>
  </w:style>
  <w:style w:type="paragraph" w:styleId="ListParagraph">
    <w:name w:val="List Paragraph"/>
    <w:basedOn w:val="Normal"/>
    <w:uiPriority w:val="34"/>
    <w:qFormat/>
    <w:rsid w:val="00B042F7"/>
    <w:pPr>
      <w:ind w:left="720"/>
      <w:contextualSpacing/>
    </w:pPr>
  </w:style>
  <w:style w:type="character" w:styleId="IntenseEmphasis">
    <w:name w:val="Intense Emphasis"/>
    <w:basedOn w:val="DefaultParagraphFont"/>
    <w:uiPriority w:val="21"/>
    <w:qFormat/>
    <w:rsid w:val="00B042F7"/>
    <w:rPr>
      <w:i/>
      <w:iCs/>
      <w:color w:val="0F4761" w:themeColor="accent1" w:themeShade="BF"/>
    </w:rPr>
  </w:style>
  <w:style w:type="paragraph" w:styleId="IntenseQuote">
    <w:name w:val="Intense Quote"/>
    <w:basedOn w:val="Normal"/>
    <w:next w:val="Normal"/>
    <w:link w:val="IntenseQuoteChar"/>
    <w:uiPriority w:val="30"/>
    <w:qFormat/>
    <w:rsid w:val="00B04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2F7"/>
    <w:rPr>
      <w:i/>
      <w:iCs/>
      <w:color w:val="0F4761" w:themeColor="accent1" w:themeShade="BF"/>
    </w:rPr>
  </w:style>
  <w:style w:type="character" w:styleId="IntenseReference">
    <w:name w:val="Intense Reference"/>
    <w:basedOn w:val="DefaultParagraphFont"/>
    <w:uiPriority w:val="32"/>
    <w:qFormat/>
    <w:rsid w:val="00B042F7"/>
    <w:rPr>
      <w:b/>
      <w:bCs/>
      <w:smallCaps/>
      <w:color w:val="0F4761" w:themeColor="accent1" w:themeShade="BF"/>
      <w:spacing w:val="5"/>
    </w:rPr>
  </w:style>
  <w:style w:type="paragraph" w:styleId="NormalWeb">
    <w:name w:val="Normal (Web)"/>
    <w:basedOn w:val="Normal"/>
    <w:uiPriority w:val="99"/>
    <w:semiHidden/>
    <w:unhideWhenUsed/>
    <w:rsid w:val="00B042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042F7"/>
    <w:rPr>
      <w:b/>
      <w:bCs/>
    </w:rPr>
  </w:style>
  <w:style w:type="paragraph" w:styleId="Header">
    <w:name w:val="header"/>
    <w:basedOn w:val="Normal"/>
    <w:link w:val="HeaderChar"/>
    <w:uiPriority w:val="99"/>
    <w:unhideWhenUsed/>
    <w:rsid w:val="00B042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42F7"/>
  </w:style>
  <w:style w:type="paragraph" w:styleId="Footer">
    <w:name w:val="footer"/>
    <w:basedOn w:val="Normal"/>
    <w:link w:val="FooterChar"/>
    <w:uiPriority w:val="99"/>
    <w:unhideWhenUsed/>
    <w:rsid w:val="00B042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42F7"/>
  </w:style>
  <w:style w:type="character" w:styleId="Emphasis">
    <w:name w:val="Emphasis"/>
    <w:basedOn w:val="DefaultParagraphFont"/>
    <w:uiPriority w:val="20"/>
    <w:qFormat/>
    <w:rsid w:val="00255B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1077</Words>
  <Characters>6141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Sanjyot Amritkar</dc:creator>
  <cp:keywords/>
  <dc:description/>
  <cp:lastModifiedBy>Sanjyot Amritkar</cp:lastModifiedBy>
  <cp:revision>2</cp:revision>
  <dcterms:created xsi:type="dcterms:W3CDTF">2026-06-29T20:29:00Z</dcterms:created>
  <dcterms:modified xsi:type="dcterms:W3CDTF">2026-06-30T01:43:00Z</dcterms:modified>
</cp:coreProperties>
</file>