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OutcomeX</w:t>
      </w:r>
    </w:p>
    <w:p>
      <w:pPr>
        <w:jc w:val="center"/>
      </w:pPr>
      <w:r>
        <w:rPr>
          <w:b/>
          <w:color w:val="2F5597"/>
          <w:sz w:val="38"/>
        </w:rPr>
        <w:t>Product Requirements Document</w:t>
      </w:r>
    </w:p>
    <w:p>
      <w:pPr>
        <w:jc w:val="center"/>
      </w:pPr>
      <w:r>
        <w:rPr>
          <w:sz w:val="28"/>
        </w:rPr>
        <w:t>Performance-Paid AI Marketing Agent</w:t>
        <w:br/>
        <w:t>Settled in USDC on Arc</w:t>
      </w:r>
    </w:p>
    <w:p>
      <w:pPr>
        <w:jc w:val="center"/>
      </w:pPr>
      <w:r>
        <w:rPr>
          <w:i/>
          <w:sz w:val="22"/>
        </w:rPr>
        <w:t>Hackathon MVP Specification | Version 1.0</w:t>
      </w:r>
    </w:p>
    <w:p/>
    <w:p/>
    <w:tbl>
      <w:tblPr>
        <w:tblStyle w:val="TableGrid"/>
        <w:tblW w:type="auto" w:w="0"/>
        <w:jc w:val="center"/>
        <w:tblLook w:firstColumn="1" w:firstRow="1" w:lastColumn="0" w:lastRow="0" w:noHBand="0" w:noVBand="1" w:val="04A0"/>
      </w:tblPr>
      <w:tblGrid>
        <w:gridCol w:w="5083"/>
        <w:gridCol w:w="5083"/>
      </w:tblGrid>
      <w:tr>
        <w:tc>
          <w:tcPr>
            <w:tcW w:type="dxa" w:w="3024"/>
            <w:shd w:fill="1F4E79"/>
            <w:vAlign w:val="center"/>
          </w:tcPr>
          <w:p>
            <w:r/>
            <w:r>
              <w:rPr>
                <w:b/>
                <w:color w:val="FFFFFF"/>
                <w:sz w:val="18"/>
              </w:rPr>
              <w:t>Field</w:t>
            </w:r>
          </w:p>
        </w:tc>
        <w:tc>
          <w:tcPr>
            <w:tcW w:type="dxa" w:w="7056"/>
            <w:shd w:fill="1F4E79"/>
            <w:vAlign w:val="center"/>
          </w:tcPr>
          <w:p>
            <w:r/>
            <w:r>
              <w:rPr>
                <w:b/>
                <w:color w:val="FFFFFF"/>
                <w:sz w:val="18"/>
              </w:rPr>
              <w:t>Value</w:t>
            </w:r>
          </w:p>
        </w:tc>
      </w:tr>
      <w:tr>
        <w:tc>
          <w:tcPr>
            <w:tcW w:type="dxa" w:w="3024"/>
            <w:vAlign w:val="center"/>
            <w:shd w:fill="EAF2F8"/>
          </w:tcPr>
          <w:p>
            <w:r/>
            <w:r>
              <w:rPr>
                <w:b w:val="0"/>
                <w:sz w:val="18"/>
              </w:rPr>
              <w:t>Working Product Name</w:t>
            </w:r>
          </w:p>
        </w:tc>
        <w:tc>
          <w:tcPr>
            <w:tcW w:type="dxa" w:w="7056"/>
            <w:vAlign w:val="center"/>
          </w:tcPr>
          <w:p>
            <w:r/>
            <w:r>
              <w:rPr>
                <w:b w:val="0"/>
                <w:sz w:val="18"/>
              </w:rPr>
              <w:t>OutcomeX</w:t>
            </w:r>
          </w:p>
        </w:tc>
      </w:tr>
      <w:tr>
        <w:tc>
          <w:tcPr>
            <w:tcW w:type="dxa" w:w="3024"/>
            <w:vAlign w:val="center"/>
            <w:shd w:fill="EAF2F8"/>
          </w:tcPr>
          <w:p>
            <w:r/>
            <w:r>
              <w:rPr>
                <w:b w:val="0"/>
                <w:sz w:val="18"/>
              </w:rPr>
              <w:t>Document Type</w:t>
            </w:r>
          </w:p>
        </w:tc>
        <w:tc>
          <w:tcPr>
            <w:tcW w:type="dxa" w:w="7056"/>
            <w:vAlign w:val="center"/>
          </w:tcPr>
          <w:p>
            <w:r/>
            <w:r>
              <w:rPr>
                <w:b w:val="0"/>
                <w:sz w:val="18"/>
              </w:rPr>
              <w:t>Product Requirements Document</w:t>
            </w:r>
          </w:p>
        </w:tc>
      </w:tr>
      <w:tr>
        <w:tc>
          <w:tcPr>
            <w:tcW w:type="dxa" w:w="3024"/>
            <w:vAlign w:val="center"/>
            <w:shd w:fill="EAF2F8"/>
          </w:tcPr>
          <w:p>
            <w:r/>
            <w:r>
              <w:rPr>
                <w:b w:val="0"/>
                <w:sz w:val="18"/>
              </w:rPr>
              <w:t>Primary Theme</w:t>
            </w:r>
          </w:p>
        </w:tc>
        <w:tc>
          <w:tcPr>
            <w:tcW w:type="dxa" w:w="7056"/>
            <w:vAlign w:val="center"/>
          </w:tcPr>
          <w:p>
            <w:r/>
            <w:r>
              <w:rPr>
                <w:b w:val="0"/>
                <w:sz w:val="18"/>
              </w:rPr>
              <w:t>Outcome-based AI marketing execution with on-chain success-fee settlement</w:t>
            </w:r>
          </w:p>
        </w:tc>
      </w:tr>
      <w:tr>
        <w:tc>
          <w:tcPr>
            <w:tcW w:type="dxa" w:w="3024"/>
            <w:vAlign w:val="center"/>
            <w:shd w:fill="EAF2F8"/>
          </w:tcPr>
          <w:p>
            <w:r/>
            <w:r>
              <w:rPr>
                <w:b w:val="0"/>
                <w:sz w:val="18"/>
              </w:rPr>
              <w:t>Core User</w:t>
            </w:r>
          </w:p>
        </w:tc>
        <w:tc>
          <w:tcPr>
            <w:tcW w:type="dxa" w:w="7056"/>
            <w:vAlign w:val="center"/>
          </w:tcPr>
          <w:p>
            <w:r/>
            <w:r>
              <w:rPr>
                <w:b w:val="0"/>
                <w:sz w:val="18"/>
              </w:rPr>
              <w:t>Ecommerce merchant / startup founder running paid marketing</w:t>
            </w:r>
          </w:p>
        </w:tc>
      </w:tr>
      <w:tr>
        <w:tc>
          <w:tcPr>
            <w:tcW w:type="dxa" w:w="3024"/>
            <w:vAlign w:val="center"/>
            <w:shd w:fill="EAF2F8"/>
          </w:tcPr>
          <w:p>
            <w:r/>
            <w:r>
              <w:rPr>
                <w:b w:val="0"/>
                <w:sz w:val="18"/>
              </w:rPr>
              <w:t>Hackathon Goal</w:t>
            </w:r>
          </w:p>
        </w:tc>
        <w:tc>
          <w:tcPr>
            <w:tcW w:type="dxa" w:w="7056"/>
            <w:vAlign w:val="center"/>
          </w:tcPr>
          <w:p>
            <w:r/>
            <w:r>
              <w:rPr>
                <w:b w:val="0"/>
                <w:sz w:val="18"/>
              </w:rPr>
              <w:t>Demonstrate an autonomous economic agent that prices, executes, and settles marketing outcome contracts</w:t>
            </w:r>
          </w:p>
        </w:tc>
      </w:tr>
    </w:tbl>
    <w:p/>
    <w:p>
      <w:pPr>
        <w:spacing w:after="80" w:line="252" w:lineRule="auto"/>
      </w:pPr>
      <w:r>
        <w:t>Core thesis: Ecommerce brands should not pay AI agents for advice alone. They should pay only when an AI agent executes a marketing strategy and achieves a pre-agreed measurable business target.</w:t>
      </w:r>
    </w:p>
    <w:p>
      <w:r>
        <w:br w:type="page"/>
      </w:r>
    </w:p>
    <w:p>
      <w:pPr>
        <w:pStyle w:val="Heading1"/>
        <w:spacing w:after="80" w:line="252" w:lineRule="auto"/>
      </w:pPr>
      <w:r>
        <w:t>1. Product Summary</w:t>
      </w:r>
    </w:p>
    <w:p>
      <w:pPr>
        <w:pStyle w:val="Heading2"/>
        <w:spacing w:after="80" w:line="252" w:lineRule="auto"/>
      </w:pPr>
      <w:r>
        <w:t>1.1 One-line pitch</w:t>
      </w:r>
    </w:p>
    <w:p>
      <w:pPr>
        <w:spacing w:after="80" w:line="252" w:lineRule="auto"/>
      </w:pPr>
      <w:r>
        <w:t>OutcomeX is a performance-paid AI marketing agent: merchants escrow a USDC success fee on Arc, the agent evaluates whether it can hit the requested marketing target, proposes or negotiates terms, executes the approved Meta Ads strategy, and only receives payment if the agreed outcome is achieved.</w:t>
      </w:r>
    </w:p>
    <w:p>
      <w:pPr>
        <w:pStyle w:val="Heading2"/>
        <w:spacing w:after="80" w:line="252" w:lineRule="auto"/>
      </w:pPr>
      <w:r>
        <w:t>1.2 Core user story</w:t>
      </w:r>
    </w:p>
    <w:p>
      <w:pPr>
        <w:spacing w:after="80" w:line="252" w:lineRule="auto"/>
      </w:pPr>
      <w:r>
        <w:t>A merchant says: “I will pay 100 USDC if you can help this product campaign reach ROAS &gt;= 2.0 within 7 days, with at least $500 in ad spend.”</w:t>
      </w:r>
    </w:p>
    <w:p>
      <w:pPr>
        <w:pStyle w:val="ListNumber"/>
        <w:spacing w:after="20"/>
      </w:pPr>
      <w:r>
        <w:t>OutcomeX analyzes the merchant’s ad account, product context, and requested target.</w:t>
      </w:r>
    </w:p>
    <w:p>
      <w:pPr>
        <w:pStyle w:val="ListNumber"/>
        <w:spacing w:after="20"/>
      </w:pPr>
      <w:r>
        <w:t>An ML underwriting model estimates the probability of success and contract risk.</w:t>
      </w:r>
    </w:p>
    <w:p>
      <w:pPr>
        <w:pStyle w:val="ListNumber"/>
        <w:spacing w:after="20"/>
      </w:pPr>
      <w:r>
        <w:t>The agent accepts, rejects, or counteroffers with revised targets, fees, or time windows.</w:t>
      </w:r>
    </w:p>
    <w:p>
      <w:pPr>
        <w:pStyle w:val="ListNumber"/>
        <w:spacing w:after="20"/>
      </w:pPr>
      <w:r>
        <w:t>Once the merchant approves, a USDC success fee is locked in escrow on Arc.</w:t>
      </w:r>
    </w:p>
    <w:p>
      <w:pPr>
        <w:pStyle w:val="ListNumber"/>
        <w:spacing w:after="20"/>
      </w:pPr>
      <w:r>
        <w:t>The agent implements the approved strategy through Meta Ads MCP or an ads execution adapter.</w:t>
      </w:r>
    </w:p>
    <w:p>
      <w:pPr>
        <w:pStyle w:val="ListNumber"/>
        <w:spacing w:after="20"/>
      </w:pPr>
      <w:r>
        <w:t>The system monitors campaign performance and target-achievement probability.</w:t>
      </w:r>
    </w:p>
    <w:p>
      <w:pPr>
        <w:pStyle w:val="ListNumber"/>
        <w:spacing w:after="20"/>
      </w:pPr>
      <w:r>
        <w:t>If the agreed result is achieved, USDC is released to the agent; otherwise it is refunded to the merchant.</w:t>
      </w:r>
    </w:p>
    <w:p>
      <w:pPr>
        <w:pStyle w:val="Heading1"/>
        <w:spacing w:after="80" w:line="252" w:lineRule="auto"/>
      </w:pPr>
      <w:r>
        <w:t>2. Problem Statement</w:t>
      </w:r>
    </w:p>
    <w:p>
      <w:pPr>
        <w:pStyle w:val="Heading2"/>
        <w:spacing w:after="80" w:line="252" w:lineRule="auto"/>
      </w:pPr>
      <w:r>
        <w:t>2.1 Merchant pain</w:t>
      </w:r>
    </w:p>
    <w:p>
      <w:pPr>
        <w:spacing w:after="80" w:line="252" w:lineRule="auto"/>
      </w:pPr>
      <w:r>
        <w:t>Ecommerce merchants face a trust and incentive problem with AI marketing tools:</w:t>
      </w:r>
    </w:p>
    <w:p>
      <w:pPr>
        <w:pStyle w:val="ListBullet"/>
        <w:spacing w:after="20"/>
      </w:pPr>
      <w:r>
        <w:t>They pay for subscriptions, dashboards, and recommendations even when those recommendations do not create value.</w:t>
      </w:r>
    </w:p>
    <w:p>
      <w:pPr>
        <w:pStyle w:val="ListBullet"/>
        <w:spacing w:after="20"/>
      </w:pPr>
      <w:r>
        <w:t>Smaller brands often lack the data, expertise, and benchmarks needed to judge whether a target is realistic.</w:t>
      </w:r>
    </w:p>
    <w:p>
      <w:pPr>
        <w:pStyle w:val="ListBullet"/>
        <w:spacing w:after="20"/>
      </w:pPr>
      <w:r>
        <w:t>Software vendors get paid regardless of whether the campaign succeeds.</w:t>
      </w:r>
    </w:p>
    <w:p>
      <w:pPr>
        <w:pStyle w:val="Heading2"/>
        <w:spacing w:after="80" w:line="252" w:lineRule="auto"/>
      </w:pPr>
      <w:r>
        <w:t>2.2 Core market gap</w:t>
      </w:r>
    </w:p>
    <w:p>
      <w:pPr>
        <w:spacing w:after="80" w:line="252" w:lineRule="auto"/>
      </w:pPr>
      <w:r>
        <w:t>There is no widely adopted mechanism for an AI marketing agent to underwrite a measurable marketing outcome, execute against it, and receive programmable compensation only after success is verified.</w:t>
      </w:r>
    </w:p>
    <w:p>
      <w:pPr>
        <w:pStyle w:val="Heading1"/>
        <w:spacing w:after="80" w:line="252" w:lineRule="auto"/>
      </w:pPr>
      <w:r>
        <w:t>3. Product Vision</w:t>
      </w:r>
    </w:p>
    <w:p>
      <w:pPr>
        <w:spacing w:after="80" w:line="252" w:lineRule="auto"/>
      </w:pPr>
      <w:r>
        <w:t>OutcomeX creates a new economic model: AI agents are paid for measurable marketing outcomes, not for access or advice.</w:t>
      </w:r>
    </w:p>
    <w:tbl>
      <w:tblPr>
        <w:tblStyle w:val="TableGrid"/>
        <w:tblW w:type="auto" w:w="0"/>
        <w:jc w:val="center"/>
        <w:tblLook w:firstColumn="1" w:firstRow="1" w:lastColumn="0" w:lastRow="0" w:noHBand="0" w:noVBand="1" w:val="04A0"/>
      </w:tblPr>
      <w:tblGrid>
        <w:gridCol w:w="5083"/>
        <w:gridCol w:w="5083"/>
      </w:tblGrid>
      <w:tr>
        <w:tc>
          <w:tcPr>
            <w:tcW w:type="dxa" w:w="3744"/>
            <w:shd w:fill="1F4E79"/>
            <w:vAlign w:val="center"/>
          </w:tcPr>
          <w:p>
            <w:r/>
            <w:r>
              <w:rPr>
                <w:b/>
                <w:color w:val="FFFFFF"/>
                <w:sz w:val="18"/>
              </w:rPr>
              <w:t>Old model</w:t>
            </w:r>
          </w:p>
        </w:tc>
        <w:tc>
          <w:tcPr>
            <w:tcW w:type="dxa" w:w="6336"/>
            <w:shd w:fill="1F4E79"/>
            <w:vAlign w:val="center"/>
          </w:tcPr>
          <w:p>
            <w:r/>
            <w:r>
              <w:rPr>
                <w:b/>
                <w:color w:val="FFFFFF"/>
                <w:sz w:val="18"/>
              </w:rPr>
              <w:t>OutcomeX model</w:t>
            </w:r>
          </w:p>
        </w:tc>
      </w:tr>
      <w:tr>
        <w:tc>
          <w:tcPr>
            <w:tcW w:type="dxa" w:w="3744"/>
            <w:vAlign w:val="center"/>
            <w:shd w:fill="EAF2F8"/>
          </w:tcPr>
          <w:p>
            <w:r/>
            <w:r>
              <w:rPr>
                <w:b w:val="0"/>
                <w:sz w:val="18"/>
              </w:rPr>
              <w:t>SaaS subscription</w:t>
            </w:r>
          </w:p>
        </w:tc>
        <w:tc>
          <w:tcPr>
            <w:tcW w:type="dxa" w:w="6336"/>
            <w:vAlign w:val="center"/>
          </w:tcPr>
          <w:p>
            <w:r/>
            <w:r>
              <w:rPr>
                <w:b w:val="0"/>
                <w:sz w:val="18"/>
              </w:rPr>
              <w:t>Success-fee escrow</w:t>
            </w:r>
          </w:p>
        </w:tc>
      </w:tr>
      <w:tr>
        <w:tc>
          <w:tcPr>
            <w:tcW w:type="dxa" w:w="3744"/>
            <w:vAlign w:val="center"/>
            <w:shd w:fill="EAF2F8"/>
          </w:tcPr>
          <w:p>
            <w:r/>
            <w:r>
              <w:rPr>
                <w:b w:val="0"/>
                <w:sz w:val="18"/>
              </w:rPr>
              <w:t>Pay for recommendations</w:t>
            </w:r>
          </w:p>
        </w:tc>
        <w:tc>
          <w:tcPr>
            <w:tcW w:type="dxa" w:w="6336"/>
            <w:vAlign w:val="center"/>
          </w:tcPr>
          <w:p>
            <w:r/>
            <w:r>
              <w:rPr>
                <w:b w:val="0"/>
                <w:sz w:val="18"/>
              </w:rPr>
              <w:t>Pay for achieved target</w:t>
            </w:r>
          </w:p>
        </w:tc>
      </w:tr>
      <w:tr>
        <w:tc>
          <w:tcPr>
            <w:tcW w:type="dxa" w:w="3744"/>
            <w:vAlign w:val="center"/>
            <w:shd w:fill="EAF2F8"/>
          </w:tcPr>
          <w:p>
            <w:r/>
            <w:r>
              <w:rPr>
                <w:b w:val="0"/>
                <w:sz w:val="18"/>
              </w:rPr>
              <w:t>User bears all risk</w:t>
            </w:r>
          </w:p>
        </w:tc>
        <w:tc>
          <w:tcPr>
            <w:tcW w:type="dxa" w:w="6336"/>
            <w:vAlign w:val="center"/>
          </w:tcPr>
          <w:p>
            <w:r/>
            <w:r>
              <w:rPr>
                <w:b w:val="0"/>
                <w:sz w:val="18"/>
              </w:rPr>
              <w:t>Agent shares outcome risk</w:t>
            </w:r>
          </w:p>
        </w:tc>
      </w:tr>
      <w:tr>
        <w:tc>
          <w:tcPr>
            <w:tcW w:type="dxa" w:w="3744"/>
            <w:vAlign w:val="center"/>
            <w:shd w:fill="EAF2F8"/>
          </w:tcPr>
          <w:p>
            <w:r/>
            <w:r>
              <w:rPr>
                <w:b w:val="0"/>
                <w:sz w:val="18"/>
              </w:rPr>
              <w:t>Generic AI suggestions</w:t>
            </w:r>
          </w:p>
        </w:tc>
        <w:tc>
          <w:tcPr>
            <w:tcW w:type="dxa" w:w="6336"/>
            <w:vAlign w:val="center"/>
          </w:tcPr>
          <w:p>
            <w:r/>
            <w:r>
              <w:rPr>
                <w:b w:val="0"/>
                <w:sz w:val="18"/>
              </w:rPr>
              <w:t>Contract-aware agent decision-making</w:t>
            </w:r>
          </w:p>
        </w:tc>
      </w:tr>
      <w:tr>
        <w:tc>
          <w:tcPr>
            <w:tcW w:type="dxa" w:w="3744"/>
            <w:vAlign w:val="center"/>
            <w:shd w:fill="EAF2F8"/>
          </w:tcPr>
          <w:p>
            <w:r/>
            <w:r>
              <w:rPr>
                <w:b w:val="0"/>
                <w:sz w:val="18"/>
              </w:rPr>
              <w:t>Static pricing</w:t>
            </w:r>
          </w:p>
        </w:tc>
        <w:tc>
          <w:tcPr>
            <w:tcW w:type="dxa" w:w="6336"/>
            <w:vAlign w:val="center"/>
          </w:tcPr>
          <w:p>
            <w:r/>
            <w:r>
              <w:rPr>
                <w:b w:val="0"/>
                <w:sz w:val="18"/>
              </w:rPr>
              <w:t>Risk-adjusted agent pricing</w:t>
            </w:r>
          </w:p>
        </w:tc>
      </w:tr>
    </w:tbl>
    <w:p/>
    <w:p>
      <w:pPr>
        <w:pStyle w:val="Heading1"/>
        <w:spacing w:after="80" w:line="252" w:lineRule="auto"/>
      </w:pPr>
      <w:r>
        <w:t>4. Why This Fits the Hackathon</w:t>
      </w:r>
    </w:p>
    <w:p>
      <w:pPr>
        <w:pStyle w:val="Heading2"/>
        <w:spacing w:after="80" w:line="252" w:lineRule="auto"/>
      </w:pPr>
      <w:r>
        <w:t>4.1 AI agent is economically autonomous</w:t>
      </w:r>
    </w:p>
    <w:p>
      <w:pPr>
        <w:spacing w:after="80" w:line="252" w:lineRule="auto"/>
      </w:pPr>
      <w:r>
        <w:t>The agent does not merely generate text. It:</w:t>
      </w:r>
    </w:p>
    <w:p>
      <w:pPr>
        <w:pStyle w:val="ListNumber"/>
        <w:spacing w:after="20"/>
      </w:pPr>
      <w:r>
        <w:t>Evaluates a performance contract.</w:t>
      </w:r>
    </w:p>
    <w:p>
      <w:pPr>
        <w:pStyle w:val="ListNumber"/>
        <w:spacing w:after="20"/>
      </w:pPr>
      <w:r>
        <w:t>Estimates success probability and risk.</w:t>
      </w:r>
    </w:p>
    <w:p>
      <w:pPr>
        <w:pStyle w:val="ListNumber"/>
        <w:spacing w:after="20"/>
      </w:pPr>
      <w:r>
        <w:t>Decides whether to accept, reject, or counteroffer.</w:t>
      </w:r>
    </w:p>
    <w:p>
      <w:pPr>
        <w:pStyle w:val="ListNumber"/>
        <w:spacing w:after="20"/>
      </w:pPr>
      <w:r>
        <w:t>Proposes a marketing strategy.</w:t>
      </w:r>
    </w:p>
    <w:p>
      <w:pPr>
        <w:pStyle w:val="ListNumber"/>
        <w:spacing w:after="20"/>
      </w:pPr>
      <w:r>
        <w:t>Executes approved actions.</w:t>
      </w:r>
    </w:p>
    <w:p>
      <w:pPr>
        <w:pStyle w:val="ListNumber"/>
        <w:spacing w:after="20"/>
      </w:pPr>
      <w:r>
        <w:t>Monitors progress toward the outcome.</w:t>
      </w:r>
    </w:p>
    <w:p>
      <w:pPr>
        <w:pStyle w:val="ListNumber"/>
        <w:spacing w:after="20"/>
      </w:pPr>
      <w:r>
        <w:t>Gets paid only if the outcome is achieved.</w:t>
      </w:r>
    </w:p>
    <w:p>
      <w:pPr>
        <w:pStyle w:val="Heading2"/>
        <w:spacing w:after="80" w:line="252" w:lineRule="auto"/>
      </w:pPr>
      <w:r>
        <w:t>4.2 Arc + USDC are essential</w:t>
      </w:r>
    </w:p>
    <w:tbl>
      <w:tblPr>
        <w:tblStyle w:val="TableGrid"/>
        <w:tblW w:type="auto" w:w="0"/>
        <w:jc w:val="center"/>
        <w:tblLook w:firstColumn="1" w:firstRow="1" w:lastColumn="0" w:lastRow="0" w:noHBand="0" w:noVBand="1" w:val="04A0"/>
      </w:tblPr>
      <w:tblGrid>
        <w:gridCol w:w="5083"/>
        <w:gridCol w:w="5083"/>
      </w:tblGrid>
      <w:tr>
        <w:tc>
          <w:tcPr>
            <w:tcW w:type="dxa" w:w="2448"/>
            <w:shd w:fill="1F4E79"/>
            <w:vAlign w:val="center"/>
          </w:tcPr>
          <w:p>
            <w:r/>
            <w:r>
              <w:rPr>
                <w:b/>
                <w:color w:val="FFFFFF"/>
                <w:sz w:val="18"/>
              </w:rPr>
              <w:t>Component</w:t>
            </w:r>
          </w:p>
        </w:tc>
        <w:tc>
          <w:tcPr>
            <w:tcW w:type="dxa" w:w="7632"/>
            <w:shd w:fill="1F4E79"/>
            <w:vAlign w:val="center"/>
          </w:tcPr>
          <w:p>
            <w:r/>
            <w:r>
              <w:rPr>
                <w:b/>
                <w:color w:val="FFFFFF"/>
                <w:sz w:val="18"/>
              </w:rPr>
              <w:t>Role in OutcomeX</w:t>
            </w:r>
          </w:p>
        </w:tc>
      </w:tr>
      <w:tr>
        <w:tc>
          <w:tcPr>
            <w:tcW w:type="dxa" w:w="2448"/>
            <w:vAlign w:val="center"/>
            <w:shd w:fill="EAF2F8"/>
          </w:tcPr>
          <w:p>
            <w:r/>
            <w:r>
              <w:rPr>
                <w:b w:val="0"/>
                <w:sz w:val="18"/>
              </w:rPr>
              <w:t>USDC</w:t>
            </w:r>
          </w:p>
        </w:tc>
        <w:tc>
          <w:tcPr>
            <w:tcW w:type="dxa" w:w="7632"/>
            <w:vAlign w:val="center"/>
          </w:tcPr>
          <w:p>
            <w:r/>
            <w:r>
              <w:rPr>
                <w:b w:val="0"/>
                <w:sz w:val="18"/>
              </w:rPr>
              <w:t>Escrowed success fee and settlement asset</w:t>
            </w:r>
          </w:p>
        </w:tc>
      </w:tr>
      <w:tr>
        <w:tc>
          <w:tcPr>
            <w:tcW w:type="dxa" w:w="2448"/>
            <w:vAlign w:val="center"/>
            <w:shd w:fill="EAF2F8"/>
          </w:tcPr>
          <w:p>
            <w:r/>
            <w:r>
              <w:rPr>
                <w:b w:val="0"/>
                <w:sz w:val="18"/>
              </w:rPr>
              <w:t>Arc</w:t>
            </w:r>
          </w:p>
        </w:tc>
        <w:tc>
          <w:tcPr>
            <w:tcW w:type="dxa" w:w="7632"/>
            <w:vAlign w:val="center"/>
          </w:tcPr>
          <w:p>
            <w:r/>
            <w:r>
              <w:rPr>
                <w:b w:val="0"/>
                <w:sz w:val="18"/>
              </w:rPr>
              <w:t>On-chain settlement environment for conditional payout/refund</w:t>
            </w:r>
          </w:p>
        </w:tc>
      </w:tr>
      <w:tr>
        <w:tc>
          <w:tcPr>
            <w:tcW w:type="dxa" w:w="2448"/>
            <w:vAlign w:val="center"/>
            <w:shd w:fill="EAF2F8"/>
          </w:tcPr>
          <w:p>
            <w:r/>
            <w:r>
              <w:rPr>
                <w:b w:val="0"/>
                <w:sz w:val="18"/>
              </w:rPr>
              <w:t>Smart contract</w:t>
            </w:r>
          </w:p>
        </w:tc>
        <w:tc>
          <w:tcPr>
            <w:tcW w:type="dxa" w:w="7632"/>
            <w:vAlign w:val="center"/>
          </w:tcPr>
          <w:p>
            <w:r/>
            <w:r>
              <w:rPr>
                <w:b w:val="0"/>
                <w:sz w:val="18"/>
              </w:rPr>
              <w:t>Stores contract terms, escrow status, and settlement action</w:t>
            </w:r>
          </w:p>
        </w:tc>
      </w:tr>
      <w:tr>
        <w:tc>
          <w:tcPr>
            <w:tcW w:type="dxa" w:w="2448"/>
            <w:vAlign w:val="center"/>
            <w:shd w:fill="EAF2F8"/>
          </w:tcPr>
          <w:p>
            <w:r/>
            <w:r>
              <w:rPr>
                <w:b w:val="0"/>
                <w:sz w:val="18"/>
              </w:rPr>
              <w:t>Transaction record</w:t>
            </w:r>
          </w:p>
        </w:tc>
        <w:tc>
          <w:tcPr>
            <w:tcW w:type="dxa" w:w="7632"/>
            <w:vAlign w:val="center"/>
          </w:tcPr>
          <w:p>
            <w:r/>
            <w:r>
              <w:rPr>
                <w:b w:val="0"/>
                <w:sz w:val="18"/>
              </w:rPr>
              <w:t>Transparent proof of agent compensation or merchant refund</w:t>
            </w:r>
          </w:p>
        </w:tc>
      </w:tr>
    </w:tbl>
    <w:p/>
    <w:p>
      <w:pPr>
        <w:pStyle w:val="Heading2"/>
        <w:spacing w:after="80" w:line="252" w:lineRule="auto"/>
      </w:pPr>
      <w:r>
        <w:t>4.3 ML adds real value</w:t>
      </w:r>
    </w:p>
    <w:p>
      <w:pPr>
        <w:spacing w:after="80" w:line="252" w:lineRule="auto"/>
      </w:pPr>
      <w:r>
        <w:t>ML is not decorative. It enables the agent to underwrite performance contracts, estimate target feasibility, price risk, and forecast whether an active contract is on track to succeed.</w:t>
      </w:r>
    </w:p>
    <w:p>
      <w:pPr>
        <w:pStyle w:val="Heading1"/>
        <w:spacing w:after="80" w:line="252" w:lineRule="auto"/>
      </w:pPr>
      <w:r>
        <w:t>5. Product Principles</w:t>
      </w:r>
    </w:p>
    <w:p>
      <w:pPr>
        <w:pStyle w:val="ListBullet"/>
        <w:spacing w:after="20"/>
      </w:pPr>
      <w:r>
        <w:t>No payment without measurable success.</w:t>
      </w:r>
    </w:p>
    <w:p>
      <w:pPr>
        <w:pStyle w:val="ListBullet"/>
        <w:spacing w:after="20"/>
      </w:pPr>
      <w:r>
        <w:t>The agent should not accept every job.</w:t>
      </w:r>
    </w:p>
    <w:p>
      <w:pPr>
        <w:pStyle w:val="ListBullet"/>
        <w:spacing w:after="20"/>
      </w:pPr>
      <w:r>
        <w:t>Targets must be objective and contractable.</w:t>
      </w:r>
    </w:p>
    <w:p>
      <w:pPr>
        <w:pStyle w:val="ListBullet"/>
        <w:spacing w:after="20"/>
      </w:pPr>
      <w:r>
        <w:t>Every settlement must be auditable.</w:t>
      </w:r>
    </w:p>
    <w:p>
      <w:pPr>
        <w:pStyle w:val="ListBullet"/>
        <w:spacing w:after="20"/>
      </w:pPr>
      <w:r>
        <w:t>Marketing execution must be user-authorized.</w:t>
      </w:r>
    </w:p>
    <w:p>
      <w:pPr>
        <w:pStyle w:val="ListBullet"/>
        <w:spacing w:after="20"/>
      </w:pPr>
      <w:r>
        <w:t>ML supports risk judgment; deterministic logic resolves final success/failure.</w:t>
      </w:r>
    </w:p>
    <w:p>
      <w:pPr>
        <w:pStyle w:val="ListBullet"/>
        <w:spacing w:after="20"/>
      </w:pPr>
      <w:r>
        <w:t>The demo must show a complete economic loop: contract -&gt; escrow -&gt; agent action -&gt; resolution -&gt; USDC settlement.</w:t>
      </w:r>
    </w:p>
    <w:p>
      <w:pPr>
        <w:pStyle w:val="Heading1"/>
        <w:spacing w:after="80" w:line="252" w:lineRule="auto"/>
      </w:pPr>
      <w:r>
        <w:t>6. Target Users</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F4E79"/>
            <w:vAlign w:val="center"/>
          </w:tcPr>
          <w:p>
            <w:r/>
            <w:r>
              <w:rPr>
                <w:b/>
                <w:color w:val="FFFFFF"/>
                <w:sz w:val="18"/>
              </w:rPr>
              <w:t>User type</w:t>
            </w:r>
          </w:p>
        </w:tc>
        <w:tc>
          <w:tcPr>
            <w:tcW w:type="dxa" w:w="3744"/>
            <w:shd w:fill="1F4E79"/>
            <w:vAlign w:val="center"/>
          </w:tcPr>
          <w:p>
            <w:r/>
            <w:r>
              <w:rPr>
                <w:b/>
                <w:color w:val="FFFFFF"/>
                <w:sz w:val="18"/>
              </w:rPr>
              <w:t>Needs</w:t>
            </w:r>
          </w:p>
        </w:tc>
        <w:tc>
          <w:tcPr>
            <w:tcW w:type="dxa" w:w="3456"/>
            <w:shd w:fill="1F4E79"/>
            <w:vAlign w:val="center"/>
          </w:tcPr>
          <w:p>
            <w:r/>
            <w:r>
              <w:rPr>
                <w:b/>
                <w:color w:val="FFFFFF"/>
                <w:sz w:val="18"/>
              </w:rPr>
              <w:t>Why OutcomeX matters</w:t>
            </w:r>
          </w:p>
        </w:tc>
      </w:tr>
      <w:tr>
        <w:tc>
          <w:tcPr>
            <w:tcW w:type="dxa" w:w="2880"/>
            <w:vAlign w:val="center"/>
            <w:shd w:fill="EAF2F8"/>
          </w:tcPr>
          <w:p>
            <w:r/>
            <w:r>
              <w:rPr>
                <w:b w:val="0"/>
                <w:sz w:val="18"/>
              </w:rPr>
              <w:t>Primary: ecommerce merchant / startup founder</w:t>
            </w:r>
          </w:p>
        </w:tc>
        <w:tc>
          <w:tcPr>
            <w:tcW w:type="dxa" w:w="3744"/>
            <w:vAlign w:val="center"/>
          </w:tcPr>
          <w:p>
            <w:r/>
            <w:r>
              <w:rPr>
                <w:b w:val="0"/>
                <w:sz w:val="18"/>
              </w:rPr>
              <w:t>Better paid-marketing outcomes without paying for unproven AI advice</w:t>
            </w:r>
          </w:p>
        </w:tc>
        <w:tc>
          <w:tcPr>
            <w:tcW w:type="dxa" w:w="3456"/>
            <w:vAlign w:val="center"/>
          </w:tcPr>
          <w:p>
            <w:r/>
            <w:r>
              <w:rPr>
                <w:b w:val="0"/>
                <w:sz w:val="18"/>
              </w:rPr>
              <w:t>Outcome-aligned pricing, contract transparency, and strategy execution</w:t>
            </w:r>
          </w:p>
        </w:tc>
      </w:tr>
      <w:tr>
        <w:tc>
          <w:tcPr>
            <w:tcW w:type="dxa" w:w="2880"/>
            <w:vAlign w:val="center"/>
            <w:shd w:fill="EAF2F8"/>
          </w:tcPr>
          <w:p>
            <w:r/>
            <w:r>
              <w:rPr>
                <w:b w:val="0"/>
                <w:sz w:val="18"/>
              </w:rPr>
              <w:t>Secondary: small agency</w:t>
            </w:r>
          </w:p>
        </w:tc>
        <w:tc>
          <w:tcPr>
            <w:tcW w:type="dxa" w:w="3744"/>
            <w:vAlign w:val="center"/>
          </w:tcPr>
          <w:p>
            <w:r/>
            <w:r>
              <w:rPr>
                <w:b w:val="0"/>
                <w:sz w:val="18"/>
              </w:rPr>
              <w:t>Outcome-linked client services and differentiated value proposition</w:t>
            </w:r>
          </w:p>
        </w:tc>
        <w:tc>
          <w:tcPr>
            <w:tcW w:type="dxa" w:w="3456"/>
            <w:vAlign w:val="center"/>
          </w:tcPr>
          <w:p>
            <w:r/>
            <w:r>
              <w:rPr>
                <w:b w:val="0"/>
                <w:sz w:val="18"/>
              </w:rPr>
              <w:t>Can offer performance contracts backed by agent automation</w:t>
            </w:r>
          </w:p>
        </w:tc>
      </w:tr>
      <w:tr>
        <w:tc>
          <w:tcPr>
            <w:tcW w:type="dxa" w:w="2880"/>
            <w:vAlign w:val="center"/>
            <w:shd w:fill="EAF2F8"/>
          </w:tcPr>
          <w:p>
            <w:r/>
            <w:r>
              <w:rPr>
                <w:b w:val="0"/>
                <w:sz w:val="18"/>
              </w:rPr>
              <w:t>Future: autonomous marketing agents</w:t>
            </w:r>
          </w:p>
        </w:tc>
        <w:tc>
          <w:tcPr>
            <w:tcW w:type="dxa" w:w="3744"/>
            <w:vAlign w:val="center"/>
          </w:tcPr>
          <w:p>
            <w:r/>
            <w:r>
              <w:rPr>
                <w:b w:val="0"/>
                <w:sz w:val="18"/>
              </w:rPr>
              <w:t>Access to economic opportunities and settlement rails</w:t>
            </w:r>
          </w:p>
        </w:tc>
        <w:tc>
          <w:tcPr>
            <w:tcW w:type="dxa" w:w="3456"/>
            <w:vAlign w:val="center"/>
          </w:tcPr>
          <w:p>
            <w:r/>
            <w:r>
              <w:rPr>
                <w:b w:val="0"/>
                <w:sz w:val="18"/>
              </w:rPr>
              <w:t>Agents can compete to win contracts and get paid for results</w:t>
            </w:r>
          </w:p>
        </w:tc>
      </w:tr>
    </w:tbl>
    <w:p/>
    <w:p>
      <w:pPr>
        <w:pStyle w:val="Heading1"/>
        <w:spacing w:after="80" w:line="252" w:lineRule="auto"/>
      </w:pPr>
      <w:r>
        <w:t>7. MVP Scope</w:t>
      </w:r>
    </w:p>
    <w:p>
      <w:pPr>
        <w:pStyle w:val="Heading2"/>
        <w:spacing w:after="80" w:line="252" w:lineRule="auto"/>
      </w:pPr>
      <w:r>
        <w:t>7.1 MVP must demonstrate</w:t>
      </w:r>
    </w:p>
    <w:p>
      <w:pPr>
        <w:pStyle w:val="ListNumber"/>
        <w:spacing w:after="20"/>
      </w:pPr>
      <w:r>
        <w:t>Merchant creates a performance contract.</w:t>
      </w:r>
    </w:p>
    <w:p>
      <w:pPr>
        <w:pStyle w:val="ListNumber"/>
        <w:spacing w:after="20"/>
      </w:pPr>
      <w:r>
        <w:t>AI agent evaluates the request.</w:t>
      </w:r>
    </w:p>
    <w:p>
      <w:pPr>
        <w:pStyle w:val="ListNumber"/>
        <w:spacing w:after="20"/>
      </w:pPr>
      <w:r>
        <w:t>ML model estimates probability of success.</w:t>
      </w:r>
    </w:p>
    <w:p>
      <w:pPr>
        <w:pStyle w:val="ListNumber"/>
        <w:spacing w:after="20"/>
      </w:pPr>
      <w:r>
        <w:t>Agent accepts or counteroffers.</w:t>
      </w:r>
    </w:p>
    <w:p>
      <w:pPr>
        <w:pStyle w:val="ListNumber"/>
        <w:spacing w:after="20"/>
      </w:pPr>
      <w:r>
        <w:t>Merchant approves terms.</w:t>
      </w:r>
    </w:p>
    <w:p>
      <w:pPr>
        <w:pStyle w:val="ListNumber"/>
        <w:spacing w:after="20"/>
      </w:pPr>
      <w:r>
        <w:t>Merchant escrows USDC on Arc.</w:t>
      </w:r>
    </w:p>
    <w:p>
      <w:pPr>
        <w:pStyle w:val="ListNumber"/>
        <w:spacing w:after="20"/>
      </w:pPr>
      <w:r>
        <w:t>Agent creates or modifies a Meta Ads strategy.</w:t>
      </w:r>
    </w:p>
    <w:p>
      <w:pPr>
        <w:pStyle w:val="ListNumber"/>
        <w:spacing w:after="20"/>
      </w:pPr>
      <w:r>
        <w:t>Campaign results are monitored.</w:t>
      </w:r>
    </w:p>
    <w:p>
      <w:pPr>
        <w:pStyle w:val="ListNumber"/>
        <w:spacing w:after="20"/>
      </w:pPr>
      <w:r>
        <w:t>Outcome target resolves deterministically.</w:t>
      </w:r>
    </w:p>
    <w:p>
      <w:pPr>
        <w:pStyle w:val="ListNumber"/>
        <w:spacing w:after="20"/>
      </w:pPr>
      <w:r>
        <w:t>USDC is released or refunded.</w:t>
      </w:r>
    </w:p>
    <w:p>
      <w:pPr>
        <w:pStyle w:val="Heading2"/>
        <w:spacing w:after="80" w:line="252" w:lineRule="auto"/>
      </w:pPr>
      <w:r>
        <w:t>7.2 MVP supported target type</w:t>
      </w:r>
    </w:p>
    <w:p>
      <w:pPr>
        <w:spacing w:after="80" w:line="252" w:lineRule="auto"/>
      </w:pPr>
      <w:r>
        <w:t>To keep the hackathon demo focused, support one contract target: ROAS &gt;= X after a minimum spend threshold and within a fixed time window.</w:t>
      </w:r>
    </w:p>
    <w:tbl>
      <w:tblPr>
        <w:tblStyle w:val="TableGrid"/>
        <w:tblW w:type="auto" w:w="0"/>
        <w:jc w:val="center"/>
        <w:tblLook w:firstColumn="1" w:firstRow="1" w:lastColumn="0" w:lastRow="0" w:noHBand="0" w:noVBand="1" w:val="04A0"/>
      </w:tblPr>
      <w:tblGrid>
        <w:gridCol w:w="5083"/>
        <w:gridCol w:w="5083"/>
      </w:tblGrid>
      <w:tr>
        <w:tc>
          <w:tcPr>
            <w:tcW w:type="dxa" w:w="3600"/>
            <w:shd w:fill="1F4E79"/>
            <w:vAlign w:val="center"/>
          </w:tcPr>
          <w:p>
            <w:r/>
            <w:r>
              <w:rPr>
                <w:b/>
                <w:color w:val="FFFFFF"/>
                <w:sz w:val="18"/>
              </w:rPr>
              <w:t>Example contract term</w:t>
            </w:r>
          </w:p>
        </w:tc>
        <w:tc>
          <w:tcPr>
            <w:tcW w:type="dxa" w:w="6480"/>
            <w:shd w:fill="1F4E79"/>
            <w:vAlign w:val="center"/>
          </w:tcPr>
          <w:p>
            <w:r/>
            <w:r>
              <w:rPr>
                <w:b/>
                <w:color w:val="FFFFFF"/>
                <w:sz w:val="18"/>
              </w:rPr>
              <w:t>Value</w:t>
            </w:r>
          </w:p>
        </w:tc>
      </w:tr>
      <w:tr>
        <w:tc>
          <w:tcPr>
            <w:tcW w:type="dxa" w:w="3600"/>
            <w:vAlign w:val="center"/>
            <w:shd w:fill="EAF2F8"/>
          </w:tcPr>
          <w:p>
            <w:r/>
            <w:r>
              <w:rPr>
                <w:b w:val="0"/>
                <w:sz w:val="18"/>
              </w:rPr>
              <w:t>Target metric</w:t>
            </w:r>
          </w:p>
        </w:tc>
        <w:tc>
          <w:tcPr>
            <w:tcW w:type="dxa" w:w="6480"/>
            <w:vAlign w:val="center"/>
          </w:tcPr>
          <w:p>
            <w:r/>
            <w:r>
              <w:rPr>
                <w:b w:val="0"/>
                <w:sz w:val="18"/>
              </w:rPr>
              <w:t>ROAS</w:t>
            </w:r>
          </w:p>
        </w:tc>
      </w:tr>
      <w:tr>
        <w:tc>
          <w:tcPr>
            <w:tcW w:type="dxa" w:w="3600"/>
            <w:vAlign w:val="center"/>
            <w:shd w:fill="EAF2F8"/>
          </w:tcPr>
          <w:p>
            <w:r/>
            <w:r>
              <w:rPr>
                <w:b w:val="0"/>
                <w:sz w:val="18"/>
              </w:rPr>
              <w:t>Target threshold</w:t>
            </w:r>
          </w:p>
        </w:tc>
        <w:tc>
          <w:tcPr>
            <w:tcW w:type="dxa" w:w="6480"/>
            <w:vAlign w:val="center"/>
          </w:tcPr>
          <w:p>
            <w:r/>
            <w:r>
              <w:rPr>
                <w:b w:val="0"/>
                <w:sz w:val="18"/>
              </w:rPr>
              <w:t>&gt;= 2.0</w:t>
            </w:r>
          </w:p>
        </w:tc>
      </w:tr>
      <w:tr>
        <w:tc>
          <w:tcPr>
            <w:tcW w:type="dxa" w:w="3600"/>
            <w:vAlign w:val="center"/>
            <w:shd w:fill="EAF2F8"/>
          </w:tcPr>
          <w:p>
            <w:r/>
            <w:r>
              <w:rPr>
                <w:b w:val="0"/>
                <w:sz w:val="18"/>
              </w:rPr>
              <w:t>Minimum spend</w:t>
            </w:r>
          </w:p>
        </w:tc>
        <w:tc>
          <w:tcPr>
            <w:tcW w:type="dxa" w:w="6480"/>
            <w:vAlign w:val="center"/>
          </w:tcPr>
          <w:p>
            <w:r/>
            <w:r>
              <w:rPr>
                <w:b w:val="0"/>
                <w:sz w:val="18"/>
              </w:rPr>
              <w:t>$500</w:t>
            </w:r>
          </w:p>
        </w:tc>
      </w:tr>
      <w:tr>
        <w:tc>
          <w:tcPr>
            <w:tcW w:type="dxa" w:w="3600"/>
            <w:vAlign w:val="center"/>
            <w:shd w:fill="EAF2F8"/>
          </w:tcPr>
          <w:p>
            <w:r/>
            <w:r>
              <w:rPr>
                <w:b w:val="0"/>
                <w:sz w:val="18"/>
              </w:rPr>
              <w:t>Evaluation window</w:t>
            </w:r>
          </w:p>
        </w:tc>
        <w:tc>
          <w:tcPr>
            <w:tcW w:type="dxa" w:w="6480"/>
            <w:vAlign w:val="center"/>
          </w:tcPr>
          <w:p>
            <w:r/>
            <w:r>
              <w:rPr>
                <w:b w:val="0"/>
                <w:sz w:val="18"/>
              </w:rPr>
              <w:t>7 days</w:t>
            </w:r>
          </w:p>
        </w:tc>
      </w:tr>
      <w:tr>
        <w:tc>
          <w:tcPr>
            <w:tcW w:type="dxa" w:w="3600"/>
            <w:vAlign w:val="center"/>
            <w:shd w:fill="EAF2F8"/>
          </w:tcPr>
          <w:p>
            <w:r/>
            <w:r>
              <w:rPr>
                <w:b w:val="0"/>
                <w:sz w:val="18"/>
              </w:rPr>
              <w:t>Success fee</w:t>
            </w:r>
          </w:p>
        </w:tc>
        <w:tc>
          <w:tcPr>
            <w:tcW w:type="dxa" w:w="6480"/>
            <w:vAlign w:val="center"/>
          </w:tcPr>
          <w:p>
            <w:r/>
            <w:r>
              <w:rPr>
                <w:b w:val="0"/>
                <w:sz w:val="18"/>
              </w:rPr>
              <w:t>100 USDC</w:t>
            </w:r>
          </w:p>
        </w:tc>
      </w:tr>
    </w:tbl>
    <w:p/>
    <w:p>
      <w:pPr>
        <w:pStyle w:val="Heading2"/>
        <w:spacing w:after="80" w:line="252" w:lineRule="auto"/>
      </w:pPr>
      <w:r>
        <w:t>7.3 Optional secondary metric</w:t>
      </w:r>
    </w:p>
    <w:p>
      <w:pPr>
        <w:spacing w:after="80" w:line="252" w:lineRule="auto"/>
      </w:pPr>
      <w:r>
        <w:t>Add CPA &lt;= Y only if the core demo is complete and stable.</w:t>
      </w:r>
    </w:p>
    <w:p>
      <w:pPr>
        <w:pStyle w:val="Heading2"/>
        <w:spacing w:after="80" w:line="252" w:lineRule="auto"/>
      </w:pPr>
      <w:r>
        <w:t>7.4 Non-goals for MVP</w:t>
      </w:r>
    </w:p>
    <w:p>
      <w:pPr>
        <w:pStyle w:val="ListBullet"/>
        <w:spacing w:after="20"/>
      </w:pPr>
      <w:r>
        <w:t>Full ad agency platform</w:t>
      </w:r>
    </w:p>
    <w:p>
      <w:pPr>
        <w:pStyle w:val="ListBullet"/>
        <w:spacing w:after="20"/>
      </w:pPr>
      <w:r>
        <w:t>Multiple ad networks beyond Meta</w:t>
      </w:r>
    </w:p>
    <w:p>
      <w:pPr>
        <w:pStyle w:val="ListBullet"/>
        <w:spacing w:after="20"/>
      </w:pPr>
      <w:r>
        <w:t>Production-grade attribution system</w:t>
      </w:r>
    </w:p>
    <w:p>
      <w:pPr>
        <w:pStyle w:val="ListBullet"/>
        <w:spacing w:after="20"/>
      </w:pPr>
      <w:r>
        <w:t>Multi-agent bidding marketplace</w:t>
      </w:r>
    </w:p>
    <w:p>
      <w:pPr>
        <w:pStyle w:val="ListBullet"/>
        <w:spacing w:after="20"/>
      </w:pPr>
      <w:r>
        <w:t>Full fiat on/off-ramp</w:t>
      </w:r>
    </w:p>
    <w:p>
      <w:pPr>
        <w:pStyle w:val="ListBullet"/>
        <w:spacing w:after="20"/>
      </w:pPr>
      <w:r>
        <w:t>Complex creative generation pipeline</w:t>
      </w:r>
    </w:p>
    <w:p>
      <w:pPr>
        <w:pStyle w:val="ListBullet"/>
        <w:spacing w:after="20"/>
      </w:pPr>
      <w:r>
        <w:t>Cross-chain settlement</w:t>
      </w:r>
    </w:p>
    <w:p>
      <w:pPr>
        <w:pStyle w:val="ListBullet"/>
        <w:spacing w:after="20"/>
      </w:pPr>
      <w:r>
        <w:t>Full compliance/KYC flow</w:t>
      </w:r>
    </w:p>
    <w:p>
      <w:pPr>
        <w:pStyle w:val="Heading1"/>
        <w:spacing w:after="80" w:line="252" w:lineRule="auto"/>
      </w:pPr>
      <w:r>
        <w:t>8. End-to-End User Flow</w:t>
      </w:r>
    </w:p>
    <w:p>
      <w:pPr>
        <w:pStyle w:val="Heading2"/>
        <w:spacing w:after="80" w:line="252" w:lineRule="auto"/>
      </w:pPr>
      <w:r>
        <w:t>Flow 1 — Merchant creates a performance contract</w:t>
      </w:r>
    </w:p>
    <w:tbl>
      <w:tblPr>
        <w:tblStyle w:val="TableGrid"/>
        <w:tblW w:type="auto" w:w="0"/>
        <w:jc w:val="center"/>
        <w:tblLook w:firstColumn="1" w:firstRow="1" w:lastColumn="0" w:lastRow="0" w:noHBand="0" w:noVBand="1" w:val="04A0"/>
      </w:tblPr>
      <w:tblGrid>
        <w:gridCol w:w="5083"/>
        <w:gridCol w:w="5083"/>
      </w:tblGrid>
      <w:tr>
        <w:tc>
          <w:tcPr>
            <w:tcW w:type="dxa" w:w="3600"/>
            <w:shd w:fill="1F4E79"/>
            <w:vAlign w:val="center"/>
          </w:tcPr>
          <w:p>
            <w:r/>
            <w:r>
              <w:rPr>
                <w:b/>
                <w:color w:val="FFFFFF"/>
                <w:sz w:val="18"/>
              </w:rPr>
              <w:t>Field</w:t>
            </w:r>
          </w:p>
        </w:tc>
        <w:tc>
          <w:tcPr>
            <w:tcW w:type="dxa" w:w="6480"/>
            <w:shd w:fill="1F4E79"/>
            <w:vAlign w:val="center"/>
          </w:tcPr>
          <w:p>
            <w:r/>
            <w:r>
              <w:rPr>
                <w:b/>
                <w:color w:val="FFFFFF"/>
                <w:sz w:val="18"/>
              </w:rPr>
              <w:t>Example</w:t>
            </w:r>
          </w:p>
        </w:tc>
      </w:tr>
      <w:tr>
        <w:tc>
          <w:tcPr>
            <w:tcW w:type="dxa" w:w="3600"/>
            <w:vAlign w:val="center"/>
            <w:shd w:fill="EAF2F8"/>
          </w:tcPr>
          <w:p>
            <w:r/>
            <w:r>
              <w:rPr>
                <w:b w:val="0"/>
                <w:sz w:val="18"/>
              </w:rPr>
              <w:t>Product / campaign goal</w:t>
            </w:r>
          </w:p>
        </w:tc>
        <w:tc>
          <w:tcPr>
            <w:tcW w:type="dxa" w:w="6480"/>
            <w:vAlign w:val="center"/>
          </w:tcPr>
          <w:p>
            <w:r/>
            <w:r>
              <w:rPr>
                <w:b w:val="0"/>
                <w:sz w:val="18"/>
              </w:rPr>
              <w:t>Promote Product X</w:t>
            </w:r>
          </w:p>
        </w:tc>
      </w:tr>
      <w:tr>
        <w:tc>
          <w:tcPr>
            <w:tcW w:type="dxa" w:w="3600"/>
            <w:vAlign w:val="center"/>
            <w:shd w:fill="EAF2F8"/>
          </w:tcPr>
          <w:p>
            <w:r/>
            <w:r>
              <w:rPr>
                <w:b w:val="0"/>
                <w:sz w:val="18"/>
              </w:rPr>
              <w:t>Target metric</w:t>
            </w:r>
          </w:p>
        </w:tc>
        <w:tc>
          <w:tcPr>
            <w:tcW w:type="dxa" w:w="6480"/>
            <w:vAlign w:val="center"/>
          </w:tcPr>
          <w:p>
            <w:r/>
            <w:r>
              <w:rPr>
                <w:b w:val="0"/>
                <w:sz w:val="18"/>
              </w:rPr>
              <w:t>ROAS</w:t>
            </w:r>
          </w:p>
        </w:tc>
      </w:tr>
      <w:tr>
        <w:tc>
          <w:tcPr>
            <w:tcW w:type="dxa" w:w="3600"/>
            <w:vAlign w:val="center"/>
            <w:shd w:fill="EAF2F8"/>
          </w:tcPr>
          <w:p>
            <w:r/>
            <w:r>
              <w:rPr>
                <w:b w:val="0"/>
                <w:sz w:val="18"/>
              </w:rPr>
              <w:t>Target threshold</w:t>
            </w:r>
          </w:p>
        </w:tc>
        <w:tc>
          <w:tcPr>
            <w:tcW w:type="dxa" w:w="6480"/>
            <w:vAlign w:val="center"/>
          </w:tcPr>
          <w:p>
            <w:r/>
            <w:r>
              <w:rPr>
                <w:b w:val="0"/>
                <w:sz w:val="18"/>
              </w:rPr>
              <w:t>2.0</w:t>
            </w:r>
          </w:p>
        </w:tc>
      </w:tr>
      <w:tr>
        <w:tc>
          <w:tcPr>
            <w:tcW w:type="dxa" w:w="3600"/>
            <w:vAlign w:val="center"/>
            <w:shd w:fill="EAF2F8"/>
          </w:tcPr>
          <w:p>
            <w:r/>
            <w:r>
              <w:rPr>
                <w:b w:val="0"/>
                <w:sz w:val="18"/>
              </w:rPr>
              <w:t>Minimum spend</w:t>
            </w:r>
          </w:p>
        </w:tc>
        <w:tc>
          <w:tcPr>
            <w:tcW w:type="dxa" w:w="6480"/>
            <w:vAlign w:val="center"/>
          </w:tcPr>
          <w:p>
            <w:r/>
            <w:r>
              <w:rPr>
                <w:b w:val="0"/>
                <w:sz w:val="18"/>
              </w:rPr>
              <w:t>$500</w:t>
            </w:r>
          </w:p>
        </w:tc>
      </w:tr>
      <w:tr>
        <w:tc>
          <w:tcPr>
            <w:tcW w:type="dxa" w:w="3600"/>
            <w:vAlign w:val="center"/>
            <w:shd w:fill="EAF2F8"/>
          </w:tcPr>
          <w:p>
            <w:r/>
            <w:r>
              <w:rPr>
                <w:b w:val="0"/>
                <w:sz w:val="18"/>
              </w:rPr>
              <w:t>Time window</w:t>
            </w:r>
          </w:p>
        </w:tc>
        <w:tc>
          <w:tcPr>
            <w:tcW w:type="dxa" w:w="6480"/>
            <w:vAlign w:val="center"/>
          </w:tcPr>
          <w:p>
            <w:r/>
            <w:r>
              <w:rPr>
                <w:b w:val="0"/>
                <w:sz w:val="18"/>
              </w:rPr>
              <w:t>7 days</w:t>
            </w:r>
          </w:p>
        </w:tc>
      </w:tr>
      <w:tr>
        <w:tc>
          <w:tcPr>
            <w:tcW w:type="dxa" w:w="3600"/>
            <w:vAlign w:val="center"/>
            <w:shd w:fill="EAF2F8"/>
          </w:tcPr>
          <w:p>
            <w:r/>
            <w:r>
              <w:rPr>
                <w:b w:val="0"/>
                <w:sz w:val="18"/>
              </w:rPr>
              <w:t>Success fee</w:t>
            </w:r>
          </w:p>
        </w:tc>
        <w:tc>
          <w:tcPr>
            <w:tcW w:type="dxa" w:w="6480"/>
            <w:vAlign w:val="center"/>
          </w:tcPr>
          <w:p>
            <w:r/>
            <w:r>
              <w:rPr>
                <w:b w:val="0"/>
                <w:sz w:val="18"/>
              </w:rPr>
              <w:t>100 USDC</w:t>
            </w:r>
          </w:p>
        </w:tc>
      </w:tr>
      <w:tr>
        <w:tc>
          <w:tcPr>
            <w:tcW w:type="dxa" w:w="3600"/>
            <w:vAlign w:val="center"/>
            <w:shd w:fill="EAF2F8"/>
          </w:tcPr>
          <w:p>
            <w:r/>
            <w:r>
              <w:rPr>
                <w:b w:val="0"/>
                <w:sz w:val="18"/>
              </w:rPr>
              <w:t>Campaign mode</w:t>
            </w:r>
          </w:p>
        </w:tc>
        <w:tc>
          <w:tcPr>
            <w:tcW w:type="dxa" w:w="6480"/>
            <w:vAlign w:val="center"/>
          </w:tcPr>
          <w:p>
            <w:r/>
            <w:r>
              <w:rPr>
                <w:b w:val="0"/>
                <w:sz w:val="18"/>
              </w:rPr>
              <w:t>Create new or optimize existing</w:t>
            </w:r>
          </w:p>
        </w:tc>
      </w:tr>
    </w:tbl>
    <w:p/>
    <w:p>
      <w:pPr>
        <w:pStyle w:val="Heading2"/>
        <w:spacing w:after="80" w:line="252" w:lineRule="auto"/>
      </w:pPr>
      <w:r>
        <w:t>Flow 2 — AI + ML evaluate feasibility</w:t>
      </w:r>
    </w:p>
    <w:p>
      <w:pPr>
        <w:spacing w:before="60" w:after="100"/>
        <w:ind w:left="259" w:right="259"/>
        <w:shd w:fill="F3F6F9"/>
      </w:pPr>
      <w:r>
        <w:rPr>
          <w:rFonts w:ascii="Consolas" w:hAnsi="Consolas" w:eastAsia="Consolas"/>
          <w:sz w:val="17"/>
        </w:rPr>
        <w:t>{</w:t>
        <w:br/>
        <w:t xml:space="preserve">  "success_probability": 0.68,</w:t>
        <w:br/>
        <w:t xml:space="preserve">  "risk_level": "medium",</w:t>
        <w:br/>
        <w:t xml:space="preserve">  "expected_roas_range": [1.7, 2.4],</w:t>
        <w:br/>
        <w:t xml:space="preserve">  "recommended_contract_action": "accept",</w:t>
        <w:br/>
        <w:t xml:space="preserve">  "recommended_fee_usdc": 100</w:t>
        <w:br/>
        <w:t>}</w:t>
      </w:r>
    </w:p>
    <w:p>
      <w:pPr>
        <w:pStyle w:val="Heading2"/>
        <w:spacing w:after="80" w:line="252" w:lineRule="auto"/>
      </w:pPr>
      <w:r>
        <w:t>Flow 3 — Agent accepts, rejects, or counteroffers</w:t>
      </w:r>
    </w:p>
    <w:tbl>
      <w:tblPr>
        <w:tblStyle w:val="TableGrid"/>
        <w:tblW w:type="auto" w:w="0"/>
        <w:jc w:val="center"/>
        <w:tblLook w:firstColumn="1" w:firstRow="1" w:lastColumn="0" w:lastRow="0" w:noHBand="0" w:noVBand="1" w:val="04A0"/>
      </w:tblPr>
      <w:tblGrid>
        <w:gridCol w:w="5083"/>
        <w:gridCol w:w="5083"/>
      </w:tblGrid>
      <w:tr>
        <w:tc>
          <w:tcPr>
            <w:tcW w:type="dxa" w:w="2160"/>
            <w:shd w:fill="1F4E79"/>
            <w:vAlign w:val="center"/>
          </w:tcPr>
          <w:p>
            <w:r/>
            <w:r>
              <w:rPr>
                <w:b/>
                <w:color w:val="FFFFFF"/>
                <w:sz w:val="18"/>
              </w:rPr>
              <w:t>Decision</w:t>
            </w:r>
          </w:p>
        </w:tc>
        <w:tc>
          <w:tcPr>
            <w:tcW w:type="dxa" w:w="7920"/>
            <w:shd w:fill="1F4E79"/>
            <w:vAlign w:val="center"/>
          </w:tcPr>
          <w:p>
            <w:r/>
            <w:r>
              <w:rPr>
                <w:b/>
                <w:color w:val="FFFFFF"/>
                <w:sz w:val="18"/>
              </w:rPr>
              <w:t>Example agent behavior</w:t>
            </w:r>
          </w:p>
        </w:tc>
      </w:tr>
      <w:tr>
        <w:tc>
          <w:tcPr>
            <w:tcW w:type="dxa" w:w="2160"/>
            <w:vAlign w:val="center"/>
            <w:shd w:fill="EAF2F8"/>
          </w:tcPr>
          <w:p>
            <w:r/>
            <w:r>
              <w:rPr>
                <w:b w:val="0"/>
                <w:sz w:val="18"/>
              </w:rPr>
              <w:t>Accept</w:t>
            </w:r>
          </w:p>
        </w:tc>
        <w:tc>
          <w:tcPr>
            <w:tcW w:type="dxa" w:w="7920"/>
            <w:vAlign w:val="center"/>
          </w:tcPr>
          <w:p>
            <w:r/>
            <w:r>
              <w:rPr>
                <w:b w:val="0"/>
                <w:sz w:val="18"/>
              </w:rPr>
              <w:t>“I estimate a 68% chance of achieving ROAS &gt;= 2.0 within 7 days. I accept this contract.”</w:t>
            </w:r>
          </w:p>
        </w:tc>
      </w:tr>
      <w:tr>
        <w:tc>
          <w:tcPr>
            <w:tcW w:type="dxa" w:w="2160"/>
            <w:vAlign w:val="center"/>
            <w:shd w:fill="EAF2F8"/>
          </w:tcPr>
          <w:p>
            <w:r/>
            <w:r>
              <w:rPr>
                <w:b w:val="0"/>
                <w:sz w:val="18"/>
              </w:rPr>
              <w:t>Counteroffer</w:t>
            </w:r>
          </w:p>
        </w:tc>
        <w:tc>
          <w:tcPr>
            <w:tcW w:type="dxa" w:w="7920"/>
            <w:vAlign w:val="center"/>
          </w:tcPr>
          <w:p>
            <w:r/>
            <w:r>
              <w:rPr>
                <w:b w:val="0"/>
                <w:sz w:val="18"/>
              </w:rPr>
              <w:t>“ROAS &gt;= 3.0 is too aggressive. I propose ROAS &gt;= 2.0 for 100 USDC or ROAS &gt;= 3.0 with a 14-day window and higher fee.”</w:t>
            </w:r>
          </w:p>
        </w:tc>
      </w:tr>
      <w:tr>
        <w:tc>
          <w:tcPr>
            <w:tcW w:type="dxa" w:w="2160"/>
            <w:vAlign w:val="center"/>
            <w:shd w:fill="EAF2F8"/>
          </w:tcPr>
          <w:p>
            <w:r/>
            <w:r>
              <w:rPr>
                <w:b w:val="0"/>
                <w:sz w:val="18"/>
              </w:rPr>
              <w:t>Reject</w:t>
            </w:r>
          </w:p>
        </w:tc>
        <w:tc>
          <w:tcPr>
            <w:tcW w:type="dxa" w:w="7920"/>
            <w:vAlign w:val="center"/>
          </w:tcPr>
          <w:p>
            <w:r/>
            <w:r>
              <w:rPr>
                <w:b w:val="0"/>
                <w:sz w:val="18"/>
              </w:rPr>
              <w:t>“The requested target has an estimated success probability below 20%; I cannot responsibly accept it.”</w:t>
            </w:r>
          </w:p>
        </w:tc>
      </w:tr>
    </w:tbl>
    <w:p/>
    <w:p>
      <w:pPr>
        <w:pStyle w:val="Heading2"/>
        <w:spacing w:after="80" w:line="252" w:lineRule="auto"/>
      </w:pPr>
      <w:r>
        <w:t>Flow 4 — Merchant approves and funds escrow</w:t>
      </w:r>
    </w:p>
    <w:p>
      <w:pPr>
        <w:pStyle w:val="ListNumber"/>
        <w:spacing w:after="20"/>
      </w:pPr>
      <w:r>
        <w:t>Final terms are shown to the merchant.</w:t>
      </w:r>
    </w:p>
    <w:p>
      <w:pPr>
        <w:pStyle w:val="ListNumber"/>
        <w:spacing w:after="20"/>
      </w:pPr>
      <w:r>
        <w:t>Merchant approves the agent offer.</w:t>
      </w:r>
    </w:p>
    <w:p>
      <w:pPr>
        <w:pStyle w:val="ListNumber"/>
        <w:spacing w:after="20"/>
      </w:pPr>
      <w:r>
        <w:t>USDC success fee is escrowed on Arc.</w:t>
      </w:r>
    </w:p>
    <w:p>
      <w:pPr>
        <w:pStyle w:val="ListNumber"/>
        <w:spacing w:after="20"/>
      </w:pPr>
      <w:r>
        <w:t>Contract status becomes Funded.</w:t>
      </w:r>
    </w:p>
    <w:p>
      <w:pPr>
        <w:pStyle w:val="Heading2"/>
        <w:spacing w:after="80" w:line="252" w:lineRule="auto"/>
      </w:pPr>
      <w:r>
        <w:t>Flow 5 — Agent executes strategy</w:t>
      </w:r>
    </w:p>
    <w:p>
      <w:pPr>
        <w:spacing w:before="60" w:after="100"/>
        <w:ind w:left="259" w:right="259"/>
        <w:shd w:fill="F3F6F9"/>
      </w:pPr>
      <w:r>
        <w:rPr>
          <w:rFonts w:ascii="Consolas" w:hAnsi="Consolas" w:eastAsia="Consolas"/>
          <w:sz w:val="17"/>
        </w:rPr>
        <w:t>{</w:t>
        <w:br/>
        <w:t xml:space="preserve">  "strategy_summary": "Launch a retargeting campaign focused on warm audiences with a value-oriented product angle.",</w:t>
        <w:br/>
        <w:t xml:space="preserve">  "actions": [</w:t>
        <w:br/>
        <w:t xml:space="preserve">    {"type": "create_campaign", "objective": "sales"},</w:t>
        <w:br/>
        <w:t xml:space="preserve">    {"type": "create_ad_set", "audience": "30-day website visitors"},</w:t>
        <w:br/>
        <w:t xml:space="preserve">    {"type": "set_budget", "daily_budget_usd": 75}</w:t>
        <w:br/>
        <w:t xml:space="preserve">  ]</w:t>
        <w:br/>
        <w:t>}</w:t>
      </w:r>
    </w:p>
    <w:p>
      <w:pPr>
        <w:pStyle w:val="Heading2"/>
        <w:spacing w:after="80" w:line="252" w:lineRule="auto"/>
      </w:pPr>
      <w:r>
        <w:t>Flow 6 — Live monitoring</w:t>
      </w:r>
    </w:p>
    <w:tbl>
      <w:tblPr>
        <w:tblStyle w:val="TableGrid"/>
        <w:tblW w:type="auto" w:w="0"/>
        <w:jc w:val="center"/>
        <w:tblLook w:firstColumn="1" w:firstRow="1" w:lastColumn="0" w:lastRow="0" w:noHBand="0" w:noVBand="1" w:val="04A0"/>
      </w:tblPr>
      <w:tblGrid>
        <w:gridCol w:w="5083"/>
        <w:gridCol w:w="5083"/>
      </w:tblGrid>
      <w:tr>
        <w:tc>
          <w:tcPr>
            <w:tcW w:type="dxa" w:w="4464"/>
            <w:shd w:fill="1F4E79"/>
            <w:vAlign w:val="center"/>
          </w:tcPr>
          <w:p>
            <w:r/>
            <w:r>
              <w:rPr>
                <w:b/>
                <w:color w:val="FFFFFF"/>
                <w:sz w:val="18"/>
              </w:rPr>
              <w:t>Metric</w:t>
            </w:r>
          </w:p>
        </w:tc>
        <w:tc>
          <w:tcPr>
            <w:tcW w:type="dxa" w:w="5616"/>
            <w:shd w:fill="1F4E79"/>
            <w:vAlign w:val="center"/>
          </w:tcPr>
          <w:p>
            <w:r/>
            <w:r>
              <w:rPr>
                <w:b/>
                <w:color w:val="FFFFFF"/>
                <w:sz w:val="18"/>
              </w:rPr>
              <w:t>Illustrative value</w:t>
            </w:r>
          </w:p>
        </w:tc>
      </w:tr>
      <w:tr>
        <w:tc>
          <w:tcPr>
            <w:tcW w:type="dxa" w:w="4464"/>
            <w:vAlign w:val="center"/>
            <w:shd w:fill="EAF2F8"/>
          </w:tcPr>
          <w:p>
            <w:r/>
            <w:r>
              <w:rPr>
                <w:b w:val="0"/>
                <w:sz w:val="18"/>
              </w:rPr>
              <w:t>Spend</w:t>
            </w:r>
          </w:p>
        </w:tc>
        <w:tc>
          <w:tcPr>
            <w:tcW w:type="dxa" w:w="5616"/>
            <w:vAlign w:val="center"/>
          </w:tcPr>
          <w:p>
            <w:r/>
            <w:r>
              <w:rPr>
                <w:b w:val="0"/>
                <w:sz w:val="18"/>
              </w:rPr>
              <w:t>$318 / $500 required</w:t>
            </w:r>
          </w:p>
        </w:tc>
      </w:tr>
      <w:tr>
        <w:tc>
          <w:tcPr>
            <w:tcW w:type="dxa" w:w="4464"/>
            <w:vAlign w:val="center"/>
            <w:shd w:fill="EAF2F8"/>
          </w:tcPr>
          <w:p>
            <w:r/>
            <w:r>
              <w:rPr>
                <w:b w:val="0"/>
                <w:sz w:val="18"/>
              </w:rPr>
              <w:t>Revenue</w:t>
            </w:r>
          </w:p>
        </w:tc>
        <w:tc>
          <w:tcPr>
            <w:tcW w:type="dxa" w:w="5616"/>
            <w:vAlign w:val="center"/>
          </w:tcPr>
          <w:p>
            <w:r/>
            <w:r>
              <w:rPr>
                <w:b w:val="0"/>
                <w:sz w:val="18"/>
              </w:rPr>
              <w:t>$590</w:t>
            </w:r>
          </w:p>
        </w:tc>
      </w:tr>
      <w:tr>
        <w:tc>
          <w:tcPr>
            <w:tcW w:type="dxa" w:w="4464"/>
            <w:vAlign w:val="center"/>
            <w:shd w:fill="EAF2F8"/>
          </w:tcPr>
          <w:p>
            <w:r/>
            <w:r>
              <w:rPr>
                <w:b w:val="0"/>
                <w:sz w:val="18"/>
              </w:rPr>
              <w:t>Current ROAS</w:t>
            </w:r>
          </w:p>
        </w:tc>
        <w:tc>
          <w:tcPr>
            <w:tcW w:type="dxa" w:w="5616"/>
            <w:vAlign w:val="center"/>
          </w:tcPr>
          <w:p>
            <w:r/>
            <w:r>
              <w:rPr>
                <w:b w:val="0"/>
                <w:sz w:val="18"/>
              </w:rPr>
              <w:t>1.86</w:t>
            </w:r>
          </w:p>
        </w:tc>
      </w:tr>
      <w:tr>
        <w:tc>
          <w:tcPr>
            <w:tcW w:type="dxa" w:w="4464"/>
            <w:vAlign w:val="center"/>
            <w:shd w:fill="EAF2F8"/>
          </w:tcPr>
          <w:p>
            <w:r/>
            <w:r>
              <w:rPr>
                <w:b w:val="0"/>
                <w:sz w:val="18"/>
              </w:rPr>
              <w:t>Target ROAS</w:t>
            </w:r>
          </w:p>
        </w:tc>
        <w:tc>
          <w:tcPr>
            <w:tcW w:type="dxa" w:w="5616"/>
            <w:vAlign w:val="center"/>
          </w:tcPr>
          <w:p>
            <w:r/>
            <w:r>
              <w:rPr>
                <w:b w:val="0"/>
                <w:sz w:val="18"/>
              </w:rPr>
              <w:t>2.0</w:t>
            </w:r>
          </w:p>
        </w:tc>
      </w:tr>
      <w:tr>
        <w:tc>
          <w:tcPr>
            <w:tcW w:type="dxa" w:w="4464"/>
            <w:vAlign w:val="center"/>
            <w:shd w:fill="EAF2F8"/>
          </w:tcPr>
          <w:p>
            <w:r/>
            <w:r>
              <w:rPr>
                <w:b w:val="0"/>
                <w:sz w:val="18"/>
              </w:rPr>
              <w:t>Days remaining</w:t>
            </w:r>
          </w:p>
        </w:tc>
        <w:tc>
          <w:tcPr>
            <w:tcW w:type="dxa" w:w="5616"/>
            <w:vAlign w:val="center"/>
          </w:tcPr>
          <w:p>
            <w:r/>
            <w:r>
              <w:rPr>
                <w:b w:val="0"/>
                <w:sz w:val="18"/>
              </w:rPr>
              <w:t>3</w:t>
            </w:r>
          </w:p>
        </w:tc>
      </w:tr>
      <w:tr>
        <w:tc>
          <w:tcPr>
            <w:tcW w:type="dxa" w:w="4464"/>
            <w:vAlign w:val="center"/>
            <w:shd w:fill="EAF2F8"/>
          </w:tcPr>
          <w:p>
            <w:r/>
            <w:r>
              <w:rPr>
                <w:b w:val="0"/>
                <w:sz w:val="18"/>
              </w:rPr>
              <w:t>ML probability of success</w:t>
            </w:r>
          </w:p>
        </w:tc>
        <w:tc>
          <w:tcPr>
            <w:tcW w:type="dxa" w:w="5616"/>
            <w:vAlign w:val="center"/>
          </w:tcPr>
          <w:p>
            <w:r/>
            <w:r>
              <w:rPr>
                <w:b w:val="0"/>
                <w:sz w:val="18"/>
              </w:rPr>
              <w:t>61%</w:t>
            </w:r>
          </w:p>
        </w:tc>
      </w:tr>
    </w:tbl>
    <w:p/>
    <w:p>
      <w:pPr>
        <w:pStyle w:val="Heading2"/>
        <w:spacing w:after="80" w:line="252" w:lineRule="auto"/>
      </w:pPr>
      <w:r>
        <w:t>Flow 7 — Outcome resolution</w:t>
      </w:r>
    </w:p>
    <w:p>
      <w:pPr>
        <w:spacing w:before="60" w:after="100"/>
        <w:ind w:left="259" w:right="259"/>
        <w:shd w:fill="F3F6F9"/>
      </w:pPr>
      <w:r>
        <w:rPr>
          <w:rFonts w:ascii="Consolas" w:hAnsi="Consolas" w:eastAsia="Consolas"/>
          <w:sz w:val="17"/>
        </w:rPr>
        <w:t>IF total_spend &gt;= minimum_spend</w:t>
        <w:br/>
        <w:t>AND final_roas &gt;= target_roas</w:t>
        <w:br/>
        <w:t>AND evaluation_window_complete</w:t>
        <w:br/>
        <w:t>THEN outcome = success</w:t>
        <w:br/>
        <w:t>ELSE outcome = failure</w:t>
      </w:r>
    </w:p>
    <w:p>
      <w:pPr>
        <w:pStyle w:val="Heading2"/>
        <w:spacing w:after="80" w:line="252" w:lineRule="auto"/>
      </w:pPr>
      <w:r>
        <w:t>Flow 8 — Settlement</w:t>
      </w:r>
    </w:p>
    <w:tbl>
      <w:tblPr>
        <w:tblStyle w:val="TableGrid"/>
        <w:tblW w:type="auto" w:w="0"/>
        <w:jc w:val="center"/>
        <w:tblLook w:firstColumn="1" w:firstRow="1" w:lastColumn="0" w:lastRow="0" w:noHBand="0" w:noVBand="1" w:val="04A0"/>
      </w:tblPr>
      <w:tblGrid>
        <w:gridCol w:w="5083"/>
        <w:gridCol w:w="5083"/>
      </w:tblGrid>
      <w:tr>
        <w:tc>
          <w:tcPr>
            <w:tcW w:type="dxa" w:w="2880"/>
            <w:shd w:fill="1F4E79"/>
            <w:vAlign w:val="center"/>
          </w:tcPr>
          <w:p>
            <w:r/>
            <w:r>
              <w:rPr>
                <w:b/>
                <w:color w:val="FFFFFF"/>
                <w:sz w:val="18"/>
              </w:rPr>
              <w:t>Outcome</w:t>
            </w:r>
          </w:p>
        </w:tc>
        <w:tc>
          <w:tcPr>
            <w:tcW w:type="dxa" w:w="7200"/>
            <w:shd w:fill="1F4E79"/>
            <w:vAlign w:val="center"/>
          </w:tcPr>
          <w:p>
            <w:r/>
            <w:r>
              <w:rPr>
                <w:b/>
                <w:color w:val="FFFFFF"/>
                <w:sz w:val="18"/>
              </w:rPr>
              <w:t>Settlement action</w:t>
            </w:r>
          </w:p>
        </w:tc>
      </w:tr>
      <w:tr>
        <w:tc>
          <w:tcPr>
            <w:tcW w:type="dxa" w:w="2880"/>
            <w:vAlign w:val="center"/>
            <w:shd w:fill="EAF2F8"/>
          </w:tcPr>
          <w:p>
            <w:r/>
            <w:r>
              <w:rPr>
                <w:b w:val="0"/>
                <w:sz w:val="18"/>
              </w:rPr>
              <w:t>Success</w:t>
            </w:r>
          </w:p>
        </w:tc>
        <w:tc>
          <w:tcPr>
            <w:tcW w:type="dxa" w:w="7200"/>
            <w:vAlign w:val="center"/>
          </w:tcPr>
          <w:p>
            <w:r/>
            <w:r>
              <w:rPr>
                <w:b w:val="0"/>
                <w:sz w:val="18"/>
              </w:rPr>
              <w:t>Escrowed USDC released to agent wallet</w:t>
            </w:r>
          </w:p>
        </w:tc>
      </w:tr>
      <w:tr>
        <w:tc>
          <w:tcPr>
            <w:tcW w:type="dxa" w:w="2880"/>
            <w:vAlign w:val="center"/>
            <w:shd w:fill="EAF2F8"/>
          </w:tcPr>
          <w:p>
            <w:r/>
            <w:r>
              <w:rPr>
                <w:b w:val="0"/>
                <w:sz w:val="18"/>
              </w:rPr>
              <w:t>Failure</w:t>
            </w:r>
          </w:p>
        </w:tc>
        <w:tc>
          <w:tcPr>
            <w:tcW w:type="dxa" w:w="7200"/>
            <w:vAlign w:val="center"/>
          </w:tcPr>
          <w:p>
            <w:r/>
            <w:r>
              <w:rPr>
                <w:b w:val="0"/>
                <w:sz w:val="18"/>
              </w:rPr>
              <w:t>Escrowed USDC refunded to merchant wallet</w:t>
            </w:r>
          </w:p>
        </w:tc>
      </w:tr>
    </w:tbl>
    <w:p/>
    <w:p>
      <w:pPr>
        <w:pStyle w:val="Heading1"/>
        <w:spacing w:after="80" w:line="252" w:lineRule="auto"/>
      </w:pPr>
      <w:r>
        <w:t>9. Product Modules</w:t>
      </w:r>
    </w:p>
    <w:p>
      <w:pPr>
        <w:pStyle w:val="Heading2"/>
        <w:spacing w:after="80" w:line="252" w:lineRule="auto"/>
      </w:pPr>
      <w:r>
        <w:t>9.1 Merchant Contract Builder</w:t>
      </w:r>
    </w:p>
    <w:p>
      <w:pPr>
        <w:spacing w:after="80" w:line="252" w:lineRule="auto"/>
      </w:pPr>
      <w:r>
        <w:t>Captures target metric, threshold, minimum spend, evaluation window, success fee, campaign mode, and account context.</w:t>
      </w:r>
    </w:p>
    <w:p>
      <w:pPr>
        <w:pStyle w:val="Heading2"/>
        <w:spacing w:after="80" w:line="252" w:lineRule="auto"/>
      </w:pPr>
      <w:r>
        <w:t>9.2 ML Contract Underwriting Engine</w:t>
      </w:r>
    </w:p>
    <w:p>
      <w:pPr>
        <w:spacing w:after="80" w:line="252" w:lineRule="auto"/>
      </w:pPr>
      <w:r>
        <w:t>Estimates probability of achieving the requested outcome and recommends accept/counter/reject.</w:t>
      </w:r>
    </w:p>
    <w:p>
      <w:pPr>
        <w:pStyle w:val="Heading2"/>
        <w:spacing w:after="80" w:line="252" w:lineRule="auto"/>
      </w:pPr>
      <w:r>
        <w:t>9.3 LLM Contract Negotiation Agent</w:t>
      </w:r>
    </w:p>
    <w:p>
      <w:pPr>
        <w:spacing w:after="80" w:line="252" w:lineRule="auto"/>
      </w:pPr>
      <w:r>
        <w:t>Turns underwriting outputs into a merchant-facing explanation, counteroffer, and structured system decision.</w:t>
      </w:r>
    </w:p>
    <w:p>
      <w:pPr>
        <w:pStyle w:val="Heading2"/>
        <w:spacing w:after="80" w:line="252" w:lineRule="auto"/>
      </w:pPr>
      <w:r>
        <w:t>9.4 Arc USDC Escrow Contract</w:t>
      </w:r>
    </w:p>
    <w:p>
      <w:pPr>
        <w:spacing w:after="80" w:line="252" w:lineRule="auto"/>
      </w:pPr>
      <w:r>
        <w:t>Locks success fees and releases/refunds funds based on final resolution.</w:t>
      </w:r>
    </w:p>
    <w:p>
      <w:pPr>
        <w:pStyle w:val="Heading2"/>
        <w:spacing w:after="80" w:line="252" w:lineRule="auto"/>
      </w:pPr>
      <w:r>
        <w:t>9.5 Meta Ads MCP Execution Adapter</w:t>
      </w:r>
    </w:p>
    <w:p>
      <w:pPr>
        <w:spacing w:after="80" w:line="252" w:lineRule="auto"/>
      </w:pPr>
      <w:r>
        <w:t>Reads ad data and executes approved campaign actions through a pluggable provider interface.</w:t>
      </w:r>
    </w:p>
    <w:p>
      <w:pPr>
        <w:pStyle w:val="Heading2"/>
        <w:spacing w:after="80" w:line="252" w:lineRule="auto"/>
      </w:pPr>
      <w:r>
        <w:t>9.6 Live Performance Monitoring Engine</w:t>
      </w:r>
    </w:p>
    <w:p>
      <w:pPr>
        <w:spacing w:after="80" w:line="252" w:lineRule="auto"/>
      </w:pPr>
      <w:r>
        <w:t>Tracks spend, revenue, ROAS, remaining time, and success probability.</w:t>
      </w:r>
    </w:p>
    <w:p>
      <w:pPr>
        <w:pStyle w:val="Heading2"/>
        <w:spacing w:after="80" w:line="252" w:lineRule="auto"/>
      </w:pPr>
      <w:r>
        <w:t>9.7 Live Outcome Forecast Model</w:t>
      </w:r>
    </w:p>
    <w:p>
      <w:pPr>
        <w:spacing w:after="80" w:line="252" w:lineRule="auto"/>
      </w:pPr>
      <w:r>
        <w:t>Estimates whether the campaign is trending toward the contracted target.</w:t>
      </w:r>
    </w:p>
    <w:p>
      <w:pPr>
        <w:pStyle w:val="Heading2"/>
        <w:spacing w:after="80" w:line="252" w:lineRule="auto"/>
      </w:pPr>
      <w:r>
        <w:t>9.8 Settlement Resolution Engine</w:t>
      </w:r>
    </w:p>
    <w:p>
      <w:pPr>
        <w:spacing w:after="80" w:line="252" w:lineRule="auto"/>
      </w:pPr>
      <w:r>
        <w:t>Applies deterministic target rules and requests release/refund from escrow contract.</w:t>
      </w:r>
    </w:p>
    <w:p>
      <w:pPr>
        <w:pStyle w:val="Heading2"/>
        <w:spacing w:after="80" w:line="252" w:lineRule="auto"/>
      </w:pPr>
      <w:r>
        <w:t>9.9 Audit Trail &amp; Evidence Layer</w:t>
      </w:r>
    </w:p>
    <w:p>
      <w:pPr>
        <w:spacing w:after="80" w:line="252" w:lineRule="auto"/>
      </w:pPr>
      <w:r>
        <w:t>Logs contract, agent, execution, monitoring, and settlement events.</w:t>
      </w:r>
    </w:p>
    <w:p>
      <w:pPr>
        <w:pStyle w:val="Heading1"/>
        <w:spacing w:after="80" w:line="252" w:lineRule="auto"/>
      </w:pPr>
      <w:r>
        <w:t>10. Machine Learning Design</w:t>
      </w:r>
    </w:p>
    <w:p>
      <w:pPr>
        <w:pStyle w:val="Heading2"/>
        <w:spacing w:after="80" w:line="252" w:lineRule="auto"/>
      </w:pPr>
      <w:r>
        <w:t>10.1 Why ML is core</w:t>
      </w:r>
    </w:p>
    <w:p>
      <w:pPr>
        <w:spacing w:after="80" w:line="252" w:lineRule="auto"/>
      </w:pPr>
      <w:r>
        <w:t>Because the agent is paid only on outcomes, it must quantify uncertainty and manage economic risk. ML supports underwriting, pricing, strategy selection, and live contract monitoring.</w:t>
      </w:r>
    </w:p>
    <w:p>
      <w:pPr>
        <w:pStyle w:val="Heading2"/>
        <w:spacing w:after="80" w:line="252" w:lineRule="auto"/>
      </w:pPr>
      <w:r>
        <w:t>10.2 MVP ML models</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1F4E79"/>
            <w:vAlign w:val="center"/>
          </w:tcPr>
          <w:p>
            <w:r/>
            <w:r>
              <w:rPr>
                <w:b/>
                <w:color w:val="FFFFFF"/>
                <w:sz w:val="18"/>
              </w:rPr>
              <w:t>Model</w:t>
            </w:r>
          </w:p>
        </w:tc>
        <w:tc>
          <w:tcPr>
            <w:tcW w:type="dxa" w:w="4608"/>
            <w:shd w:fill="1F4E79"/>
            <w:vAlign w:val="center"/>
          </w:tcPr>
          <w:p>
            <w:r/>
            <w:r>
              <w:rPr>
                <w:b/>
                <w:color w:val="FFFFFF"/>
                <w:sz w:val="18"/>
              </w:rPr>
              <w:t>Primary question</w:t>
            </w:r>
          </w:p>
        </w:tc>
        <w:tc>
          <w:tcPr>
            <w:tcW w:type="dxa" w:w="2448"/>
            <w:shd w:fill="1F4E79"/>
            <w:vAlign w:val="center"/>
          </w:tcPr>
          <w:p>
            <w:r/>
            <w:r>
              <w:rPr>
                <w:b/>
                <w:color w:val="FFFFFF"/>
                <w:sz w:val="18"/>
              </w:rPr>
              <w:t>Primary output</w:t>
            </w:r>
          </w:p>
        </w:tc>
      </w:tr>
      <w:tr>
        <w:tc>
          <w:tcPr>
            <w:tcW w:type="dxa" w:w="3024"/>
            <w:vAlign w:val="center"/>
            <w:shd w:fill="EAF2F8"/>
          </w:tcPr>
          <w:p>
            <w:r/>
            <w:r>
              <w:rPr>
                <w:b w:val="0"/>
                <w:sz w:val="18"/>
              </w:rPr>
              <w:t>Contract Feasibility Model</w:t>
            </w:r>
          </w:p>
        </w:tc>
        <w:tc>
          <w:tcPr>
            <w:tcW w:type="dxa" w:w="4608"/>
            <w:vAlign w:val="center"/>
          </w:tcPr>
          <w:p>
            <w:r/>
            <w:r>
              <w:rPr>
                <w:b w:val="0"/>
                <w:sz w:val="18"/>
              </w:rPr>
              <w:t>If I accept this contract, how likely am I to achieve the target?</w:t>
            </w:r>
          </w:p>
        </w:tc>
        <w:tc>
          <w:tcPr>
            <w:tcW w:type="dxa" w:w="2448"/>
            <w:vAlign w:val="center"/>
          </w:tcPr>
          <w:p>
            <w:r/>
            <w:r>
              <w:rPr>
                <w:b w:val="0"/>
                <w:sz w:val="18"/>
              </w:rPr>
              <w:t>Success probability, risk level, accept/counter/reject suggestion</w:t>
            </w:r>
          </w:p>
        </w:tc>
      </w:tr>
      <w:tr>
        <w:tc>
          <w:tcPr>
            <w:tcW w:type="dxa" w:w="3024"/>
            <w:vAlign w:val="center"/>
            <w:shd w:fill="EAF2F8"/>
          </w:tcPr>
          <w:p>
            <w:r/>
            <w:r>
              <w:rPr>
                <w:b w:val="0"/>
                <w:sz w:val="18"/>
              </w:rPr>
              <w:t>Live Outcome Forecast Model</w:t>
            </w:r>
          </w:p>
        </w:tc>
        <w:tc>
          <w:tcPr>
            <w:tcW w:type="dxa" w:w="4608"/>
            <w:vAlign w:val="center"/>
          </w:tcPr>
          <w:p>
            <w:r/>
            <w:r>
              <w:rPr>
                <w:b w:val="0"/>
                <w:sz w:val="18"/>
              </w:rPr>
              <w:t>Given campaign progress, will the contract likely succeed by deadline?</w:t>
            </w:r>
          </w:p>
        </w:tc>
        <w:tc>
          <w:tcPr>
            <w:tcW w:type="dxa" w:w="2448"/>
            <w:vAlign w:val="center"/>
          </w:tcPr>
          <w:p>
            <w:r/>
            <w:r>
              <w:rPr>
                <w:b w:val="0"/>
                <w:sz w:val="18"/>
              </w:rPr>
              <w:t>Predicted final ROAS, probability of success, status</w:t>
            </w:r>
          </w:p>
        </w:tc>
      </w:tr>
    </w:tbl>
    <w:p/>
    <w:p>
      <w:pPr>
        <w:pStyle w:val="Heading2"/>
        <w:spacing w:after="80" w:line="252" w:lineRule="auto"/>
      </w:pPr>
      <w:r>
        <w:t>10.3 Recommended model types</w:t>
      </w:r>
    </w:p>
    <w:p>
      <w:pPr>
        <w:pStyle w:val="ListBullet"/>
        <w:spacing w:after="20"/>
      </w:pPr>
      <w:r>
        <w:t>Feasibility model: Logistic Regression baseline; XGBoost or LightGBM preferred if enough structured data exists.</w:t>
      </w:r>
    </w:p>
    <w:p>
      <w:pPr>
        <w:pStyle w:val="ListBullet"/>
        <w:spacing w:after="20"/>
      </w:pPr>
      <w:r>
        <w:t>Live forecast model: Gradient boosting regression/classification or a rule + model hybrid for MVP.</w:t>
      </w:r>
    </w:p>
    <w:p>
      <w:pPr>
        <w:pStyle w:val="Heading2"/>
        <w:spacing w:after="80" w:line="252" w:lineRule="auto"/>
      </w:pPr>
      <w:r>
        <w:t>10.4 Candidate input features</w:t>
      </w:r>
    </w:p>
    <w:tbl>
      <w:tblPr>
        <w:tblStyle w:val="TableGrid"/>
        <w:tblW w:type="auto" w:w="0"/>
        <w:jc w:val="center"/>
        <w:tblLook w:firstColumn="1" w:firstRow="1" w:lastColumn="0" w:lastRow="0" w:noHBand="0" w:noVBand="1" w:val="04A0"/>
      </w:tblPr>
      <w:tblGrid>
        <w:gridCol w:w="5083"/>
        <w:gridCol w:w="5083"/>
      </w:tblGrid>
      <w:tr>
        <w:tc>
          <w:tcPr>
            <w:tcW w:type="dxa" w:w="3600"/>
            <w:shd w:fill="1F4E79"/>
            <w:vAlign w:val="center"/>
          </w:tcPr>
          <w:p>
            <w:r/>
            <w:r>
              <w:rPr>
                <w:b/>
                <w:color w:val="FFFFFF"/>
                <w:sz w:val="18"/>
              </w:rPr>
              <w:t>Feature</w:t>
            </w:r>
          </w:p>
        </w:tc>
        <w:tc>
          <w:tcPr>
            <w:tcW w:type="dxa" w:w="6480"/>
            <w:shd w:fill="1F4E79"/>
            <w:vAlign w:val="center"/>
          </w:tcPr>
          <w:p>
            <w:r/>
            <w:r>
              <w:rPr>
                <w:b/>
                <w:color w:val="FFFFFF"/>
                <w:sz w:val="18"/>
              </w:rPr>
              <w:t>Description</w:t>
            </w:r>
          </w:p>
        </w:tc>
      </w:tr>
      <w:tr>
        <w:tc>
          <w:tcPr>
            <w:tcW w:type="dxa" w:w="3600"/>
            <w:vAlign w:val="center"/>
            <w:shd w:fill="EAF2F8"/>
          </w:tcPr>
          <w:p>
            <w:r/>
            <w:r>
              <w:rPr>
                <w:b w:val="0"/>
                <w:sz w:val="18"/>
              </w:rPr>
              <w:t>historical_roas_7d</w:t>
            </w:r>
          </w:p>
        </w:tc>
        <w:tc>
          <w:tcPr>
            <w:tcW w:type="dxa" w:w="6480"/>
            <w:vAlign w:val="center"/>
          </w:tcPr>
          <w:p>
            <w:r/>
            <w:r>
              <w:rPr>
                <w:b w:val="0"/>
                <w:sz w:val="18"/>
              </w:rPr>
              <w:t>Recent ROAS baseline</w:t>
            </w:r>
          </w:p>
        </w:tc>
      </w:tr>
      <w:tr>
        <w:tc>
          <w:tcPr>
            <w:tcW w:type="dxa" w:w="3600"/>
            <w:vAlign w:val="center"/>
            <w:shd w:fill="EAF2F8"/>
          </w:tcPr>
          <w:p>
            <w:r/>
            <w:r>
              <w:rPr>
                <w:b w:val="0"/>
                <w:sz w:val="18"/>
              </w:rPr>
              <w:t>historical_roas_30d</w:t>
            </w:r>
          </w:p>
        </w:tc>
        <w:tc>
          <w:tcPr>
            <w:tcW w:type="dxa" w:w="6480"/>
            <w:vAlign w:val="center"/>
          </w:tcPr>
          <w:p>
            <w:r/>
            <w:r>
              <w:rPr>
                <w:b w:val="0"/>
                <w:sz w:val="18"/>
              </w:rPr>
              <w:t>Longer baseline</w:t>
            </w:r>
          </w:p>
        </w:tc>
      </w:tr>
      <w:tr>
        <w:tc>
          <w:tcPr>
            <w:tcW w:type="dxa" w:w="3600"/>
            <w:vAlign w:val="center"/>
            <w:shd w:fill="EAF2F8"/>
          </w:tcPr>
          <w:p>
            <w:r/>
            <w:r>
              <w:rPr>
                <w:b w:val="0"/>
                <w:sz w:val="18"/>
              </w:rPr>
              <w:t>avg_daily_spend</w:t>
            </w:r>
          </w:p>
        </w:tc>
        <w:tc>
          <w:tcPr>
            <w:tcW w:type="dxa" w:w="6480"/>
            <w:vAlign w:val="center"/>
          </w:tcPr>
          <w:p>
            <w:r/>
            <w:r>
              <w:rPr>
                <w:b w:val="0"/>
                <w:sz w:val="18"/>
              </w:rPr>
              <w:t>Spend scale</w:t>
            </w:r>
          </w:p>
        </w:tc>
      </w:tr>
      <w:tr>
        <w:tc>
          <w:tcPr>
            <w:tcW w:type="dxa" w:w="3600"/>
            <w:vAlign w:val="center"/>
            <w:shd w:fill="EAF2F8"/>
          </w:tcPr>
          <w:p>
            <w:r/>
            <w:r>
              <w:rPr>
                <w:b w:val="0"/>
                <w:sz w:val="18"/>
              </w:rPr>
              <w:t>requested_target_roas</w:t>
            </w:r>
          </w:p>
        </w:tc>
        <w:tc>
          <w:tcPr>
            <w:tcW w:type="dxa" w:w="6480"/>
            <w:vAlign w:val="center"/>
          </w:tcPr>
          <w:p>
            <w:r/>
            <w:r>
              <w:rPr>
                <w:b w:val="0"/>
                <w:sz w:val="18"/>
              </w:rPr>
              <w:t>User requested target</w:t>
            </w:r>
          </w:p>
        </w:tc>
      </w:tr>
      <w:tr>
        <w:tc>
          <w:tcPr>
            <w:tcW w:type="dxa" w:w="3600"/>
            <w:vAlign w:val="center"/>
            <w:shd w:fill="EAF2F8"/>
          </w:tcPr>
          <w:p>
            <w:r/>
            <w:r>
              <w:rPr>
                <w:b w:val="0"/>
                <w:sz w:val="18"/>
              </w:rPr>
              <w:t>minimum_spend</w:t>
            </w:r>
          </w:p>
        </w:tc>
        <w:tc>
          <w:tcPr>
            <w:tcW w:type="dxa" w:w="6480"/>
            <w:vAlign w:val="center"/>
          </w:tcPr>
          <w:p>
            <w:r/>
            <w:r>
              <w:rPr>
                <w:b w:val="0"/>
                <w:sz w:val="18"/>
              </w:rPr>
              <w:t>Spend floor before resolution</w:t>
            </w:r>
          </w:p>
        </w:tc>
      </w:tr>
      <w:tr>
        <w:tc>
          <w:tcPr>
            <w:tcW w:type="dxa" w:w="3600"/>
            <w:vAlign w:val="center"/>
            <w:shd w:fill="EAF2F8"/>
          </w:tcPr>
          <w:p>
            <w:r/>
            <w:r>
              <w:rPr>
                <w:b w:val="0"/>
                <w:sz w:val="18"/>
              </w:rPr>
              <w:t>time_window_days</w:t>
            </w:r>
          </w:p>
        </w:tc>
        <w:tc>
          <w:tcPr>
            <w:tcW w:type="dxa" w:w="6480"/>
            <w:vAlign w:val="center"/>
          </w:tcPr>
          <w:p>
            <w:r/>
            <w:r>
              <w:rPr>
                <w:b w:val="0"/>
                <w:sz w:val="18"/>
              </w:rPr>
              <w:t>Contract duration</w:t>
            </w:r>
          </w:p>
        </w:tc>
      </w:tr>
      <w:tr>
        <w:tc>
          <w:tcPr>
            <w:tcW w:type="dxa" w:w="3600"/>
            <w:vAlign w:val="center"/>
            <w:shd w:fill="EAF2F8"/>
          </w:tcPr>
          <w:p>
            <w:r/>
            <w:r>
              <w:rPr>
                <w:b w:val="0"/>
                <w:sz w:val="18"/>
              </w:rPr>
              <w:t>campaign_type</w:t>
            </w:r>
          </w:p>
        </w:tc>
        <w:tc>
          <w:tcPr>
            <w:tcW w:type="dxa" w:w="6480"/>
            <w:vAlign w:val="center"/>
          </w:tcPr>
          <w:p>
            <w:r/>
            <w:r>
              <w:rPr>
                <w:b w:val="0"/>
                <w:sz w:val="18"/>
              </w:rPr>
              <w:t>New vs. optimize existing</w:t>
            </w:r>
          </w:p>
        </w:tc>
      </w:tr>
      <w:tr>
        <w:tc>
          <w:tcPr>
            <w:tcW w:type="dxa" w:w="3600"/>
            <w:vAlign w:val="center"/>
            <w:shd w:fill="EAF2F8"/>
          </w:tcPr>
          <w:p>
            <w:r/>
            <w:r>
              <w:rPr>
                <w:b w:val="0"/>
                <w:sz w:val="18"/>
              </w:rPr>
              <w:t>aov</w:t>
            </w:r>
          </w:p>
        </w:tc>
        <w:tc>
          <w:tcPr>
            <w:tcW w:type="dxa" w:w="6480"/>
            <w:vAlign w:val="center"/>
          </w:tcPr>
          <w:p>
            <w:r/>
            <w:r>
              <w:rPr>
                <w:b w:val="0"/>
                <w:sz w:val="18"/>
              </w:rPr>
              <w:t>Average order value, if available</w:t>
            </w:r>
          </w:p>
        </w:tc>
      </w:tr>
    </w:tbl>
    <w:p/>
    <w:p>
      <w:pPr>
        <w:pStyle w:val="Heading2"/>
        <w:spacing w:after="80" w:line="252" w:lineRule="auto"/>
      </w:pPr>
      <w:r>
        <w:t>10.5 Underwriting decision policy</w:t>
      </w:r>
    </w:p>
    <w:tbl>
      <w:tblPr>
        <w:tblStyle w:val="TableGrid"/>
        <w:tblW w:type="auto" w:w="0"/>
        <w:jc w:val="center"/>
        <w:tblLook w:firstColumn="1" w:firstRow="1" w:lastColumn="0" w:lastRow="0" w:noHBand="0" w:noVBand="1" w:val="04A0"/>
      </w:tblPr>
      <w:tblGrid>
        <w:gridCol w:w="5083"/>
        <w:gridCol w:w="5083"/>
      </w:tblGrid>
      <w:tr>
        <w:tc>
          <w:tcPr>
            <w:tcW w:type="dxa" w:w="4608"/>
            <w:shd w:fill="1F4E79"/>
            <w:vAlign w:val="center"/>
          </w:tcPr>
          <w:p>
            <w:r/>
            <w:r>
              <w:rPr>
                <w:b/>
                <w:color w:val="FFFFFF"/>
                <w:sz w:val="18"/>
              </w:rPr>
              <w:t>Estimated success probability</w:t>
            </w:r>
          </w:p>
        </w:tc>
        <w:tc>
          <w:tcPr>
            <w:tcW w:type="dxa" w:w="5472"/>
            <w:shd w:fill="1F4E79"/>
            <w:vAlign w:val="center"/>
          </w:tcPr>
          <w:p>
            <w:r/>
            <w:r>
              <w:rPr>
                <w:b/>
                <w:color w:val="FFFFFF"/>
                <w:sz w:val="18"/>
              </w:rPr>
              <w:t>Agent action</w:t>
            </w:r>
          </w:p>
        </w:tc>
      </w:tr>
      <w:tr>
        <w:tc>
          <w:tcPr>
            <w:tcW w:type="dxa" w:w="4608"/>
            <w:vAlign w:val="center"/>
            <w:shd w:fill="EAF2F8"/>
          </w:tcPr>
          <w:p>
            <w:r/>
            <w:r>
              <w:rPr>
                <w:b w:val="0"/>
                <w:sz w:val="18"/>
              </w:rPr>
              <w:t>&gt;= 65%</w:t>
            </w:r>
          </w:p>
        </w:tc>
        <w:tc>
          <w:tcPr>
            <w:tcW w:type="dxa" w:w="5472"/>
            <w:vAlign w:val="center"/>
          </w:tcPr>
          <w:p>
            <w:r/>
            <w:r>
              <w:rPr>
                <w:b w:val="0"/>
                <w:sz w:val="18"/>
              </w:rPr>
              <w:t>Accept</w:t>
            </w:r>
          </w:p>
        </w:tc>
      </w:tr>
      <w:tr>
        <w:tc>
          <w:tcPr>
            <w:tcW w:type="dxa" w:w="4608"/>
            <w:vAlign w:val="center"/>
            <w:shd w:fill="EAF2F8"/>
          </w:tcPr>
          <w:p>
            <w:r/>
            <w:r>
              <w:rPr>
                <w:b w:val="0"/>
                <w:sz w:val="18"/>
              </w:rPr>
              <w:t>35%–64%</w:t>
            </w:r>
          </w:p>
        </w:tc>
        <w:tc>
          <w:tcPr>
            <w:tcW w:type="dxa" w:w="5472"/>
            <w:vAlign w:val="center"/>
          </w:tcPr>
          <w:p>
            <w:r/>
            <w:r>
              <w:rPr>
                <w:b w:val="0"/>
                <w:sz w:val="18"/>
              </w:rPr>
              <w:t>Counteroffer</w:t>
            </w:r>
          </w:p>
        </w:tc>
      </w:tr>
      <w:tr>
        <w:tc>
          <w:tcPr>
            <w:tcW w:type="dxa" w:w="4608"/>
            <w:vAlign w:val="center"/>
            <w:shd w:fill="EAF2F8"/>
          </w:tcPr>
          <w:p>
            <w:r/>
            <w:r>
              <w:rPr>
                <w:b w:val="0"/>
                <w:sz w:val="18"/>
              </w:rPr>
              <w:t>&lt; 35%</w:t>
            </w:r>
          </w:p>
        </w:tc>
        <w:tc>
          <w:tcPr>
            <w:tcW w:type="dxa" w:w="5472"/>
            <w:vAlign w:val="center"/>
          </w:tcPr>
          <w:p>
            <w:r/>
            <w:r>
              <w:rPr>
                <w:b w:val="0"/>
                <w:sz w:val="18"/>
              </w:rPr>
              <w:t>Reject or request revised terms</w:t>
            </w:r>
          </w:p>
        </w:tc>
      </w:tr>
    </w:tbl>
    <w:p/>
    <w:p>
      <w:pPr>
        <w:pStyle w:val="Heading1"/>
        <w:spacing w:after="80" w:line="252" w:lineRule="auto"/>
      </w:pPr>
      <w:r>
        <w:t>11. Decision Logic</w:t>
      </w:r>
    </w:p>
    <w:p>
      <w:pPr>
        <w:pStyle w:val="Heading2"/>
        <w:spacing w:after="80" w:line="252" w:lineRule="auto"/>
      </w:pPr>
      <w:r>
        <w:t>11.1 Accept / counter / reject</w:t>
      </w:r>
    </w:p>
    <w:tbl>
      <w:tblPr>
        <w:tblStyle w:val="TableGrid"/>
        <w:tblW w:type="auto" w:w="0"/>
        <w:jc w:val="center"/>
        <w:tblLook w:firstColumn="1" w:firstRow="1" w:lastColumn="0" w:lastRow="0" w:noHBand="0" w:noVBand="1" w:val="04A0"/>
      </w:tblPr>
      <w:tblGrid>
        <w:gridCol w:w="5083"/>
        <w:gridCol w:w="5083"/>
      </w:tblGrid>
      <w:tr>
        <w:tc>
          <w:tcPr>
            <w:tcW w:type="dxa" w:w="2304"/>
            <w:shd w:fill="1F4E79"/>
            <w:vAlign w:val="center"/>
          </w:tcPr>
          <w:p>
            <w:r/>
            <w:r>
              <w:rPr>
                <w:b/>
                <w:color w:val="FFFFFF"/>
                <w:sz w:val="18"/>
              </w:rPr>
              <w:t>Decision</w:t>
            </w:r>
          </w:p>
        </w:tc>
        <w:tc>
          <w:tcPr>
            <w:tcW w:type="dxa" w:w="7776"/>
            <w:shd w:fill="1F4E79"/>
            <w:vAlign w:val="center"/>
          </w:tcPr>
          <w:p>
            <w:r/>
            <w:r>
              <w:rPr>
                <w:b/>
                <w:color w:val="FFFFFF"/>
                <w:sz w:val="18"/>
              </w:rPr>
              <w:t>Criteria</w:t>
            </w:r>
          </w:p>
        </w:tc>
      </w:tr>
      <w:tr>
        <w:tc>
          <w:tcPr>
            <w:tcW w:type="dxa" w:w="2304"/>
            <w:vAlign w:val="center"/>
            <w:shd w:fill="EAF2F8"/>
          </w:tcPr>
          <w:p>
            <w:r/>
            <w:r>
              <w:rPr>
                <w:b w:val="0"/>
                <w:sz w:val="18"/>
              </w:rPr>
              <w:t>Accept</w:t>
            </w:r>
          </w:p>
        </w:tc>
        <w:tc>
          <w:tcPr>
            <w:tcW w:type="dxa" w:w="7776"/>
            <w:vAlign w:val="center"/>
          </w:tcPr>
          <w:p>
            <w:r/>
            <w:r>
              <w:rPr>
                <w:b w:val="0"/>
                <w:sz w:val="18"/>
              </w:rPr>
              <w:t>Probability high enough; target is realistic; time window and spend are sufficient.</w:t>
            </w:r>
          </w:p>
        </w:tc>
      </w:tr>
      <w:tr>
        <w:tc>
          <w:tcPr>
            <w:tcW w:type="dxa" w:w="2304"/>
            <w:vAlign w:val="center"/>
            <w:shd w:fill="EAF2F8"/>
          </w:tcPr>
          <w:p>
            <w:r/>
            <w:r>
              <w:rPr>
                <w:b w:val="0"/>
                <w:sz w:val="18"/>
              </w:rPr>
              <w:t>Counteroffer</w:t>
            </w:r>
          </w:p>
        </w:tc>
        <w:tc>
          <w:tcPr>
            <w:tcW w:type="dxa" w:w="7776"/>
            <w:vAlign w:val="center"/>
          </w:tcPr>
          <w:p>
            <w:r/>
            <w:r>
              <w:rPr>
                <w:b w:val="0"/>
                <w:sz w:val="18"/>
              </w:rPr>
              <w:t>Contract is possible only with revised target, fee, time window, or spend requirements.</w:t>
            </w:r>
          </w:p>
        </w:tc>
      </w:tr>
      <w:tr>
        <w:tc>
          <w:tcPr>
            <w:tcW w:type="dxa" w:w="2304"/>
            <w:vAlign w:val="center"/>
            <w:shd w:fill="EAF2F8"/>
          </w:tcPr>
          <w:p>
            <w:r/>
            <w:r>
              <w:rPr>
                <w:b w:val="0"/>
                <w:sz w:val="18"/>
              </w:rPr>
              <w:t>Reject</w:t>
            </w:r>
          </w:p>
        </w:tc>
        <w:tc>
          <w:tcPr>
            <w:tcW w:type="dxa" w:w="7776"/>
            <w:vAlign w:val="center"/>
          </w:tcPr>
          <w:p>
            <w:r/>
            <w:r>
              <w:rPr>
                <w:b w:val="0"/>
                <w:sz w:val="18"/>
              </w:rPr>
              <w:t>Target probability is too low, data is insufficient, or required permissions are missing.</w:t>
            </w:r>
          </w:p>
        </w:tc>
      </w:tr>
    </w:tbl>
    <w:p/>
    <w:p>
      <w:pPr>
        <w:pStyle w:val="Heading2"/>
        <w:spacing w:after="80" w:line="252" w:lineRule="auto"/>
      </w:pPr>
      <w:r>
        <w:t>11.2 Fee recommendation logic</w:t>
      </w:r>
    </w:p>
    <w:p>
      <w:pPr>
        <w:pStyle w:val="ListBullet"/>
        <w:spacing w:after="20"/>
      </w:pPr>
      <w:r>
        <w:t>Higher target difficulty -&gt; higher success fee.</w:t>
      </w:r>
    </w:p>
    <w:p>
      <w:pPr>
        <w:pStyle w:val="ListBullet"/>
        <w:spacing w:after="20"/>
      </w:pPr>
      <w:r>
        <w:t>Lower success probability -&gt; higher success fee or rejection.</w:t>
      </w:r>
    </w:p>
    <w:p>
      <w:pPr>
        <w:pStyle w:val="ListBullet"/>
        <w:spacing w:after="20"/>
      </w:pPr>
      <w:r>
        <w:t>Longer time window -&gt; lower relative execution risk.</w:t>
      </w:r>
    </w:p>
    <w:p>
      <w:pPr>
        <w:pStyle w:val="ListBullet"/>
        <w:spacing w:after="20"/>
      </w:pPr>
      <w:r>
        <w:t>Higher budget or business impact -&gt; higher value ceiling for the agent fee.</w:t>
      </w:r>
    </w:p>
    <w:p>
      <w:pPr>
        <w:pStyle w:val="Heading1"/>
        <w:spacing w:after="80" w:line="252" w:lineRule="auto"/>
      </w:pPr>
      <w:r>
        <w:t>12. User Interface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1F4E79"/>
            <w:vAlign w:val="center"/>
          </w:tcPr>
          <w:p>
            <w:r/>
            <w:r>
              <w:rPr>
                <w:b/>
                <w:color w:val="FFFFFF"/>
                <w:sz w:val="18"/>
              </w:rPr>
              <w:t>Screen</w:t>
            </w:r>
          </w:p>
        </w:tc>
        <w:tc>
          <w:tcPr>
            <w:tcW w:type="dxa" w:w="3024"/>
            <w:shd w:fill="1F4E79"/>
            <w:vAlign w:val="center"/>
          </w:tcPr>
          <w:p>
            <w:r/>
            <w:r>
              <w:rPr>
                <w:b/>
                <w:color w:val="FFFFFF"/>
                <w:sz w:val="18"/>
              </w:rPr>
              <w:t>Purpose</w:t>
            </w:r>
          </w:p>
        </w:tc>
        <w:tc>
          <w:tcPr>
            <w:tcW w:type="dxa" w:w="4608"/>
            <w:shd w:fill="1F4E79"/>
            <w:vAlign w:val="center"/>
          </w:tcPr>
          <w:p>
            <w:r/>
            <w:r>
              <w:rPr>
                <w:b/>
                <w:color w:val="FFFFFF"/>
                <w:sz w:val="18"/>
              </w:rPr>
              <w:t>Must show</w:t>
            </w:r>
          </w:p>
        </w:tc>
      </w:tr>
      <w:tr>
        <w:tc>
          <w:tcPr>
            <w:tcW w:type="dxa" w:w="2448"/>
            <w:vAlign w:val="center"/>
            <w:shd w:fill="EAF2F8"/>
          </w:tcPr>
          <w:p>
            <w:r/>
            <w:r>
              <w:rPr>
                <w:b w:val="0"/>
                <w:sz w:val="18"/>
              </w:rPr>
              <w:t>Landing Page</w:t>
            </w:r>
          </w:p>
        </w:tc>
        <w:tc>
          <w:tcPr>
            <w:tcW w:type="dxa" w:w="3024"/>
            <w:vAlign w:val="center"/>
          </w:tcPr>
          <w:p>
            <w:r/>
            <w:r>
              <w:rPr>
                <w:b w:val="0"/>
                <w:sz w:val="18"/>
              </w:rPr>
              <w:t>Explain the model</w:t>
            </w:r>
          </w:p>
        </w:tc>
        <w:tc>
          <w:tcPr>
            <w:tcW w:type="dxa" w:w="4608"/>
            <w:vAlign w:val="center"/>
          </w:tcPr>
          <w:p>
            <w:r/>
            <w:r>
              <w:rPr>
                <w:b w:val="0"/>
                <w:sz w:val="18"/>
              </w:rPr>
              <w:t>Pay only on outcomes, USDC escrow, clear CTA</w:t>
            </w:r>
          </w:p>
        </w:tc>
      </w:tr>
      <w:tr>
        <w:tc>
          <w:tcPr>
            <w:tcW w:type="dxa" w:w="2448"/>
            <w:vAlign w:val="center"/>
            <w:shd w:fill="EAF2F8"/>
          </w:tcPr>
          <w:p>
            <w:r/>
            <w:r>
              <w:rPr>
                <w:b w:val="0"/>
                <w:sz w:val="18"/>
              </w:rPr>
              <w:t>Contract Builder</w:t>
            </w:r>
          </w:p>
        </w:tc>
        <w:tc>
          <w:tcPr>
            <w:tcW w:type="dxa" w:w="3024"/>
            <w:vAlign w:val="center"/>
          </w:tcPr>
          <w:p>
            <w:r/>
            <w:r>
              <w:rPr>
                <w:b w:val="0"/>
                <w:sz w:val="18"/>
              </w:rPr>
              <w:t>Create outcome contract</w:t>
            </w:r>
          </w:p>
        </w:tc>
        <w:tc>
          <w:tcPr>
            <w:tcW w:type="dxa" w:w="4608"/>
            <w:vAlign w:val="center"/>
          </w:tcPr>
          <w:p>
            <w:r/>
            <w:r>
              <w:rPr>
                <w:b w:val="0"/>
                <w:sz w:val="18"/>
              </w:rPr>
              <w:t>Target, spend floor, deadline, fee</w:t>
            </w:r>
          </w:p>
        </w:tc>
      </w:tr>
      <w:tr>
        <w:tc>
          <w:tcPr>
            <w:tcW w:type="dxa" w:w="2448"/>
            <w:vAlign w:val="center"/>
            <w:shd w:fill="EAF2F8"/>
          </w:tcPr>
          <w:p>
            <w:r/>
            <w:r>
              <w:rPr>
                <w:b w:val="0"/>
                <w:sz w:val="18"/>
              </w:rPr>
              <w:t>Agent Evaluation</w:t>
            </w:r>
          </w:p>
        </w:tc>
        <w:tc>
          <w:tcPr>
            <w:tcW w:type="dxa" w:w="3024"/>
            <w:vAlign w:val="center"/>
          </w:tcPr>
          <w:p>
            <w:r/>
            <w:r>
              <w:rPr>
                <w:b w:val="0"/>
                <w:sz w:val="18"/>
              </w:rPr>
              <w:t>Show underwriting result</w:t>
            </w:r>
          </w:p>
        </w:tc>
        <w:tc>
          <w:tcPr>
            <w:tcW w:type="dxa" w:w="4608"/>
            <w:vAlign w:val="center"/>
          </w:tcPr>
          <w:p>
            <w:r/>
            <w:r>
              <w:rPr>
                <w:b w:val="0"/>
                <w:sz w:val="18"/>
              </w:rPr>
              <w:t>Probability, risk, accept/counter/reject</w:t>
            </w:r>
          </w:p>
        </w:tc>
      </w:tr>
      <w:tr>
        <w:tc>
          <w:tcPr>
            <w:tcW w:type="dxa" w:w="2448"/>
            <w:vAlign w:val="center"/>
            <w:shd w:fill="EAF2F8"/>
          </w:tcPr>
          <w:p>
            <w:r/>
            <w:r>
              <w:rPr>
                <w:b w:val="0"/>
                <w:sz w:val="18"/>
              </w:rPr>
              <w:t>Escrow Funding</w:t>
            </w:r>
          </w:p>
        </w:tc>
        <w:tc>
          <w:tcPr>
            <w:tcW w:type="dxa" w:w="3024"/>
            <w:vAlign w:val="center"/>
          </w:tcPr>
          <w:p>
            <w:r/>
            <w:r>
              <w:rPr>
                <w:b w:val="0"/>
                <w:sz w:val="18"/>
              </w:rPr>
              <w:t>Commit success fee</w:t>
            </w:r>
          </w:p>
        </w:tc>
        <w:tc>
          <w:tcPr>
            <w:tcW w:type="dxa" w:w="4608"/>
            <w:vAlign w:val="center"/>
          </w:tcPr>
          <w:p>
            <w:r/>
            <w:r>
              <w:rPr>
                <w:b w:val="0"/>
                <w:sz w:val="18"/>
              </w:rPr>
              <w:t>USDC amount, wallet status, contract summary</w:t>
            </w:r>
          </w:p>
        </w:tc>
      </w:tr>
      <w:tr>
        <w:tc>
          <w:tcPr>
            <w:tcW w:type="dxa" w:w="2448"/>
            <w:vAlign w:val="center"/>
            <w:shd w:fill="EAF2F8"/>
          </w:tcPr>
          <w:p>
            <w:r/>
            <w:r>
              <w:rPr>
                <w:b w:val="0"/>
                <w:sz w:val="18"/>
              </w:rPr>
              <w:t>Strategy Approval</w:t>
            </w:r>
          </w:p>
        </w:tc>
        <w:tc>
          <w:tcPr>
            <w:tcW w:type="dxa" w:w="3024"/>
            <w:vAlign w:val="center"/>
          </w:tcPr>
          <w:p>
            <w:r/>
            <w:r>
              <w:rPr>
                <w:b w:val="0"/>
                <w:sz w:val="18"/>
              </w:rPr>
              <w:t>Authorize execution</w:t>
            </w:r>
          </w:p>
        </w:tc>
        <w:tc>
          <w:tcPr>
            <w:tcW w:type="dxa" w:w="4608"/>
            <w:vAlign w:val="center"/>
          </w:tcPr>
          <w:p>
            <w:r/>
            <w:r>
              <w:rPr>
                <w:b w:val="0"/>
                <w:sz w:val="18"/>
              </w:rPr>
              <w:t>Action plan, rationale, approve button</w:t>
            </w:r>
          </w:p>
        </w:tc>
      </w:tr>
      <w:tr>
        <w:tc>
          <w:tcPr>
            <w:tcW w:type="dxa" w:w="2448"/>
            <w:vAlign w:val="center"/>
            <w:shd w:fill="EAF2F8"/>
          </w:tcPr>
          <w:p>
            <w:r/>
            <w:r>
              <w:rPr>
                <w:b w:val="0"/>
                <w:sz w:val="18"/>
              </w:rPr>
              <w:t>Live Dashboard</w:t>
            </w:r>
          </w:p>
        </w:tc>
        <w:tc>
          <w:tcPr>
            <w:tcW w:type="dxa" w:w="3024"/>
            <w:vAlign w:val="center"/>
          </w:tcPr>
          <w:p>
            <w:r/>
            <w:r>
              <w:rPr>
                <w:b w:val="0"/>
                <w:sz w:val="18"/>
              </w:rPr>
              <w:t>Track progress</w:t>
            </w:r>
          </w:p>
        </w:tc>
        <w:tc>
          <w:tcPr>
            <w:tcW w:type="dxa" w:w="4608"/>
            <w:vAlign w:val="center"/>
          </w:tcPr>
          <w:p>
            <w:r/>
            <w:r>
              <w:rPr>
                <w:b w:val="0"/>
                <w:sz w:val="18"/>
              </w:rPr>
              <w:t>Spend, ROAS, success probability, status</w:t>
            </w:r>
          </w:p>
        </w:tc>
      </w:tr>
      <w:tr>
        <w:tc>
          <w:tcPr>
            <w:tcW w:type="dxa" w:w="2448"/>
            <w:vAlign w:val="center"/>
            <w:shd w:fill="EAF2F8"/>
          </w:tcPr>
          <w:p>
            <w:r/>
            <w:r>
              <w:rPr>
                <w:b w:val="0"/>
                <w:sz w:val="18"/>
              </w:rPr>
              <w:t>Resolution Page</w:t>
            </w:r>
          </w:p>
        </w:tc>
        <w:tc>
          <w:tcPr>
            <w:tcW w:type="dxa" w:w="3024"/>
            <w:vAlign w:val="center"/>
          </w:tcPr>
          <w:p>
            <w:r/>
            <w:r>
              <w:rPr>
                <w:b w:val="0"/>
                <w:sz w:val="18"/>
              </w:rPr>
              <w:t>Close contract</w:t>
            </w:r>
          </w:p>
        </w:tc>
        <w:tc>
          <w:tcPr>
            <w:tcW w:type="dxa" w:w="4608"/>
            <w:vAlign w:val="center"/>
          </w:tcPr>
          <w:p>
            <w:r/>
            <w:r>
              <w:rPr>
                <w:b w:val="0"/>
                <w:sz w:val="18"/>
              </w:rPr>
              <w:t>Final metrics, payout/refund, transaction proof</w:t>
            </w:r>
          </w:p>
        </w:tc>
      </w:tr>
    </w:tbl>
    <w:p/>
    <w:p>
      <w:pPr>
        <w:pStyle w:val="Heading1"/>
        <w:spacing w:after="80" w:line="252" w:lineRule="auto"/>
      </w:pPr>
      <w:r>
        <w:t>13. Data Model</w:t>
      </w:r>
    </w:p>
    <w:tbl>
      <w:tblPr>
        <w:tblStyle w:val="TableGrid"/>
        <w:tblW w:type="auto" w:w="0"/>
        <w:jc w:val="center"/>
        <w:tblLook w:firstColumn="1" w:firstRow="1" w:lastColumn="0" w:lastRow="0" w:noHBand="0" w:noVBand="1" w:val="04A0"/>
      </w:tblPr>
      <w:tblGrid>
        <w:gridCol w:w="5083"/>
        <w:gridCol w:w="5083"/>
      </w:tblGrid>
      <w:tr>
        <w:tc>
          <w:tcPr>
            <w:tcW w:type="dxa" w:w="3024"/>
            <w:shd w:fill="1F4E79"/>
            <w:vAlign w:val="center"/>
          </w:tcPr>
          <w:p>
            <w:r/>
            <w:r>
              <w:rPr>
                <w:b/>
                <w:color w:val="FFFFFF"/>
                <w:sz w:val="18"/>
              </w:rPr>
              <w:t>Entity</w:t>
            </w:r>
          </w:p>
        </w:tc>
        <w:tc>
          <w:tcPr>
            <w:tcW w:type="dxa" w:w="7056"/>
            <w:shd w:fill="1F4E79"/>
            <w:vAlign w:val="center"/>
          </w:tcPr>
          <w:p>
            <w:r/>
            <w:r>
              <w:rPr>
                <w:b/>
                <w:color w:val="FFFFFF"/>
                <w:sz w:val="18"/>
              </w:rPr>
              <w:t>Core fields</w:t>
            </w:r>
          </w:p>
        </w:tc>
      </w:tr>
      <w:tr>
        <w:tc>
          <w:tcPr>
            <w:tcW w:type="dxa" w:w="3024"/>
            <w:vAlign w:val="center"/>
            <w:shd w:fill="EAF2F8"/>
          </w:tcPr>
          <w:p>
            <w:r/>
            <w:r>
              <w:rPr>
                <w:b w:val="0"/>
                <w:sz w:val="18"/>
              </w:rPr>
              <w:t>users</w:t>
            </w:r>
          </w:p>
        </w:tc>
        <w:tc>
          <w:tcPr>
            <w:tcW w:type="dxa" w:w="7056"/>
            <w:vAlign w:val="center"/>
          </w:tcPr>
          <w:p>
            <w:r/>
            <w:r>
              <w:rPr>
                <w:b w:val="0"/>
                <w:sz w:val="18"/>
              </w:rPr>
              <w:t>id, role, wallet_address, email, created_at</w:t>
            </w:r>
          </w:p>
        </w:tc>
      </w:tr>
      <w:tr>
        <w:tc>
          <w:tcPr>
            <w:tcW w:type="dxa" w:w="3024"/>
            <w:vAlign w:val="center"/>
            <w:shd w:fill="EAF2F8"/>
          </w:tcPr>
          <w:p>
            <w:r/>
            <w:r>
              <w:rPr>
                <w:b w:val="0"/>
                <w:sz w:val="18"/>
              </w:rPr>
              <w:t>performance_contracts</w:t>
            </w:r>
          </w:p>
        </w:tc>
        <w:tc>
          <w:tcPr>
            <w:tcW w:type="dxa" w:w="7056"/>
            <w:vAlign w:val="center"/>
          </w:tcPr>
          <w:p>
            <w:r/>
            <w:r>
              <w:rPr>
                <w:b w:val="0"/>
                <w:sz w:val="18"/>
              </w:rPr>
              <w:t>id, merchant_id, target_metric, threshold, minimum_spend, time_window, fee, status</w:t>
            </w:r>
          </w:p>
        </w:tc>
      </w:tr>
      <w:tr>
        <w:tc>
          <w:tcPr>
            <w:tcW w:type="dxa" w:w="3024"/>
            <w:vAlign w:val="center"/>
            <w:shd w:fill="EAF2F8"/>
          </w:tcPr>
          <w:p>
            <w:r/>
            <w:r>
              <w:rPr>
                <w:b w:val="0"/>
                <w:sz w:val="18"/>
              </w:rPr>
              <w:t>underwriting_results</w:t>
            </w:r>
          </w:p>
        </w:tc>
        <w:tc>
          <w:tcPr>
            <w:tcW w:type="dxa" w:w="7056"/>
            <w:vAlign w:val="center"/>
          </w:tcPr>
          <w:p>
            <w:r/>
            <w:r>
              <w:rPr>
                <w:b w:val="0"/>
                <w:sz w:val="18"/>
              </w:rPr>
              <w:t>contract_id, probability, risk_level, recommendation, expected_roas_range</w:t>
            </w:r>
          </w:p>
        </w:tc>
      </w:tr>
      <w:tr>
        <w:tc>
          <w:tcPr>
            <w:tcW w:type="dxa" w:w="3024"/>
            <w:vAlign w:val="center"/>
            <w:shd w:fill="EAF2F8"/>
          </w:tcPr>
          <w:p>
            <w:r/>
            <w:r>
              <w:rPr>
                <w:b w:val="0"/>
                <w:sz w:val="18"/>
              </w:rPr>
              <w:t>agent_offers</w:t>
            </w:r>
          </w:p>
        </w:tc>
        <w:tc>
          <w:tcPr>
            <w:tcW w:type="dxa" w:w="7056"/>
            <w:vAlign w:val="center"/>
          </w:tcPr>
          <w:p>
            <w:r/>
            <w:r>
              <w:rPr>
                <w:b w:val="0"/>
                <w:sz w:val="18"/>
              </w:rPr>
              <w:t>contract_id, offer_type, message, revised terms</w:t>
            </w:r>
          </w:p>
        </w:tc>
      </w:tr>
      <w:tr>
        <w:tc>
          <w:tcPr>
            <w:tcW w:type="dxa" w:w="3024"/>
            <w:vAlign w:val="center"/>
            <w:shd w:fill="EAF2F8"/>
          </w:tcPr>
          <w:p>
            <w:r/>
            <w:r>
              <w:rPr>
                <w:b w:val="0"/>
                <w:sz w:val="18"/>
              </w:rPr>
              <w:t>escrow_records</w:t>
            </w:r>
          </w:p>
        </w:tc>
        <w:tc>
          <w:tcPr>
            <w:tcW w:type="dxa" w:w="7056"/>
            <w:vAlign w:val="center"/>
          </w:tcPr>
          <w:p>
            <w:r/>
            <w:r>
              <w:rPr>
                <w:b w:val="0"/>
                <w:sz w:val="18"/>
              </w:rPr>
              <w:t>contract_id, chain_contract_id, tx_hash, amount, status</w:t>
            </w:r>
          </w:p>
        </w:tc>
      </w:tr>
      <w:tr>
        <w:tc>
          <w:tcPr>
            <w:tcW w:type="dxa" w:w="3024"/>
            <w:vAlign w:val="center"/>
            <w:shd w:fill="EAF2F8"/>
          </w:tcPr>
          <w:p>
            <w:r/>
            <w:r>
              <w:rPr>
                <w:b w:val="0"/>
                <w:sz w:val="18"/>
              </w:rPr>
              <w:t>strategy_plans</w:t>
            </w:r>
          </w:p>
        </w:tc>
        <w:tc>
          <w:tcPr>
            <w:tcW w:type="dxa" w:w="7056"/>
            <w:vAlign w:val="center"/>
          </w:tcPr>
          <w:p>
            <w:r/>
            <w:r>
              <w:rPr>
                <w:b w:val="0"/>
                <w:sz w:val="18"/>
              </w:rPr>
              <w:t>contract_id, summary, planned_actions, approval status</w:t>
            </w:r>
          </w:p>
        </w:tc>
      </w:tr>
      <w:tr>
        <w:tc>
          <w:tcPr>
            <w:tcW w:type="dxa" w:w="3024"/>
            <w:vAlign w:val="center"/>
            <w:shd w:fill="EAF2F8"/>
          </w:tcPr>
          <w:p>
            <w:r/>
            <w:r>
              <w:rPr>
                <w:b w:val="0"/>
                <w:sz w:val="18"/>
              </w:rPr>
              <w:t>performance_snapshots</w:t>
            </w:r>
          </w:p>
        </w:tc>
        <w:tc>
          <w:tcPr>
            <w:tcW w:type="dxa" w:w="7056"/>
            <w:vAlign w:val="center"/>
          </w:tcPr>
          <w:p>
            <w:r/>
            <w:r>
              <w:rPr>
                <w:b w:val="0"/>
                <w:sz w:val="18"/>
              </w:rPr>
              <w:t>contract_id, timestamp, spend, revenue, roas, success_probability</w:t>
            </w:r>
          </w:p>
        </w:tc>
      </w:tr>
      <w:tr>
        <w:tc>
          <w:tcPr>
            <w:tcW w:type="dxa" w:w="3024"/>
            <w:vAlign w:val="center"/>
            <w:shd w:fill="EAF2F8"/>
          </w:tcPr>
          <w:p>
            <w:r/>
            <w:r>
              <w:rPr>
                <w:b w:val="0"/>
                <w:sz w:val="18"/>
              </w:rPr>
              <w:t>resolution_records</w:t>
            </w:r>
          </w:p>
        </w:tc>
        <w:tc>
          <w:tcPr>
            <w:tcW w:type="dxa" w:w="7056"/>
            <w:vAlign w:val="center"/>
          </w:tcPr>
          <w:p>
            <w:r/>
            <w:r>
              <w:rPr>
                <w:b w:val="0"/>
                <w:sz w:val="18"/>
              </w:rPr>
              <w:t>contract_id, final metrics, outcome, settlement hash</w:t>
            </w:r>
          </w:p>
        </w:tc>
      </w:tr>
    </w:tbl>
    <w:p/>
    <w:p>
      <w:pPr>
        <w:pStyle w:val="Heading1"/>
        <w:spacing w:after="80" w:line="252" w:lineRule="auto"/>
      </w:pPr>
      <w:r>
        <w:t>14. API Specification</w:t>
      </w:r>
    </w:p>
    <w:tbl>
      <w:tblPr>
        <w:tblStyle w:val="TableGrid"/>
        <w:tblW w:type="auto" w:w="0"/>
        <w:jc w:val="center"/>
        <w:tblLook w:firstColumn="1" w:firstRow="1" w:lastColumn="0" w:lastRow="0" w:noHBand="0" w:noVBand="1" w:val="04A0"/>
      </w:tblPr>
      <w:tblGrid>
        <w:gridCol w:w="5083"/>
        <w:gridCol w:w="5083"/>
      </w:tblGrid>
      <w:tr>
        <w:tc>
          <w:tcPr>
            <w:tcW w:type="dxa" w:w="4608"/>
            <w:shd w:fill="1F4E79"/>
            <w:vAlign w:val="center"/>
          </w:tcPr>
          <w:p>
            <w:r/>
            <w:r>
              <w:rPr>
                <w:b/>
                <w:color w:val="FFFFFF"/>
                <w:sz w:val="18"/>
              </w:rPr>
              <w:t>Endpoint</w:t>
            </w:r>
          </w:p>
        </w:tc>
        <w:tc>
          <w:tcPr>
            <w:tcW w:type="dxa" w:w="5472"/>
            <w:shd w:fill="1F4E79"/>
            <w:vAlign w:val="center"/>
          </w:tcPr>
          <w:p>
            <w:r/>
            <w:r>
              <w:rPr>
                <w:b/>
                <w:color w:val="FFFFFF"/>
                <w:sz w:val="18"/>
              </w:rPr>
              <w:t>Purpose</w:t>
            </w:r>
          </w:p>
        </w:tc>
      </w:tr>
      <w:tr>
        <w:tc>
          <w:tcPr>
            <w:tcW w:type="dxa" w:w="4608"/>
            <w:vAlign w:val="center"/>
            <w:shd w:fill="EAF2F8"/>
          </w:tcPr>
          <w:p>
            <w:r/>
            <w:r>
              <w:rPr>
                <w:b w:val="0"/>
                <w:sz w:val="18"/>
              </w:rPr>
              <w:t>POST /api/contracts</w:t>
            </w:r>
          </w:p>
        </w:tc>
        <w:tc>
          <w:tcPr>
            <w:tcW w:type="dxa" w:w="5472"/>
            <w:vAlign w:val="center"/>
          </w:tcPr>
          <w:p>
            <w:r/>
            <w:r>
              <w:rPr>
                <w:b w:val="0"/>
                <w:sz w:val="18"/>
              </w:rPr>
              <w:t>Create a new performance contract</w:t>
            </w:r>
          </w:p>
        </w:tc>
      </w:tr>
      <w:tr>
        <w:tc>
          <w:tcPr>
            <w:tcW w:type="dxa" w:w="4608"/>
            <w:vAlign w:val="center"/>
            <w:shd w:fill="EAF2F8"/>
          </w:tcPr>
          <w:p>
            <w:r/>
            <w:r>
              <w:rPr>
                <w:b w:val="0"/>
                <w:sz w:val="18"/>
              </w:rPr>
              <w:t>POST /api/contracts/:id/underwrite</w:t>
            </w:r>
          </w:p>
        </w:tc>
        <w:tc>
          <w:tcPr>
            <w:tcW w:type="dxa" w:w="5472"/>
            <w:vAlign w:val="center"/>
          </w:tcPr>
          <w:p>
            <w:r/>
            <w:r>
              <w:rPr>
                <w:b w:val="0"/>
                <w:sz w:val="18"/>
              </w:rPr>
              <w:t>Run underwriting model</w:t>
            </w:r>
          </w:p>
        </w:tc>
      </w:tr>
      <w:tr>
        <w:tc>
          <w:tcPr>
            <w:tcW w:type="dxa" w:w="4608"/>
            <w:vAlign w:val="center"/>
            <w:shd w:fill="EAF2F8"/>
          </w:tcPr>
          <w:p>
            <w:r/>
            <w:r>
              <w:rPr>
                <w:b w:val="0"/>
                <w:sz w:val="18"/>
              </w:rPr>
              <w:t>POST /api/contracts/:id/agent-offer</w:t>
            </w:r>
          </w:p>
        </w:tc>
        <w:tc>
          <w:tcPr>
            <w:tcW w:type="dxa" w:w="5472"/>
            <w:vAlign w:val="center"/>
          </w:tcPr>
          <w:p>
            <w:r/>
            <w:r>
              <w:rPr>
                <w:b w:val="0"/>
                <w:sz w:val="18"/>
              </w:rPr>
              <w:t>Generate accept/counter/reject offer</w:t>
            </w:r>
          </w:p>
        </w:tc>
      </w:tr>
      <w:tr>
        <w:tc>
          <w:tcPr>
            <w:tcW w:type="dxa" w:w="4608"/>
            <w:vAlign w:val="center"/>
            <w:shd w:fill="EAF2F8"/>
          </w:tcPr>
          <w:p>
            <w:r/>
            <w:r>
              <w:rPr>
                <w:b w:val="0"/>
                <w:sz w:val="18"/>
              </w:rPr>
              <w:t>POST /api/contracts/:id/accept</w:t>
            </w:r>
          </w:p>
        </w:tc>
        <w:tc>
          <w:tcPr>
            <w:tcW w:type="dxa" w:w="5472"/>
            <w:vAlign w:val="center"/>
          </w:tcPr>
          <w:p>
            <w:r/>
            <w:r>
              <w:rPr>
                <w:b w:val="0"/>
                <w:sz w:val="18"/>
              </w:rPr>
              <w:t>Merchant accepts the final offer</w:t>
            </w:r>
          </w:p>
        </w:tc>
      </w:tr>
      <w:tr>
        <w:tc>
          <w:tcPr>
            <w:tcW w:type="dxa" w:w="4608"/>
            <w:vAlign w:val="center"/>
            <w:shd w:fill="EAF2F8"/>
          </w:tcPr>
          <w:p>
            <w:r/>
            <w:r>
              <w:rPr>
                <w:b w:val="0"/>
                <w:sz w:val="18"/>
              </w:rPr>
              <w:t>POST /api/contracts/:id/fund-escrow</w:t>
            </w:r>
          </w:p>
        </w:tc>
        <w:tc>
          <w:tcPr>
            <w:tcW w:type="dxa" w:w="5472"/>
            <w:vAlign w:val="center"/>
          </w:tcPr>
          <w:p>
            <w:r/>
            <w:r>
              <w:rPr>
                <w:b w:val="0"/>
                <w:sz w:val="18"/>
              </w:rPr>
              <w:t>Fund Arc USDC escrow</w:t>
            </w:r>
          </w:p>
        </w:tc>
      </w:tr>
      <w:tr>
        <w:tc>
          <w:tcPr>
            <w:tcW w:type="dxa" w:w="4608"/>
            <w:vAlign w:val="center"/>
            <w:shd w:fill="EAF2F8"/>
          </w:tcPr>
          <w:p>
            <w:r/>
            <w:r>
              <w:rPr>
                <w:b w:val="0"/>
                <w:sz w:val="18"/>
              </w:rPr>
              <w:t>POST /api/contracts/:id/generate-strategy</w:t>
            </w:r>
          </w:p>
        </w:tc>
        <w:tc>
          <w:tcPr>
            <w:tcW w:type="dxa" w:w="5472"/>
            <w:vAlign w:val="center"/>
          </w:tcPr>
          <w:p>
            <w:r/>
            <w:r>
              <w:rPr>
                <w:b w:val="0"/>
                <w:sz w:val="18"/>
              </w:rPr>
              <w:t>Generate agent execution strategy</w:t>
            </w:r>
          </w:p>
        </w:tc>
      </w:tr>
      <w:tr>
        <w:tc>
          <w:tcPr>
            <w:tcW w:type="dxa" w:w="4608"/>
            <w:vAlign w:val="center"/>
            <w:shd w:fill="EAF2F8"/>
          </w:tcPr>
          <w:p>
            <w:r/>
            <w:r>
              <w:rPr>
                <w:b w:val="0"/>
                <w:sz w:val="18"/>
              </w:rPr>
              <w:t>POST /api/contracts/:id/approve-execution</w:t>
            </w:r>
          </w:p>
        </w:tc>
        <w:tc>
          <w:tcPr>
            <w:tcW w:type="dxa" w:w="5472"/>
            <w:vAlign w:val="center"/>
          </w:tcPr>
          <w:p>
            <w:r/>
            <w:r>
              <w:rPr>
                <w:b w:val="0"/>
                <w:sz w:val="18"/>
              </w:rPr>
              <w:t>Merchant approves actions</w:t>
            </w:r>
          </w:p>
        </w:tc>
      </w:tr>
      <w:tr>
        <w:tc>
          <w:tcPr>
            <w:tcW w:type="dxa" w:w="4608"/>
            <w:vAlign w:val="center"/>
            <w:shd w:fill="EAF2F8"/>
          </w:tcPr>
          <w:p>
            <w:r/>
            <w:r>
              <w:rPr>
                <w:b w:val="0"/>
                <w:sz w:val="18"/>
              </w:rPr>
              <w:t>POST /api/contracts/:id/execute-ads-actions</w:t>
            </w:r>
          </w:p>
        </w:tc>
        <w:tc>
          <w:tcPr>
            <w:tcW w:type="dxa" w:w="5472"/>
            <w:vAlign w:val="center"/>
          </w:tcPr>
          <w:p>
            <w:r/>
            <w:r>
              <w:rPr>
                <w:b w:val="0"/>
                <w:sz w:val="18"/>
              </w:rPr>
              <w:t>Execute through ads provider</w:t>
            </w:r>
          </w:p>
        </w:tc>
      </w:tr>
      <w:tr>
        <w:tc>
          <w:tcPr>
            <w:tcW w:type="dxa" w:w="4608"/>
            <w:vAlign w:val="center"/>
            <w:shd w:fill="EAF2F8"/>
          </w:tcPr>
          <w:p>
            <w:r/>
            <w:r>
              <w:rPr>
                <w:b w:val="0"/>
                <w:sz w:val="18"/>
              </w:rPr>
              <w:t>GET /api/contracts/:id/performance</w:t>
            </w:r>
          </w:p>
        </w:tc>
        <w:tc>
          <w:tcPr>
            <w:tcW w:type="dxa" w:w="5472"/>
            <w:vAlign w:val="center"/>
          </w:tcPr>
          <w:p>
            <w:r/>
            <w:r>
              <w:rPr>
                <w:b w:val="0"/>
                <w:sz w:val="18"/>
              </w:rPr>
              <w:t>Return current performance snapshot</w:t>
            </w:r>
          </w:p>
        </w:tc>
      </w:tr>
      <w:tr>
        <w:tc>
          <w:tcPr>
            <w:tcW w:type="dxa" w:w="4608"/>
            <w:vAlign w:val="center"/>
            <w:shd w:fill="EAF2F8"/>
          </w:tcPr>
          <w:p>
            <w:r/>
            <w:r>
              <w:rPr>
                <w:b w:val="0"/>
                <w:sz w:val="18"/>
              </w:rPr>
              <w:t>POST /api/contracts/:id/resolve</w:t>
            </w:r>
          </w:p>
        </w:tc>
        <w:tc>
          <w:tcPr>
            <w:tcW w:type="dxa" w:w="5472"/>
            <w:vAlign w:val="center"/>
          </w:tcPr>
          <w:p>
            <w:r/>
            <w:r>
              <w:rPr>
                <w:b w:val="0"/>
                <w:sz w:val="18"/>
              </w:rPr>
              <w:t>Resolve outcome and trigger settlement</w:t>
            </w:r>
          </w:p>
        </w:tc>
      </w:tr>
    </w:tbl>
    <w:p/>
    <w:p>
      <w:pPr>
        <w:pStyle w:val="Heading1"/>
        <w:spacing w:after="80" w:line="252" w:lineRule="auto"/>
      </w:pPr>
      <w:r>
        <w:t>15. System Architecture</w:t>
      </w:r>
    </w:p>
    <w:p>
      <w:pPr>
        <w:spacing w:before="60" w:after="100"/>
        <w:ind w:left="259" w:right="259"/>
        <w:shd w:fill="F3F6F9"/>
      </w:pPr>
      <w:r>
        <w:rPr>
          <w:rFonts w:ascii="Consolas" w:hAnsi="Consolas" w:eastAsia="Consolas"/>
          <w:sz w:val="17"/>
        </w:rPr>
        <w:t>Frontend App</w:t>
        <w:br/>
        <w:t xml:space="preserve">  -&gt; Backend API</w:t>
        <w:br/>
        <w:t xml:space="preserve">      -&gt; Contract Service</w:t>
        <w:br/>
        <w:t xml:space="preserve">      -&gt; Agent Orchestrator</w:t>
        <w:br/>
        <w:t xml:space="preserve">      -&gt; ML Underwriting Service</w:t>
        <w:br/>
        <w:t xml:space="preserve">      -&gt; Forecasting Service</w:t>
        <w:br/>
        <w:t xml:space="preserve">      -&gt; Meta Ads MCP Adapter</w:t>
        <w:br/>
        <w:t xml:space="preserve">      -&gt; Arc Escrow Contract Client</w:t>
        <w:br/>
        <w:t xml:space="preserve">      -&gt; Monitoring Service</w:t>
        <w:br/>
        <w:t xml:space="preserve">      -&gt; Resolution Engine</w:t>
      </w:r>
    </w:p>
    <w:p>
      <w:pPr>
        <w:pStyle w:val="Heading2"/>
        <w:spacing w:after="80" w:line="252" w:lineRule="auto"/>
      </w:pPr>
      <w:r>
        <w:t>15.1 Suggested stack</w:t>
      </w:r>
    </w:p>
    <w:tbl>
      <w:tblPr>
        <w:tblStyle w:val="TableGrid"/>
        <w:tblW w:type="auto" w:w="0"/>
        <w:jc w:val="center"/>
        <w:tblLook w:firstColumn="1" w:firstRow="1" w:lastColumn="0" w:lastRow="0" w:noHBand="0" w:noVBand="1" w:val="04A0"/>
      </w:tblPr>
      <w:tblGrid>
        <w:gridCol w:w="5083"/>
        <w:gridCol w:w="5083"/>
      </w:tblGrid>
      <w:tr>
        <w:tc>
          <w:tcPr>
            <w:tcW w:type="dxa" w:w="2592"/>
            <w:shd w:fill="1F4E79"/>
            <w:vAlign w:val="center"/>
          </w:tcPr>
          <w:p>
            <w:r/>
            <w:r>
              <w:rPr>
                <w:b/>
                <w:color w:val="FFFFFF"/>
                <w:sz w:val="18"/>
              </w:rPr>
              <w:t>Layer</w:t>
            </w:r>
          </w:p>
        </w:tc>
        <w:tc>
          <w:tcPr>
            <w:tcW w:type="dxa" w:w="7488"/>
            <w:shd w:fill="1F4E79"/>
            <w:vAlign w:val="center"/>
          </w:tcPr>
          <w:p>
            <w:r/>
            <w:r>
              <w:rPr>
                <w:b/>
                <w:color w:val="FFFFFF"/>
                <w:sz w:val="18"/>
              </w:rPr>
              <w:t>Suggested technologies</w:t>
            </w:r>
          </w:p>
        </w:tc>
      </w:tr>
      <w:tr>
        <w:tc>
          <w:tcPr>
            <w:tcW w:type="dxa" w:w="2592"/>
            <w:vAlign w:val="center"/>
            <w:shd w:fill="EAF2F8"/>
          </w:tcPr>
          <w:p>
            <w:r/>
            <w:r>
              <w:rPr>
                <w:b w:val="0"/>
                <w:sz w:val="18"/>
              </w:rPr>
              <w:t>Frontend</w:t>
            </w:r>
          </w:p>
        </w:tc>
        <w:tc>
          <w:tcPr>
            <w:tcW w:type="dxa" w:w="7488"/>
            <w:vAlign w:val="center"/>
          </w:tcPr>
          <w:p>
            <w:r/>
            <w:r>
              <w:rPr>
                <w:b w:val="0"/>
                <w:sz w:val="18"/>
              </w:rPr>
              <w:t>Next.js, Tailwind CSS, shadcn/ui, lightweight charts</w:t>
            </w:r>
          </w:p>
        </w:tc>
      </w:tr>
      <w:tr>
        <w:tc>
          <w:tcPr>
            <w:tcW w:type="dxa" w:w="2592"/>
            <w:vAlign w:val="center"/>
            <w:shd w:fill="EAF2F8"/>
          </w:tcPr>
          <w:p>
            <w:r/>
            <w:r>
              <w:rPr>
                <w:b w:val="0"/>
                <w:sz w:val="18"/>
              </w:rPr>
              <w:t>Backend</w:t>
            </w:r>
          </w:p>
        </w:tc>
        <w:tc>
          <w:tcPr>
            <w:tcW w:type="dxa" w:w="7488"/>
            <w:vAlign w:val="center"/>
          </w:tcPr>
          <w:p>
            <w:r/>
            <w:r>
              <w:rPr>
                <w:b w:val="0"/>
                <w:sz w:val="18"/>
              </w:rPr>
              <w:t>FastAPI or Next.js API routes, PostgreSQL/Supabase</w:t>
            </w:r>
          </w:p>
        </w:tc>
      </w:tr>
      <w:tr>
        <w:tc>
          <w:tcPr>
            <w:tcW w:type="dxa" w:w="2592"/>
            <w:vAlign w:val="center"/>
            <w:shd w:fill="EAF2F8"/>
          </w:tcPr>
          <w:p>
            <w:r/>
            <w:r>
              <w:rPr>
                <w:b w:val="0"/>
                <w:sz w:val="18"/>
              </w:rPr>
              <w:t>AI</w:t>
            </w:r>
          </w:p>
        </w:tc>
        <w:tc>
          <w:tcPr>
            <w:tcW w:type="dxa" w:w="7488"/>
            <w:vAlign w:val="center"/>
          </w:tcPr>
          <w:p>
            <w:r/>
            <w:r>
              <w:rPr>
                <w:b w:val="0"/>
                <w:sz w:val="18"/>
              </w:rPr>
              <w:t>LLM with structured JSON outputs</w:t>
            </w:r>
          </w:p>
        </w:tc>
      </w:tr>
      <w:tr>
        <w:tc>
          <w:tcPr>
            <w:tcW w:type="dxa" w:w="2592"/>
            <w:vAlign w:val="center"/>
            <w:shd w:fill="EAF2F8"/>
          </w:tcPr>
          <w:p>
            <w:r/>
            <w:r>
              <w:rPr>
                <w:b w:val="0"/>
                <w:sz w:val="18"/>
              </w:rPr>
              <w:t>ML</w:t>
            </w:r>
          </w:p>
        </w:tc>
        <w:tc>
          <w:tcPr>
            <w:tcW w:type="dxa" w:w="7488"/>
            <w:vAlign w:val="center"/>
          </w:tcPr>
          <w:p>
            <w:r/>
            <w:r>
              <w:rPr>
                <w:b w:val="0"/>
                <w:sz w:val="18"/>
              </w:rPr>
              <w:t>scikit-learn, XGBoost, or LightGBM</w:t>
            </w:r>
          </w:p>
        </w:tc>
      </w:tr>
      <w:tr>
        <w:tc>
          <w:tcPr>
            <w:tcW w:type="dxa" w:w="2592"/>
            <w:vAlign w:val="center"/>
            <w:shd w:fill="EAF2F8"/>
          </w:tcPr>
          <w:p>
            <w:r/>
            <w:r>
              <w:rPr>
                <w:b w:val="0"/>
                <w:sz w:val="18"/>
              </w:rPr>
              <w:t>Web3</w:t>
            </w:r>
          </w:p>
        </w:tc>
        <w:tc>
          <w:tcPr>
            <w:tcW w:type="dxa" w:w="7488"/>
            <w:vAlign w:val="center"/>
          </w:tcPr>
          <w:p>
            <w:r/>
            <w:r>
              <w:rPr>
                <w:b w:val="0"/>
                <w:sz w:val="18"/>
              </w:rPr>
              <w:t>Arc-compatible contract, USDC escrow, viem/ethers/wagmi</w:t>
            </w:r>
          </w:p>
        </w:tc>
      </w:tr>
      <w:tr>
        <w:tc>
          <w:tcPr>
            <w:tcW w:type="dxa" w:w="2592"/>
            <w:vAlign w:val="center"/>
            <w:shd w:fill="EAF2F8"/>
          </w:tcPr>
          <w:p>
            <w:r/>
            <w:r>
              <w:rPr>
                <w:b w:val="0"/>
                <w:sz w:val="18"/>
              </w:rPr>
              <w:t>Ads</w:t>
            </w:r>
          </w:p>
        </w:tc>
        <w:tc>
          <w:tcPr>
            <w:tcW w:type="dxa" w:w="7488"/>
            <w:vAlign w:val="center"/>
          </w:tcPr>
          <w:p>
            <w:r/>
            <w:r>
              <w:rPr>
                <w:b w:val="0"/>
                <w:sz w:val="18"/>
              </w:rPr>
              <w:t>Meta Ads MCP if accessible; adapter-backed mock provider for demo fallback</w:t>
            </w:r>
          </w:p>
        </w:tc>
      </w:tr>
    </w:tbl>
    <w:p/>
    <w:p>
      <w:pPr>
        <w:pStyle w:val="Heading1"/>
        <w:spacing w:after="80" w:line="252" w:lineRule="auto"/>
      </w:pPr>
      <w:r>
        <w:t>16. LLM Agent Responsibilities</w:t>
      </w:r>
    </w:p>
    <w:p>
      <w:pPr>
        <w:spacing w:after="80" w:line="252" w:lineRule="auto"/>
      </w:pPr>
      <w:r>
        <w:t>The LLM agent must never be the source of truth for final numerical settlement. Deterministic backend logic resolves success/failure. The LLM agent is responsible for interpretation, negotiation, explanation, and strategy generation.</w:t>
      </w:r>
    </w:p>
    <w:tbl>
      <w:tblPr>
        <w:tblStyle w:val="TableGrid"/>
        <w:tblW w:type="auto" w:w="0"/>
        <w:jc w:val="center"/>
        <w:tblLook w:firstColumn="1" w:firstRow="1" w:lastColumn="0" w:lastRow="0" w:noHBand="0" w:noVBand="1" w:val="04A0"/>
      </w:tblPr>
      <w:tblGrid>
        <w:gridCol w:w="5083"/>
        <w:gridCol w:w="5083"/>
      </w:tblGrid>
      <w:tr>
        <w:tc>
          <w:tcPr>
            <w:tcW w:type="dxa" w:w="5040"/>
            <w:shd w:fill="1F4E79"/>
            <w:vAlign w:val="center"/>
          </w:tcPr>
          <w:p>
            <w:r/>
            <w:r>
              <w:rPr>
                <w:b/>
                <w:color w:val="FFFFFF"/>
                <w:sz w:val="18"/>
              </w:rPr>
              <w:t>LLM should do</w:t>
            </w:r>
          </w:p>
        </w:tc>
        <w:tc>
          <w:tcPr>
            <w:tcW w:type="dxa" w:w="5040"/>
            <w:shd w:fill="1F4E79"/>
            <w:vAlign w:val="center"/>
          </w:tcPr>
          <w:p>
            <w:r/>
            <w:r>
              <w:rPr>
                <w:b/>
                <w:color w:val="FFFFFF"/>
                <w:sz w:val="18"/>
              </w:rPr>
              <w:t>LLM should not do</w:t>
            </w:r>
          </w:p>
        </w:tc>
      </w:tr>
      <w:tr>
        <w:tc>
          <w:tcPr>
            <w:tcW w:type="dxa" w:w="5040"/>
            <w:vAlign w:val="center"/>
            <w:shd w:fill="EAF2F8"/>
          </w:tcPr>
          <w:p>
            <w:r/>
            <w:r>
              <w:rPr>
                <w:b w:val="0"/>
                <w:sz w:val="18"/>
              </w:rPr>
              <w:t>Interpret merchant intent</w:t>
            </w:r>
          </w:p>
        </w:tc>
        <w:tc>
          <w:tcPr>
            <w:tcW w:type="dxa" w:w="5040"/>
            <w:vAlign w:val="center"/>
          </w:tcPr>
          <w:p>
            <w:r/>
            <w:r>
              <w:rPr>
                <w:b w:val="0"/>
                <w:sz w:val="18"/>
              </w:rPr>
              <w:t>Directly decide whether 2.25 &gt;= 2.0</w:t>
            </w:r>
          </w:p>
        </w:tc>
      </w:tr>
      <w:tr>
        <w:tc>
          <w:tcPr>
            <w:tcW w:type="dxa" w:w="5040"/>
            <w:vAlign w:val="center"/>
            <w:shd w:fill="EAF2F8"/>
          </w:tcPr>
          <w:p>
            <w:r/>
            <w:r>
              <w:rPr>
                <w:b w:val="0"/>
                <w:sz w:val="18"/>
              </w:rPr>
              <w:t>Explain underwriting outputs</w:t>
            </w:r>
          </w:p>
        </w:tc>
        <w:tc>
          <w:tcPr>
            <w:tcW w:type="dxa" w:w="5040"/>
            <w:vAlign w:val="center"/>
          </w:tcPr>
          <w:p>
            <w:r/>
            <w:r>
              <w:rPr>
                <w:b w:val="0"/>
                <w:sz w:val="18"/>
              </w:rPr>
              <w:t>Replace deterministic settlement logic</w:t>
            </w:r>
          </w:p>
        </w:tc>
      </w:tr>
      <w:tr>
        <w:tc>
          <w:tcPr>
            <w:tcW w:type="dxa" w:w="5040"/>
            <w:vAlign w:val="center"/>
            <w:shd w:fill="EAF2F8"/>
          </w:tcPr>
          <w:p>
            <w:r/>
            <w:r>
              <w:rPr>
                <w:b w:val="0"/>
                <w:sz w:val="18"/>
              </w:rPr>
              <w:t>Propose counteroffers</w:t>
            </w:r>
          </w:p>
        </w:tc>
        <w:tc>
          <w:tcPr>
            <w:tcW w:type="dxa" w:w="5040"/>
            <w:vAlign w:val="center"/>
          </w:tcPr>
          <w:p>
            <w:r/>
            <w:r>
              <w:rPr>
                <w:b w:val="0"/>
                <w:sz w:val="18"/>
              </w:rPr>
              <w:t>Be the sole oracle for final result</w:t>
            </w:r>
          </w:p>
        </w:tc>
      </w:tr>
      <w:tr>
        <w:tc>
          <w:tcPr>
            <w:tcW w:type="dxa" w:w="5040"/>
            <w:vAlign w:val="center"/>
            <w:shd w:fill="EAF2F8"/>
          </w:tcPr>
          <w:p>
            <w:r/>
            <w:r>
              <w:rPr>
                <w:b w:val="0"/>
                <w:sz w:val="18"/>
              </w:rPr>
              <w:t>Generate strategy plans</w:t>
            </w:r>
          </w:p>
        </w:tc>
        <w:tc>
          <w:tcPr>
            <w:tcW w:type="dxa" w:w="5040"/>
            <w:vAlign w:val="center"/>
          </w:tcPr>
          <w:p>
            <w:r/>
            <w:r>
              <w:rPr>
                <w:b w:val="0"/>
                <w:sz w:val="18"/>
              </w:rPr>
              <w:t>Move funds without defined contract state</w:t>
            </w:r>
          </w:p>
        </w:tc>
      </w:tr>
      <w:tr>
        <w:tc>
          <w:tcPr>
            <w:tcW w:type="dxa" w:w="5040"/>
            <w:vAlign w:val="center"/>
            <w:shd w:fill="EAF2F8"/>
          </w:tcPr>
          <w:p>
            <w:r/>
            <w:r>
              <w:rPr>
                <w:b w:val="0"/>
                <w:sz w:val="18"/>
              </w:rPr>
              <w:t>Narrate final resolution</w:t>
            </w:r>
          </w:p>
        </w:tc>
        <w:tc>
          <w:tcPr>
            <w:tcW w:type="dxa" w:w="5040"/>
            <w:vAlign w:val="center"/>
          </w:tcPr>
          <w:p>
            <w:r/>
            <w:r>
              <w:rPr>
                <w:b w:val="0"/>
                <w:sz w:val="18"/>
              </w:rPr>
              <w:t>Override smart contract or backend rules</w:t>
            </w:r>
          </w:p>
        </w:tc>
      </w:tr>
    </w:tbl>
    <w:p/>
    <w:p>
      <w:pPr>
        <w:pStyle w:val="Heading1"/>
        <w:spacing w:after="80" w:line="252" w:lineRule="auto"/>
      </w:pPr>
      <w:r>
        <w:t>17. Safety and Trust Rules</w:t>
      </w:r>
    </w:p>
    <w:p>
      <w:pPr>
        <w:pStyle w:val="ListBullet"/>
        <w:spacing w:after="20"/>
      </w:pPr>
      <w:r>
        <w:t>No paid marketing action is executed without explicit merchant approval in MVP.</w:t>
      </w:r>
    </w:p>
    <w:p>
      <w:pPr>
        <w:pStyle w:val="ListBullet"/>
        <w:spacing w:after="20"/>
      </w:pPr>
      <w:r>
        <w:t>The user must see target, spend floor, deadline, fee, and refund logic before funding escrow.</w:t>
      </w:r>
    </w:p>
    <w:p>
      <w:pPr>
        <w:pStyle w:val="ListBullet"/>
        <w:spacing w:after="20"/>
      </w:pPr>
      <w:r>
        <w:t>Final settlement is deterministic and auditable.</w:t>
      </w:r>
    </w:p>
    <w:p>
      <w:pPr>
        <w:pStyle w:val="ListBullet"/>
        <w:spacing w:after="20"/>
      </w:pPr>
      <w:r>
        <w:t>All major decisions and actions are logged.</w:t>
      </w:r>
    </w:p>
    <w:p>
      <w:pPr>
        <w:pStyle w:val="ListBullet"/>
        <w:spacing w:after="20"/>
      </w:pPr>
      <w:r>
        <w:t>A demo fallback should exist if Meta Ads MCP access is unavailable during judging.</w:t>
      </w:r>
    </w:p>
    <w:p>
      <w:pPr>
        <w:pStyle w:val="Heading1"/>
        <w:spacing w:after="80" w:line="252" w:lineRule="auto"/>
      </w:pPr>
      <w:r>
        <w:t>18. Demo Script</w:t>
      </w:r>
    </w:p>
    <w:p>
      <w:pPr>
        <w:pStyle w:val="Heading2"/>
        <w:spacing w:after="80" w:line="252" w:lineRule="auto"/>
      </w:pPr>
      <w:r>
        <w:t>Demo title: OutcomeX — An AI Marketing Agent That Only Gets Paid When It Performs.</w:t>
      </w:r>
    </w:p>
    <w:tbl>
      <w:tblPr>
        <w:tblStyle w:val="TableGrid"/>
        <w:tblW w:type="auto" w:w="0"/>
        <w:jc w:val="center"/>
        <w:tblLook w:firstColumn="1" w:firstRow="1" w:lastColumn="0" w:lastRow="0" w:noHBand="0" w:noVBand="1" w:val="04A0"/>
      </w:tblPr>
      <w:tblGrid>
        <w:gridCol w:w="5083"/>
        <w:gridCol w:w="5083"/>
      </w:tblGrid>
      <w:tr>
        <w:tc>
          <w:tcPr>
            <w:tcW w:type="dxa" w:w="2448"/>
            <w:shd w:fill="1F4E79"/>
            <w:vAlign w:val="center"/>
          </w:tcPr>
          <w:p>
            <w:r/>
            <w:r>
              <w:rPr>
                <w:b/>
                <w:color w:val="FFFFFF"/>
                <w:sz w:val="18"/>
              </w:rPr>
              <w:t>Scene</w:t>
            </w:r>
          </w:p>
        </w:tc>
        <w:tc>
          <w:tcPr>
            <w:tcW w:type="dxa" w:w="7632"/>
            <w:shd w:fill="1F4E79"/>
            <w:vAlign w:val="center"/>
          </w:tcPr>
          <w:p>
            <w:r/>
            <w:r>
              <w:rPr>
                <w:b/>
                <w:color w:val="FFFFFF"/>
                <w:sz w:val="18"/>
              </w:rPr>
              <w:t>What the demo shows</w:t>
            </w:r>
          </w:p>
        </w:tc>
      </w:tr>
      <w:tr>
        <w:tc>
          <w:tcPr>
            <w:tcW w:type="dxa" w:w="2448"/>
            <w:vAlign w:val="center"/>
            <w:shd w:fill="EAF2F8"/>
          </w:tcPr>
          <w:p>
            <w:r/>
            <w:r>
              <w:rPr>
                <w:b w:val="0"/>
                <w:sz w:val="18"/>
              </w:rPr>
              <w:t>1. Contract creation</w:t>
            </w:r>
          </w:p>
        </w:tc>
        <w:tc>
          <w:tcPr>
            <w:tcW w:type="dxa" w:w="7632"/>
            <w:vAlign w:val="center"/>
          </w:tcPr>
          <w:p>
            <w:r/>
            <w:r>
              <w:rPr>
                <w:b w:val="0"/>
                <w:sz w:val="18"/>
              </w:rPr>
              <w:t>Merchant offers 100 USDC for ROAS &gt;= 2.0 after $500 spend in 7 days.</w:t>
            </w:r>
          </w:p>
        </w:tc>
      </w:tr>
      <w:tr>
        <w:tc>
          <w:tcPr>
            <w:tcW w:type="dxa" w:w="2448"/>
            <w:vAlign w:val="center"/>
            <w:shd w:fill="EAF2F8"/>
          </w:tcPr>
          <w:p>
            <w:r/>
            <w:r>
              <w:rPr>
                <w:b w:val="0"/>
                <w:sz w:val="18"/>
              </w:rPr>
              <w:t>2. Underwriting</w:t>
            </w:r>
          </w:p>
        </w:tc>
        <w:tc>
          <w:tcPr>
            <w:tcW w:type="dxa" w:w="7632"/>
            <w:vAlign w:val="center"/>
          </w:tcPr>
          <w:p>
            <w:r/>
            <w:r>
              <w:rPr>
                <w:b w:val="0"/>
                <w:sz w:val="18"/>
              </w:rPr>
              <w:t>ML predicts 68% success probability; agent accepts.</w:t>
            </w:r>
          </w:p>
        </w:tc>
      </w:tr>
      <w:tr>
        <w:tc>
          <w:tcPr>
            <w:tcW w:type="dxa" w:w="2448"/>
            <w:vAlign w:val="center"/>
            <w:shd w:fill="EAF2F8"/>
          </w:tcPr>
          <w:p>
            <w:r/>
            <w:r>
              <w:rPr>
                <w:b w:val="0"/>
                <w:sz w:val="18"/>
              </w:rPr>
              <w:t>3. Escrow</w:t>
            </w:r>
          </w:p>
        </w:tc>
        <w:tc>
          <w:tcPr>
            <w:tcW w:type="dxa" w:w="7632"/>
            <w:vAlign w:val="center"/>
          </w:tcPr>
          <w:p>
            <w:r/>
            <w:r>
              <w:rPr>
                <w:b w:val="0"/>
                <w:sz w:val="18"/>
              </w:rPr>
              <w:t>100 USDC is locked in Arc escrow.</w:t>
            </w:r>
          </w:p>
        </w:tc>
      </w:tr>
      <w:tr>
        <w:tc>
          <w:tcPr>
            <w:tcW w:type="dxa" w:w="2448"/>
            <w:vAlign w:val="center"/>
            <w:shd w:fill="EAF2F8"/>
          </w:tcPr>
          <w:p>
            <w:r/>
            <w:r>
              <w:rPr>
                <w:b w:val="0"/>
                <w:sz w:val="18"/>
              </w:rPr>
              <w:t>4. Strategy execution</w:t>
            </w:r>
          </w:p>
        </w:tc>
        <w:tc>
          <w:tcPr>
            <w:tcW w:type="dxa" w:w="7632"/>
            <w:vAlign w:val="center"/>
          </w:tcPr>
          <w:p>
            <w:r/>
            <w:r>
              <w:rPr>
                <w:b w:val="0"/>
                <w:sz w:val="18"/>
              </w:rPr>
              <w:t>Agent proposes plan; merchant approves; ads action executes.</w:t>
            </w:r>
          </w:p>
        </w:tc>
      </w:tr>
      <w:tr>
        <w:tc>
          <w:tcPr>
            <w:tcW w:type="dxa" w:w="2448"/>
            <w:vAlign w:val="center"/>
            <w:shd w:fill="EAF2F8"/>
          </w:tcPr>
          <w:p>
            <w:r/>
            <w:r>
              <w:rPr>
                <w:b w:val="0"/>
                <w:sz w:val="18"/>
              </w:rPr>
              <w:t>5. Monitoring</w:t>
            </w:r>
          </w:p>
        </w:tc>
        <w:tc>
          <w:tcPr>
            <w:tcW w:type="dxa" w:w="7632"/>
            <w:vAlign w:val="center"/>
          </w:tcPr>
          <w:p>
            <w:r/>
            <w:r>
              <w:rPr>
                <w:b w:val="0"/>
                <w:sz w:val="18"/>
              </w:rPr>
              <w:t>Dashboard shows ROAS, spend progress, and probability of success.</w:t>
            </w:r>
          </w:p>
        </w:tc>
      </w:tr>
      <w:tr>
        <w:tc>
          <w:tcPr>
            <w:tcW w:type="dxa" w:w="2448"/>
            <w:vAlign w:val="center"/>
            <w:shd w:fill="EAF2F8"/>
          </w:tcPr>
          <w:p>
            <w:r/>
            <w:r>
              <w:rPr>
                <w:b w:val="0"/>
                <w:sz w:val="18"/>
              </w:rPr>
              <w:t>6. Resolution</w:t>
            </w:r>
          </w:p>
        </w:tc>
        <w:tc>
          <w:tcPr>
            <w:tcW w:type="dxa" w:w="7632"/>
            <w:vAlign w:val="center"/>
          </w:tcPr>
          <w:p>
            <w:r/>
            <w:r>
              <w:rPr>
                <w:b w:val="0"/>
                <w:sz w:val="18"/>
              </w:rPr>
              <w:t>Final spend $545, revenue $1,226, ROAS 2.25 -&gt; success.</w:t>
            </w:r>
          </w:p>
        </w:tc>
      </w:tr>
      <w:tr>
        <w:tc>
          <w:tcPr>
            <w:tcW w:type="dxa" w:w="2448"/>
            <w:vAlign w:val="center"/>
            <w:shd w:fill="EAF2F8"/>
          </w:tcPr>
          <w:p>
            <w:r/>
            <w:r>
              <w:rPr>
                <w:b w:val="0"/>
                <w:sz w:val="18"/>
              </w:rPr>
              <w:t>7. Settlement</w:t>
            </w:r>
          </w:p>
        </w:tc>
        <w:tc>
          <w:tcPr>
            <w:tcW w:type="dxa" w:w="7632"/>
            <w:vAlign w:val="center"/>
          </w:tcPr>
          <w:p>
            <w:r/>
            <w:r>
              <w:rPr>
                <w:b w:val="0"/>
                <w:sz w:val="18"/>
              </w:rPr>
              <w:t>100 USDC released to the agent; on-chain status updates.</w:t>
            </w:r>
          </w:p>
        </w:tc>
      </w:tr>
    </w:tbl>
    <w:p/>
    <w:p>
      <w:pPr>
        <w:spacing w:after="80" w:line="252" w:lineRule="auto"/>
      </w:pPr>
      <w:r>
        <w:t>Final demo line: “The merchant paid nothing for advice. The agent earned only because it delivered the contracted marketing outcome.”</w:t>
      </w:r>
    </w:p>
    <w:p>
      <w:pPr>
        <w:pStyle w:val="Heading1"/>
        <w:spacing w:after="80" w:line="252" w:lineRule="auto"/>
      </w:pPr>
      <w:r>
        <w:t>19. MVP Acceptance Criteria</w:t>
      </w:r>
    </w:p>
    <w:p>
      <w:pPr>
        <w:pStyle w:val="ListBullet"/>
        <w:spacing w:after="20"/>
      </w:pPr>
      <w:r>
        <w:t>☐ Merchant can create a marketing outcome contract.</w:t>
      </w:r>
    </w:p>
    <w:p>
      <w:pPr>
        <w:pStyle w:val="ListBullet"/>
        <w:spacing w:after="20"/>
      </w:pPr>
      <w:r>
        <w:t>☐ Agent underwriting result is displayed.</w:t>
      </w:r>
    </w:p>
    <w:p>
      <w:pPr>
        <w:pStyle w:val="ListBullet"/>
        <w:spacing w:after="20"/>
      </w:pPr>
      <w:r>
        <w:t>☐ Agent can accept, counteroffer, or reject.</w:t>
      </w:r>
    </w:p>
    <w:p>
      <w:pPr>
        <w:pStyle w:val="ListBullet"/>
        <w:spacing w:after="20"/>
      </w:pPr>
      <w:r>
        <w:t>☐ Merchant can fund USDC escrow on Arc or a convincing testnet equivalent.</w:t>
      </w:r>
    </w:p>
    <w:p>
      <w:pPr>
        <w:pStyle w:val="ListBullet"/>
        <w:spacing w:after="20"/>
      </w:pPr>
      <w:r>
        <w:t>☐ Agent can produce a structured strategy plan.</w:t>
      </w:r>
    </w:p>
    <w:p>
      <w:pPr>
        <w:pStyle w:val="ListBullet"/>
        <w:spacing w:after="20"/>
      </w:pPr>
      <w:r>
        <w:t>☐ Merchant can approve execution.</w:t>
      </w:r>
    </w:p>
    <w:p>
      <w:pPr>
        <w:pStyle w:val="ListBullet"/>
        <w:spacing w:after="20"/>
      </w:pPr>
      <w:r>
        <w:t>☐ Meta Ads execution layer is demonstrated, real or adapter-backed.</w:t>
      </w:r>
    </w:p>
    <w:p>
      <w:pPr>
        <w:pStyle w:val="ListBullet"/>
        <w:spacing w:after="20"/>
      </w:pPr>
      <w:r>
        <w:t>☐ Dashboard shows campaign progress.</w:t>
      </w:r>
    </w:p>
    <w:p>
      <w:pPr>
        <w:pStyle w:val="ListBullet"/>
        <w:spacing w:after="20"/>
      </w:pPr>
      <w:r>
        <w:t>☐ Final outcome resolves deterministically.</w:t>
      </w:r>
    </w:p>
    <w:p>
      <w:pPr>
        <w:pStyle w:val="ListBullet"/>
        <w:spacing w:after="20"/>
      </w:pPr>
      <w:r>
        <w:t>☐ USDC is released or refunded based on outcome.</w:t>
      </w:r>
    </w:p>
    <w:p>
      <w:pPr>
        <w:pStyle w:val="ListBullet"/>
        <w:spacing w:after="20"/>
      </w:pPr>
      <w:r>
        <w:t>☐ The end-to-end demo tells a complete economic story.</w:t>
      </w:r>
    </w:p>
    <w:p>
      <w:pPr>
        <w:pStyle w:val="Heading1"/>
        <w:spacing w:after="80" w:line="252" w:lineRule="auto"/>
      </w:pPr>
      <w:r>
        <w:t>20. Stretch Goals</w:t>
      </w:r>
    </w:p>
    <w:tbl>
      <w:tblPr>
        <w:tblStyle w:val="TableGrid"/>
        <w:tblW w:type="auto" w:w="0"/>
        <w:jc w:val="center"/>
        <w:tblLook w:firstColumn="1" w:firstRow="1" w:lastColumn="0" w:lastRow="0" w:noHBand="0" w:noVBand="1" w:val="04A0"/>
      </w:tblPr>
      <w:tblGrid>
        <w:gridCol w:w="5083"/>
        <w:gridCol w:w="5083"/>
      </w:tblGrid>
      <w:tr>
        <w:tc>
          <w:tcPr>
            <w:tcW w:type="dxa" w:w="3168"/>
            <w:shd w:fill="1F4E79"/>
            <w:vAlign w:val="center"/>
          </w:tcPr>
          <w:p>
            <w:r/>
            <w:r>
              <w:rPr>
                <w:b/>
                <w:color w:val="FFFFFF"/>
                <w:sz w:val="18"/>
              </w:rPr>
              <w:t>Stretch goal</w:t>
            </w:r>
          </w:p>
        </w:tc>
        <w:tc>
          <w:tcPr>
            <w:tcW w:type="dxa" w:w="6912"/>
            <w:shd w:fill="1F4E79"/>
            <w:vAlign w:val="center"/>
          </w:tcPr>
          <w:p>
            <w:r/>
            <w:r>
              <w:rPr>
                <w:b/>
                <w:color w:val="FFFFFF"/>
                <w:sz w:val="18"/>
              </w:rPr>
              <w:t>Description</w:t>
            </w:r>
          </w:p>
        </w:tc>
      </w:tr>
      <w:tr>
        <w:tc>
          <w:tcPr>
            <w:tcW w:type="dxa" w:w="3168"/>
            <w:vAlign w:val="center"/>
            <w:shd w:fill="EAF2F8"/>
          </w:tcPr>
          <w:p>
            <w:r/>
            <w:r>
              <w:rPr>
                <w:b w:val="0"/>
                <w:sz w:val="18"/>
              </w:rPr>
              <w:t>Multi-agent offers</w:t>
            </w:r>
          </w:p>
        </w:tc>
        <w:tc>
          <w:tcPr>
            <w:tcW w:type="dxa" w:w="6912"/>
            <w:vAlign w:val="center"/>
          </w:tcPr>
          <w:p>
            <w:r/>
            <w:r>
              <w:rPr>
                <w:b w:val="0"/>
                <w:sz w:val="18"/>
              </w:rPr>
              <w:t>Multiple agents compete to accept the merchant contract.</w:t>
            </w:r>
          </w:p>
        </w:tc>
      </w:tr>
      <w:tr>
        <w:tc>
          <w:tcPr>
            <w:tcW w:type="dxa" w:w="3168"/>
            <w:vAlign w:val="center"/>
            <w:shd w:fill="EAF2F8"/>
          </w:tcPr>
          <w:p>
            <w:r/>
            <w:r>
              <w:rPr>
                <w:b w:val="0"/>
                <w:sz w:val="18"/>
              </w:rPr>
              <w:t>Dynamic fee pricing</w:t>
            </w:r>
          </w:p>
        </w:tc>
        <w:tc>
          <w:tcPr>
            <w:tcW w:type="dxa" w:w="6912"/>
            <w:vAlign w:val="center"/>
          </w:tcPr>
          <w:p>
            <w:r/>
            <w:r>
              <w:rPr>
                <w:b w:val="0"/>
                <w:sz w:val="18"/>
              </w:rPr>
              <w:t>Agent prices harder targets with higher success fees.</w:t>
            </w:r>
          </w:p>
        </w:tc>
      </w:tr>
      <w:tr>
        <w:tc>
          <w:tcPr>
            <w:tcW w:type="dxa" w:w="3168"/>
            <w:vAlign w:val="center"/>
            <w:shd w:fill="EAF2F8"/>
          </w:tcPr>
          <w:p>
            <w:r/>
            <w:r>
              <w:rPr>
                <w:b w:val="0"/>
                <w:sz w:val="18"/>
              </w:rPr>
              <w:t>CPA + ROAS dual target</w:t>
            </w:r>
          </w:p>
        </w:tc>
        <w:tc>
          <w:tcPr>
            <w:tcW w:type="dxa" w:w="6912"/>
            <w:vAlign w:val="center"/>
          </w:tcPr>
          <w:p>
            <w:r/>
            <w:r>
              <w:rPr>
                <w:b w:val="0"/>
                <w:sz w:val="18"/>
              </w:rPr>
              <w:t>Contract resolves only when both targets are satisfied.</w:t>
            </w:r>
          </w:p>
        </w:tc>
      </w:tr>
      <w:tr>
        <w:tc>
          <w:tcPr>
            <w:tcW w:type="dxa" w:w="3168"/>
            <w:vAlign w:val="center"/>
            <w:shd w:fill="EAF2F8"/>
          </w:tcPr>
          <w:p>
            <w:r/>
            <w:r>
              <w:rPr>
                <w:b w:val="0"/>
                <w:sz w:val="18"/>
              </w:rPr>
              <w:t>Benchmark intelligence</w:t>
            </w:r>
          </w:p>
        </w:tc>
        <w:tc>
          <w:tcPr>
            <w:tcW w:type="dxa" w:w="6912"/>
            <w:vAlign w:val="center"/>
          </w:tcPr>
          <w:p>
            <w:r/>
            <w:r>
              <w:rPr>
                <w:b w:val="0"/>
                <w:sz w:val="18"/>
              </w:rPr>
              <w:t>Agent uses vertical/AOV/geography priors to underwrite contracts.</w:t>
            </w:r>
          </w:p>
        </w:tc>
      </w:tr>
      <w:tr>
        <w:tc>
          <w:tcPr>
            <w:tcW w:type="dxa" w:w="3168"/>
            <w:vAlign w:val="center"/>
            <w:shd w:fill="EAF2F8"/>
          </w:tcPr>
          <w:p>
            <w:r/>
            <w:r>
              <w:rPr>
                <w:b w:val="0"/>
                <w:sz w:val="18"/>
              </w:rPr>
              <w:t>Mid-flight campaign adjustments</w:t>
            </w:r>
          </w:p>
        </w:tc>
        <w:tc>
          <w:tcPr>
            <w:tcW w:type="dxa" w:w="6912"/>
            <w:vAlign w:val="center"/>
          </w:tcPr>
          <w:p>
            <w:r/>
            <w:r>
              <w:rPr>
                <w:b w:val="0"/>
                <w:sz w:val="18"/>
              </w:rPr>
              <w:t>Agent shifts budget or launches backup strategy based on live forecast.</w:t>
            </w:r>
          </w:p>
        </w:tc>
      </w:tr>
    </w:tbl>
    <w:p/>
    <w:p>
      <w:pPr>
        <w:pStyle w:val="Heading1"/>
        <w:spacing w:after="80" w:line="252" w:lineRule="auto"/>
      </w:pPr>
      <w:r>
        <w:t>21. Future Roadmap</w:t>
      </w:r>
    </w:p>
    <w:tbl>
      <w:tblPr>
        <w:tblStyle w:val="TableGrid"/>
        <w:tblW w:type="auto" w:w="0"/>
        <w:jc w:val="center"/>
        <w:tblLook w:firstColumn="1" w:firstRow="1" w:lastColumn="0" w:lastRow="0" w:noHBand="0" w:noVBand="1" w:val="04A0"/>
      </w:tblPr>
      <w:tblGrid>
        <w:gridCol w:w="5083"/>
        <w:gridCol w:w="5083"/>
      </w:tblGrid>
      <w:tr>
        <w:tc>
          <w:tcPr>
            <w:tcW w:type="dxa" w:w="2160"/>
            <w:shd w:fill="1F4E79"/>
            <w:vAlign w:val="center"/>
          </w:tcPr>
          <w:p>
            <w:r/>
            <w:r>
              <w:rPr>
                <w:b/>
                <w:color w:val="FFFFFF"/>
                <w:sz w:val="18"/>
              </w:rPr>
              <w:t>Phase</w:t>
            </w:r>
          </w:p>
        </w:tc>
        <w:tc>
          <w:tcPr>
            <w:tcW w:type="dxa" w:w="7920"/>
            <w:shd w:fill="1F4E79"/>
            <w:vAlign w:val="center"/>
          </w:tcPr>
          <w:p>
            <w:r/>
            <w:r>
              <w:rPr>
                <w:b/>
                <w:color w:val="FFFFFF"/>
                <w:sz w:val="18"/>
              </w:rPr>
              <w:t>Scope</w:t>
            </w:r>
          </w:p>
        </w:tc>
      </w:tr>
      <w:tr>
        <w:tc>
          <w:tcPr>
            <w:tcW w:type="dxa" w:w="2160"/>
            <w:vAlign w:val="center"/>
            <w:shd w:fill="EAF2F8"/>
          </w:tcPr>
          <w:p>
            <w:r/>
            <w:r>
              <w:rPr>
                <w:b w:val="0"/>
                <w:sz w:val="18"/>
              </w:rPr>
              <w:t>Phase 1</w:t>
            </w:r>
          </w:p>
        </w:tc>
        <w:tc>
          <w:tcPr>
            <w:tcW w:type="dxa" w:w="7920"/>
            <w:vAlign w:val="center"/>
          </w:tcPr>
          <w:p>
            <w:r/>
            <w:r>
              <w:rPr>
                <w:b w:val="0"/>
                <w:sz w:val="18"/>
              </w:rPr>
              <w:t>Hackathon MVP: single agent, Meta Ads, ROAS contract, USDC escrow, ML underwriting</w:t>
            </w:r>
          </w:p>
        </w:tc>
      </w:tr>
      <w:tr>
        <w:tc>
          <w:tcPr>
            <w:tcW w:type="dxa" w:w="2160"/>
            <w:vAlign w:val="center"/>
            <w:shd w:fill="EAF2F8"/>
          </w:tcPr>
          <w:p>
            <w:r/>
            <w:r>
              <w:rPr>
                <w:b w:val="0"/>
                <w:sz w:val="18"/>
              </w:rPr>
              <w:t>Phase 2</w:t>
            </w:r>
          </w:p>
        </w:tc>
        <w:tc>
          <w:tcPr>
            <w:tcW w:type="dxa" w:w="7920"/>
            <w:vAlign w:val="center"/>
          </w:tcPr>
          <w:p>
            <w:r/>
            <w:r>
              <w:rPr>
                <w:b w:val="0"/>
                <w:sz w:val="18"/>
              </w:rPr>
              <w:t>Multi-agent contract marketplace and agent reputation</w:t>
            </w:r>
          </w:p>
        </w:tc>
      </w:tr>
      <w:tr>
        <w:tc>
          <w:tcPr>
            <w:tcW w:type="dxa" w:w="2160"/>
            <w:vAlign w:val="center"/>
            <w:shd w:fill="EAF2F8"/>
          </w:tcPr>
          <w:p>
            <w:r/>
            <w:r>
              <w:rPr>
                <w:b w:val="0"/>
                <w:sz w:val="18"/>
              </w:rPr>
              <w:t>Phase 3</w:t>
            </w:r>
          </w:p>
        </w:tc>
        <w:tc>
          <w:tcPr>
            <w:tcW w:type="dxa" w:w="7920"/>
            <w:vAlign w:val="center"/>
          </w:tcPr>
          <w:p>
            <w:r/>
            <w:r>
              <w:rPr>
                <w:b w:val="0"/>
                <w:sz w:val="18"/>
              </w:rPr>
              <w:t>Multi-channel marketing: Google Ads, TikTok Ads, Klaviyo, Shopify revenue data</w:t>
            </w:r>
          </w:p>
        </w:tc>
      </w:tr>
      <w:tr>
        <w:tc>
          <w:tcPr>
            <w:tcW w:type="dxa" w:w="2160"/>
            <w:vAlign w:val="center"/>
            <w:shd w:fill="EAF2F8"/>
          </w:tcPr>
          <w:p>
            <w:r/>
            <w:r>
              <w:rPr>
                <w:b w:val="0"/>
                <w:sz w:val="18"/>
              </w:rPr>
              <w:t>Phase 4</w:t>
            </w:r>
          </w:p>
        </w:tc>
        <w:tc>
          <w:tcPr>
            <w:tcW w:type="dxa" w:w="7920"/>
            <w:vAlign w:val="center"/>
          </w:tcPr>
          <w:p>
            <w:r/>
            <w:r>
              <w:rPr>
                <w:b w:val="0"/>
                <w:sz w:val="18"/>
              </w:rPr>
              <w:t>Global marketing intelligence and benchmark-data marketplace</w:t>
            </w:r>
          </w:p>
        </w:tc>
      </w:tr>
      <w:tr>
        <w:tc>
          <w:tcPr>
            <w:tcW w:type="dxa" w:w="2160"/>
            <w:vAlign w:val="center"/>
            <w:shd w:fill="EAF2F8"/>
          </w:tcPr>
          <w:p>
            <w:r/>
            <w:r>
              <w:rPr>
                <w:b w:val="0"/>
                <w:sz w:val="18"/>
              </w:rPr>
              <w:t>Phase 5</w:t>
            </w:r>
          </w:p>
        </w:tc>
        <w:tc>
          <w:tcPr>
            <w:tcW w:type="dxa" w:w="7920"/>
            <w:vAlign w:val="center"/>
          </w:tcPr>
          <w:p>
            <w:r/>
            <w:r>
              <w:rPr>
                <w:b w:val="0"/>
                <w:sz w:val="18"/>
              </w:rPr>
              <w:t>Autonomous GTM capital marketplace for measurable growth outcomes</w:t>
            </w:r>
          </w:p>
        </w:tc>
      </w:tr>
    </w:tbl>
    <w:p/>
    <w:p>
      <w:pPr>
        <w:pStyle w:val="Heading1"/>
        <w:spacing w:after="80" w:line="252" w:lineRule="auto"/>
      </w:pPr>
      <w:r>
        <w:t>22. Final Product Positioning</w:t>
      </w:r>
    </w:p>
    <w:p>
      <w:pPr>
        <w:pStyle w:val="Heading2"/>
        <w:spacing w:after="80" w:line="252" w:lineRule="auto"/>
      </w:pPr>
      <w:r>
        <w:t>Core positioning</w:t>
      </w:r>
    </w:p>
    <w:p>
      <w:pPr>
        <w:spacing w:after="80" w:line="252" w:lineRule="auto"/>
      </w:pPr>
      <w:r>
        <w:t>OutcomeX turns AI marketing from a software subscription into a performance contract.</w:t>
      </w:r>
    </w:p>
    <w:p>
      <w:pPr>
        <w:pStyle w:val="Heading2"/>
        <w:spacing w:after="80" w:line="252" w:lineRule="auto"/>
      </w:pPr>
      <w:r>
        <w:t>Investor-style framing</w:t>
      </w:r>
    </w:p>
    <w:p>
      <w:pPr>
        <w:spacing w:after="80" w:line="252" w:lineRule="auto"/>
      </w:pPr>
      <w:r>
        <w:t>We are building a marketplace where AI agents compete to deliver measurable ecommerce growth outcomes, price marketing risk using ML, execute strategies through ad-platform connectors, and settle performance fees in programmable USDC escrow.</w:t>
      </w:r>
    </w:p>
    <w:p>
      <w:pPr>
        <w:pStyle w:val="Heading2"/>
        <w:spacing w:after="80" w:line="252" w:lineRule="auto"/>
      </w:pPr>
      <w:r>
        <w:t>Hackathon framing</w:t>
      </w:r>
    </w:p>
    <w:p>
      <w:pPr>
        <w:spacing w:after="80" w:line="252" w:lineRule="auto"/>
      </w:pPr>
      <w:r>
        <w:t>OutcomeX is an autonomous economic agent for marketing outcomes. It prices performance contracts, executes campaigns, and earns on-chain USDC only when it creates verifiable value.</w:t>
      </w:r>
    </w:p>
    <w:sectPr w:rsidR="00FC693F" w:rsidRPr="0006063C" w:rsidSect="00034616">
      <w:footerReference w:type="default" r:id="rId9"/>
      <w:pgSz w:w="12240" w:h="15840"/>
      <w:pgMar w:top="936"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OutcomeX PRD | Performance-Paid AI Marketing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OutcomeX PRD — Performance-Paid AI Marketing Agent</dc:title>
  <dc:subject>Hackathon product requirements document</dc:subject>
  <dc:creator>OpenAI</dc:creator>
  <cp:keywords>OutcomeX, PRD, AI marketing agent, USDC, Arc, Meta Ads MCP,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