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090"/>
          <w:sz w:val="32"/>
          <w:szCs w:val="32"/>
        </w:rPr>
        <w:t xml:space="preserve">Closing the Remittance Gap: A Japan–Vietnam Market Research Case Study</w:t>
      </w:r>
    </w:p>
    <w:p>
      <w:pPr>
        <w:spacing w:after="200"/>
      </w:pPr>
      <w:r>
        <w:rPr>
          <w:i/>
          <w:iCs/>
          <w:color w:val="555555"/>
          <w:sz w:val="18"/>
          <w:szCs w:val="18"/>
        </w:rPr>
        <w:t xml:space="preserve">Prepared by Sankalp Singh  |  Independent research exercise on cross-border payments &amp; digital identity for Vietnamese residents in Japan</w:t>
      </w:r>
    </w:p>
    <w:p>
      <w:pPr>
        <w:pStyle w:val="Heading1"/>
        <w:pBdr>
          <w:bottom w:val="single" w:color="2E5090" w:sz="8" w:space="4"/>
        </w:pBdr>
        <w:spacing w:after="120" w:before="200"/>
      </w:pPr>
      <w:r>
        <w:rPr>
          <w:b/>
          <w:bCs/>
          <w:color w:val="2E5090"/>
          <w:sz w:val="26"/>
          <w:szCs w:val="26"/>
        </w:rPr>
        <w:t xml:space="preserve">1. The Problem</w:t>
      </w:r>
    </w:p>
    <w:p>
      <w:pPr>
        <w:spacing w:after="100"/>
      </w:pPr>
      <w:r>
        <w:rPr>
          <w:sz w:val="20"/>
          <w:szCs w:val="20"/>
        </w:rPr>
        <w:t xml:space="preserve">Vietnamese nationals form the largest foreign labor community in Japan, accounting for the majority of Technical Intern Trainees and Specified Skilled Workers, with the resident population growing nearly tenfold over the past decade to roughly 490,000. Sending money home is central to their financial lives — about 95% of foreign residents in Japan cite supporting family abroad as their primary reason for remitting, typically 80,000–100,000 JPY per month, often used to repay significant pre-departure debt taken on just to come to Japan.</w:t>
      </w:r>
    </w:p>
    <w:p>
      <w:pPr>
        <w:spacing w:after="100"/>
      </w:pPr>
      <w:r>
        <w:rPr>
          <w:sz w:val="20"/>
          <w:szCs w:val="20"/>
        </w:rPr>
        <w:t xml:space="preserve">Despite this scale and consistency of need, the remittance and identity-verification experience remains fragmented, expensive, and inaccessible during the exact period — the first six months in Japan — when new arrivals need it most.</w:t>
      </w:r>
    </w:p>
    <w:p>
      <w:pPr>
        <w:pStyle w:val="Heading1"/>
        <w:pBdr>
          <w:bottom w:val="single" w:color="2E5090" w:sz="8" w:space="4"/>
        </w:pBdr>
        <w:spacing w:after="120" w:before="200"/>
      </w:pPr>
      <w:r>
        <w:rPr>
          <w:b/>
          <w:bCs/>
          <w:color w:val="2E5090"/>
          <w:sz w:val="26"/>
          <w:szCs w:val="26"/>
        </w:rPr>
        <w:t xml:space="preserve">2. Persona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c>
          <w:tcPr>
            <w:tcW w:type="dxa" w:w="2400"/>
            <w:shd w:fill="EDF1F7" w:val="clear"/>
            <w:tcMar>
              <w:top w:type="dxa" w:w="80"/>
              <w:left w:type="dxa" w:w="100"/>
              <w:bottom w:type="dxa" w:w="80"/>
              <w:right w:type="dxa" w:w="100"/>
            </w:tcMar>
          </w:tcPr>
          <w:p>
            <w:r>
              <w:rPr>
                <w:b/>
                <w:bCs/>
                <w:sz w:val="18"/>
                <w:szCs w:val="18"/>
              </w:rPr>
              <w:t xml:space="preserve">Name</w:t>
            </w:r>
          </w:p>
        </w:tc>
        <w:tc>
          <w:tcPr>
            <w:tcW w:type="dxa" w:w="8040"/>
            <w:tcMar>
              <w:top w:type="dxa" w:w="80"/>
              <w:left w:type="dxa" w:w="100"/>
              <w:bottom w:type="dxa" w:w="80"/>
              <w:right w:type="dxa" w:w="100"/>
            </w:tcMar>
          </w:tcPr>
          <w:p>
            <w:r>
              <w:rPr>
                <w:b w:val="false"/>
                <w:bCs w:val="false"/>
                <w:sz w:val="18"/>
                <w:szCs w:val="18"/>
              </w:rPr>
              <w:t xml:space="preserve">Linh, 24</w:t>
            </w:r>
          </w:p>
        </w:tc>
      </w:tr>
      <w:tr>
        <w:tc>
          <w:tcPr>
            <w:tcW w:type="dxa" w:w="2400"/>
            <w:shd w:fill="EDF1F7" w:val="clear"/>
            <w:tcMar>
              <w:top w:type="dxa" w:w="80"/>
              <w:left w:type="dxa" w:w="100"/>
              <w:bottom w:type="dxa" w:w="80"/>
              <w:right w:type="dxa" w:w="100"/>
            </w:tcMar>
          </w:tcPr>
          <w:p>
            <w:r>
              <w:rPr>
                <w:b/>
                <w:bCs/>
                <w:sz w:val="18"/>
                <w:szCs w:val="18"/>
              </w:rPr>
              <w:t xml:space="preserve">Status</w:t>
            </w:r>
          </w:p>
        </w:tc>
        <w:tc>
          <w:tcPr>
            <w:tcW w:type="dxa" w:w="8040"/>
            <w:tcMar>
              <w:top w:type="dxa" w:w="80"/>
              <w:left w:type="dxa" w:w="100"/>
              <w:bottom w:type="dxa" w:w="80"/>
              <w:right w:type="dxa" w:w="100"/>
            </w:tcMar>
          </w:tcPr>
          <w:p>
            <w:r>
              <w:rPr>
                <w:b w:val="false"/>
                <w:bCs w:val="false"/>
                <w:sz w:val="18"/>
                <w:szCs w:val="18"/>
              </w:rPr>
              <w:t xml:space="preserve">Technical Intern Trainee, 3rd month in Japan, working in food manufacturing in Aichi Prefecture</w:t>
            </w:r>
          </w:p>
        </w:tc>
      </w:tr>
      <w:tr>
        <w:tc>
          <w:tcPr>
            <w:tcW w:type="dxa" w:w="2400"/>
            <w:shd w:fill="EDF1F7" w:val="clear"/>
            <w:tcMar>
              <w:top w:type="dxa" w:w="80"/>
              <w:left w:type="dxa" w:w="100"/>
              <w:bottom w:type="dxa" w:w="80"/>
              <w:right w:type="dxa" w:w="100"/>
            </w:tcMar>
          </w:tcPr>
          <w:p>
            <w:r>
              <w:rPr>
                <w:b/>
                <w:bCs/>
                <w:sz w:val="18"/>
                <w:szCs w:val="18"/>
              </w:rPr>
              <w:t xml:space="preserve">Income</w:t>
            </w:r>
          </w:p>
        </w:tc>
        <w:tc>
          <w:tcPr>
            <w:tcW w:type="dxa" w:w="8040"/>
            <w:tcMar>
              <w:top w:type="dxa" w:w="80"/>
              <w:left w:type="dxa" w:w="100"/>
              <w:bottom w:type="dxa" w:w="80"/>
              <w:right w:type="dxa" w:w="100"/>
            </w:tcMar>
          </w:tcPr>
          <w:p>
            <w:r>
              <w:rPr>
                <w:b w:val="false"/>
                <w:bCs w:val="false"/>
                <w:sz w:val="18"/>
                <w:szCs w:val="18"/>
              </w:rPr>
              <w:t xml:space="preserve">~191,000 JPY/month (first-year trainee average)</w:t>
            </w:r>
          </w:p>
        </w:tc>
      </w:tr>
      <w:tr>
        <w:tc>
          <w:tcPr>
            <w:tcW w:type="dxa" w:w="2400"/>
            <w:shd w:fill="EDF1F7" w:val="clear"/>
            <w:tcMar>
              <w:top w:type="dxa" w:w="80"/>
              <w:left w:type="dxa" w:w="100"/>
              <w:bottom w:type="dxa" w:w="80"/>
              <w:right w:type="dxa" w:w="100"/>
            </w:tcMar>
          </w:tcPr>
          <w:p>
            <w:r>
              <w:rPr>
                <w:b/>
                <w:bCs/>
                <w:sz w:val="18"/>
                <w:szCs w:val="18"/>
              </w:rPr>
              <w:t xml:space="preserve">Goal</w:t>
            </w:r>
          </w:p>
        </w:tc>
        <w:tc>
          <w:tcPr>
            <w:tcW w:type="dxa" w:w="8040"/>
            <w:tcMar>
              <w:top w:type="dxa" w:w="80"/>
              <w:left w:type="dxa" w:w="100"/>
              <w:bottom w:type="dxa" w:w="80"/>
              <w:right w:type="dxa" w:w="100"/>
            </w:tcMar>
          </w:tcPr>
          <w:p>
            <w:r>
              <w:rPr>
                <w:b w:val="false"/>
                <w:bCs w:val="false"/>
                <w:sz w:val="18"/>
                <w:szCs w:val="18"/>
              </w:rPr>
              <w:t xml:space="preserve">Repay the ~1,000,000 JPY broker debt taken on before departure, and send remaining savings home monthly</w:t>
            </w:r>
          </w:p>
        </w:tc>
      </w:tr>
      <w:tr>
        <w:tc>
          <w:tcPr>
            <w:tcW w:type="dxa" w:w="2400"/>
            <w:shd w:fill="EDF1F7" w:val="clear"/>
            <w:tcMar>
              <w:top w:type="dxa" w:w="80"/>
              <w:left w:type="dxa" w:w="100"/>
              <w:bottom w:type="dxa" w:w="80"/>
              <w:right w:type="dxa" w:w="100"/>
            </w:tcMar>
          </w:tcPr>
          <w:p>
            <w:r>
              <w:rPr>
                <w:b/>
                <w:bCs/>
                <w:sz w:val="18"/>
                <w:szCs w:val="18"/>
              </w:rPr>
              <w:t xml:space="preserve">Constraints</w:t>
            </w:r>
          </w:p>
        </w:tc>
        <w:tc>
          <w:tcPr>
            <w:tcW w:type="dxa" w:w="8040"/>
            <w:tcMar>
              <w:top w:type="dxa" w:w="80"/>
              <w:left w:type="dxa" w:w="100"/>
              <w:bottom w:type="dxa" w:w="80"/>
              <w:right w:type="dxa" w:w="100"/>
            </w:tcMar>
          </w:tcPr>
          <w:p>
            <w:r>
              <w:rPr>
                <w:b w:val="false"/>
                <w:bCs w:val="false"/>
                <w:sz w:val="18"/>
                <w:szCs w:val="18"/>
              </w:rPr>
              <w:t xml:space="preserve">Limited Japanese ability, no established banking history, classified as a “non-resident” for her first 6 months in Japan</w:t>
            </w:r>
          </w:p>
        </w:tc>
      </w:tr>
      <w:tr>
        <w:tc>
          <w:tcPr>
            <w:tcW w:type="dxa" w:w="2400"/>
            <w:shd w:fill="EDF1F7" w:val="clear"/>
            <w:tcMar>
              <w:top w:type="dxa" w:w="80"/>
              <w:left w:type="dxa" w:w="100"/>
              <w:bottom w:type="dxa" w:w="80"/>
              <w:right w:type="dxa" w:w="100"/>
            </w:tcMar>
          </w:tcPr>
          <w:p>
            <w:r>
              <w:rPr>
                <w:b/>
                <w:bCs/>
                <w:sz w:val="18"/>
                <w:szCs w:val="18"/>
              </w:rPr>
              <w:t xml:space="preserve">Frustration</w:t>
            </w:r>
          </w:p>
        </w:tc>
        <w:tc>
          <w:tcPr>
            <w:tcW w:type="dxa" w:w="8040"/>
            <w:tcMar>
              <w:top w:type="dxa" w:w="80"/>
              <w:left w:type="dxa" w:w="100"/>
              <w:bottom w:type="dxa" w:w="80"/>
              <w:right w:type="dxa" w:w="100"/>
            </w:tcMar>
          </w:tcPr>
          <w:p>
            <w:r>
              <w:rPr>
                <w:b w:val="false"/>
                <w:bCs w:val="false"/>
                <w:sz w:val="18"/>
                <w:szCs w:val="18"/>
              </w:rPr>
              <w:t xml:space="preserve">“I don’t know which app to trust, and the bank keeps asking for documents I don’t have yet.”</w:t>
            </w:r>
          </w:p>
        </w:tc>
      </w:tr>
    </w:tbl>
    <w:p>
      <w:pPr>
        <w:pStyle w:val="Heading1"/>
        <w:pBdr>
          <w:bottom w:val="single" w:color="2E5090" w:sz="8" w:space="4"/>
        </w:pBdr>
        <w:spacing w:after="120" w:before="200"/>
      </w:pPr>
      <w:r>
        <w:rPr>
          <w:b/>
          <w:bCs/>
          <w:color w:val="2E5090"/>
          <w:sz w:val="26"/>
          <w:szCs w:val="26"/>
        </w:rPr>
        <w:t xml:space="preserve">3. Customer Journey Map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2175"/>
        <w:gridCol w:w="2175"/>
        <w:gridCol w:w="2175"/>
        <w:gridCol w:w="2175"/>
      </w:tblGrid>
      <w:tr>
        <w:tc>
          <w:tcPr>
            <w:tcW w:type="dxa" w:w="1740"/>
            <w:shd w:fill="2E5090" w:val="clear"/>
            <w:tcMar>
              <w:top w:type="dxa" w:w="80"/>
              <w:left w:type="dxa" w:w="100"/>
              <w:bottom w:type="dxa" w:w="80"/>
              <w:right w:type="dxa" w:w="100"/>
            </w:tcMar>
          </w:tcPr>
          <w:p>
            <w:r>
              <w:rPr>
                <w:b/>
                <w:bCs/>
                <w:sz w:val="18"/>
                <w:szCs w:val="18"/>
              </w:rPr>
              <w:t xml:space="preserve">Stage</w:t>
            </w:r>
          </w:p>
        </w:tc>
        <w:tc>
          <w:tcPr>
            <w:tcW w:type="dxa" w:w="2175"/>
            <w:shd w:fill="2E5090" w:val="clear"/>
            <w:tcMar>
              <w:top w:type="dxa" w:w="80"/>
              <w:left w:type="dxa" w:w="100"/>
              <w:bottom w:type="dxa" w:w="80"/>
              <w:right w:type="dxa" w:w="100"/>
            </w:tcMar>
          </w:tcPr>
          <w:p>
            <w:r>
              <w:rPr>
                <w:b/>
                <w:bCs/>
                <w:sz w:val="18"/>
                <w:szCs w:val="18"/>
              </w:rPr>
              <w:t xml:space="preserve">Arrival (Month 1)</w:t>
            </w:r>
          </w:p>
        </w:tc>
        <w:tc>
          <w:tcPr>
            <w:tcW w:type="dxa" w:w="2175"/>
            <w:shd w:fill="2E5090" w:val="clear"/>
            <w:tcMar>
              <w:top w:type="dxa" w:w="80"/>
              <w:left w:type="dxa" w:w="100"/>
              <w:bottom w:type="dxa" w:w="80"/>
              <w:right w:type="dxa" w:w="100"/>
            </w:tcMar>
          </w:tcPr>
          <w:p>
            <w:r>
              <w:rPr>
                <w:b/>
                <w:bCs/>
                <w:sz w:val="18"/>
                <w:szCs w:val="18"/>
              </w:rPr>
              <w:t xml:space="preserve">Settling In (Month 2–6)</w:t>
            </w:r>
          </w:p>
        </w:tc>
        <w:tc>
          <w:tcPr>
            <w:tcW w:type="dxa" w:w="2175"/>
            <w:shd w:fill="2E5090" w:val="clear"/>
            <w:tcMar>
              <w:top w:type="dxa" w:w="80"/>
              <w:left w:type="dxa" w:w="100"/>
              <w:bottom w:type="dxa" w:w="80"/>
              <w:right w:type="dxa" w:w="100"/>
            </w:tcMar>
          </w:tcPr>
          <w:p>
            <w:r>
              <w:rPr>
                <w:b/>
                <w:bCs/>
                <w:sz w:val="18"/>
                <w:szCs w:val="18"/>
              </w:rPr>
              <w:t xml:space="preserve">First Remittance Attempt</w:t>
            </w:r>
          </w:p>
        </w:tc>
        <w:tc>
          <w:tcPr>
            <w:tcW w:type="dxa" w:w="2175"/>
            <w:shd w:fill="2E5090" w:val="clear"/>
            <w:tcMar>
              <w:top w:type="dxa" w:w="80"/>
              <w:left w:type="dxa" w:w="100"/>
              <w:bottom w:type="dxa" w:w="80"/>
              <w:right w:type="dxa" w:w="100"/>
            </w:tcMar>
          </w:tcPr>
          <w:p>
            <w:r>
              <w:rPr>
                <w:b/>
                <w:bCs/>
                <w:sz w:val="18"/>
                <w:szCs w:val="18"/>
              </w:rPr>
              <w:t xml:space="preserve">Ongoing Use</w:t>
            </w:r>
          </w:p>
        </w:tc>
      </w:tr>
      <w:tr>
        <w:tc>
          <w:tcPr>
            <w:tcW w:type="dxa" w:w="1740"/>
            <w:shd w:fill="EDF1F7" w:val="clear"/>
            <w:tcMar>
              <w:top w:type="dxa" w:w="80"/>
              <w:left w:type="dxa" w:w="100"/>
              <w:bottom w:type="dxa" w:w="80"/>
              <w:right w:type="dxa" w:w="100"/>
            </w:tcMar>
          </w:tcPr>
          <w:p>
            <w:r>
              <w:rPr>
                <w:b/>
                <w:bCs/>
                <w:sz w:val="18"/>
                <w:szCs w:val="18"/>
              </w:rPr>
              <w:t xml:space="preserve">What she does</w:t>
            </w:r>
          </w:p>
        </w:tc>
        <w:tc>
          <w:tcPr>
            <w:tcW w:type="dxa" w:w="2175"/>
            <w:tcMar>
              <w:top w:type="dxa" w:w="80"/>
              <w:left w:type="dxa" w:w="100"/>
              <w:bottom w:type="dxa" w:w="80"/>
              <w:right w:type="dxa" w:w="100"/>
            </w:tcMar>
          </w:tcPr>
          <w:p>
            <w:r>
              <w:rPr>
                <w:b w:val="false"/>
                <w:bCs w:val="false"/>
                <w:sz w:val="18"/>
                <w:szCs w:val="18"/>
              </w:rPr>
              <w:t xml:space="preserve">Receives residence card, opens Japan Post account with employer’s help</w:t>
            </w:r>
          </w:p>
        </w:tc>
        <w:tc>
          <w:tcPr>
            <w:tcW w:type="dxa" w:w="2175"/>
            <w:tcMar>
              <w:top w:type="dxa" w:w="80"/>
              <w:left w:type="dxa" w:w="100"/>
              <w:bottom w:type="dxa" w:w="80"/>
              <w:right w:type="dxa" w:w="100"/>
            </w:tcMar>
          </w:tcPr>
          <w:p>
            <w:r>
              <w:rPr>
                <w:b w:val="false"/>
                <w:bCs w:val="false"/>
                <w:sz w:val="18"/>
                <w:szCs w:val="18"/>
              </w:rPr>
              <w:t xml:space="preserve">Tries to open a second, better bank account alone; struggles with Japanese-only forms</w:t>
            </w:r>
          </w:p>
        </w:tc>
        <w:tc>
          <w:tcPr>
            <w:tcW w:type="dxa" w:w="2175"/>
            <w:tcMar>
              <w:top w:type="dxa" w:w="80"/>
              <w:left w:type="dxa" w:w="100"/>
              <w:bottom w:type="dxa" w:w="80"/>
              <w:right w:type="dxa" w:w="100"/>
            </w:tcMar>
          </w:tcPr>
          <w:p>
            <w:r>
              <w:rPr>
                <w:b w:val="false"/>
                <w:bCs w:val="false"/>
                <w:sz w:val="18"/>
                <w:szCs w:val="18"/>
              </w:rPr>
              <w:t xml:space="preserve">Asks coworkers which app to use for sending money to Vietnam</w:t>
            </w:r>
          </w:p>
        </w:tc>
        <w:tc>
          <w:tcPr>
            <w:tcW w:type="dxa" w:w="2175"/>
            <w:tcMar>
              <w:top w:type="dxa" w:w="80"/>
              <w:left w:type="dxa" w:w="100"/>
              <w:bottom w:type="dxa" w:w="80"/>
              <w:right w:type="dxa" w:w="100"/>
            </w:tcMar>
          </w:tcPr>
          <w:p>
            <w:r>
              <w:rPr>
                <w:b w:val="false"/>
                <w:bCs w:val="false"/>
                <w:sz w:val="18"/>
                <w:szCs w:val="18"/>
              </w:rPr>
              <w:t xml:space="preserve">Settles on whichever service a senior coworker recommended, regardless of fees</w:t>
            </w:r>
          </w:p>
        </w:tc>
      </w:tr>
      <w:tr>
        <w:tc>
          <w:tcPr>
            <w:tcW w:type="dxa" w:w="1740"/>
            <w:shd w:fill="EDF1F7" w:val="clear"/>
            <w:tcMar>
              <w:top w:type="dxa" w:w="80"/>
              <w:left w:type="dxa" w:w="100"/>
              <w:bottom w:type="dxa" w:w="80"/>
              <w:right w:type="dxa" w:w="100"/>
            </w:tcMar>
          </w:tcPr>
          <w:p>
            <w:r>
              <w:rPr>
                <w:b/>
                <w:bCs/>
                <w:sz w:val="18"/>
                <w:szCs w:val="18"/>
              </w:rPr>
              <w:t xml:space="preserve">Pain point</w:t>
            </w:r>
          </w:p>
        </w:tc>
        <w:tc>
          <w:tcPr>
            <w:tcW w:type="dxa" w:w="2175"/>
            <w:tcMar>
              <w:top w:type="dxa" w:w="80"/>
              <w:left w:type="dxa" w:w="100"/>
              <w:bottom w:type="dxa" w:w="80"/>
              <w:right w:type="dxa" w:w="100"/>
            </w:tcMar>
          </w:tcPr>
          <w:p>
            <w:r>
              <w:rPr>
                <w:b w:val="false"/>
                <w:bCs w:val="false"/>
                <w:sz w:val="18"/>
                <w:szCs w:val="18"/>
              </w:rPr>
              <w:t xml:space="preserve">Cannot send/receive international transfers yet — “non-resident” status blocks it</w:t>
            </w:r>
          </w:p>
        </w:tc>
        <w:tc>
          <w:tcPr>
            <w:tcW w:type="dxa" w:w="2175"/>
            <w:tcMar>
              <w:top w:type="dxa" w:w="80"/>
              <w:left w:type="dxa" w:w="100"/>
              <w:bottom w:type="dxa" w:w="80"/>
              <w:right w:type="dxa" w:w="100"/>
            </w:tcMar>
          </w:tcPr>
          <w:p>
            <w:r>
              <w:rPr>
                <w:b w:val="false"/>
                <w:bCs w:val="false"/>
                <w:sz w:val="18"/>
                <w:szCs w:val="18"/>
              </w:rPr>
              <w:t xml:space="preserve">Language barrier; unsure which documents are valid or sufficient</w:t>
            </w:r>
          </w:p>
        </w:tc>
        <w:tc>
          <w:tcPr>
            <w:tcW w:type="dxa" w:w="2175"/>
            <w:tcMar>
              <w:top w:type="dxa" w:w="80"/>
              <w:left w:type="dxa" w:w="100"/>
              <w:bottom w:type="dxa" w:w="80"/>
              <w:right w:type="dxa" w:w="100"/>
            </w:tcMar>
          </w:tcPr>
          <w:p>
            <w:r>
              <w:rPr>
                <w:b w:val="false"/>
                <w:bCs w:val="false"/>
                <w:sz w:val="18"/>
                <w:szCs w:val="18"/>
              </w:rPr>
              <w:t xml:space="preserve">No trusted, neutral source comparing fees, speed, and cash-pickup options</w:t>
            </w:r>
          </w:p>
        </w:tc>
        <w:tc>
          <w:tcPr>
            <w:tcW w:type="dxa" w:w="2175"/>
            <w:tcMar>
              <w:top w:type="dxa" w:w="80"/>
              <w:left w:type="dxa" w:w="100"/>
              <w:bottom w:type="dxa" w:w="80"/>
              <w:right w:type="dxa" w:w="100"/>
            </w:tcMar>
          </w:tcPr>
          <w:p>
            <w:r>
              <w:rPr>
                <w:b w:val="false"/>
                <w:bCs w:val="false"/>
                <w:sz w:val="18"/>
                <w:szCs w:val="18"/>
              </w:rPr>
              <w:t xml:space="preserve">Unaware she may be losing thousands of yen per year to fees/FX markup</w:t>
            </w:r>
          </w:p>
        </w:tc>
      </w:tr>
      <w:tr>
        <w:tc>
          <w:tcPr>
            <w:tcW w:type="dxa" w:w="1740"/>
            <w:shd w:fill="EDF1F7" w:val="clear"/>
            <w:tcMar>
              <w:top w:type="dxa" w:w="80"/>
              <w:left w:type="dxa" w:w="100"/>
              <w:bottom w:type="dxa" w:w="80"/>
              <w:right w:type="dxa" w:w="100"/>
            </w:tcMar>
          </w:tcPr>
          <w:p>
            <w:r>
              <w:rPr>
                <w:b/>
                <w:bCs/>
                <w:sz w:val="18"/>
                <w:szCs w:val="18"/>
              </w:rPr>
              <w:t xml:space="preserve">Emotion</w:t>
            </w:r>
          </w:p>
        </w:tc>
        <w:tc>
          <w:tcPr>
            <w:tcW w:type="dxa" w:w="2175"/>
            <w:tcMar>
              <w:top w:type="dxa" w:w="80"/>
              <w:left w:type="dxa" w:w="100"/>
              <w:bottom w:type="dxa" w:w="80"/>
              <w:right w:type="dxa" w:w="100"/>
            </w:tcMar>
          </w:tcPr>
          <w:p>
            <w:r>
              <w:rPr>
                <w:b w:val="false"/>
                <w:bCs w:val="false"/>
                <w:sz w:val="18"/>
                <w:szCs w:val="18"/>
              </w:rPr>
              <w:t xml:space="preserve">Anxious, dependent on employer</w:t>
            </w:r>
          </w:p>
        </w:tc>
        <w:tc>
          <w:tcPr>
            <w:tcW w:type="dxa" w:w="2175"/>
            <w:tcMar>
              <w:top w:type="dxa" w:w="80"/>
              <w:left w:type="dxa" w:w="100"/>
              <w:bottom w:type="dxa" w:w="80"/>
              <w:right w:type="dxa" w:w="100"/>
            </w:tcMar>
          </w:tcPr>
          <w:p>
            <w:r>
              <w:rPr>
                <w:b w:val="false"/>
                <w:bCs w:val="false"/>
                <w:sz w:val="18"/>
                <w:szCs w:val="18"/>
              </w:rPr>
              <w:t xml:space="preserve">Confused, isolated</w:t>
            </w:r>
          </w:p>
        </w:tc>
        <w:tc>
          <w:tcPr>
            <w:tcW w:type="dxa" w:w="2175"/>
            <w:tcMar>
              <w:top w:type="dxa" w:w="80"/>
              <w:left w:type="dxa" w:w="100"/>
              <w:bottom w:type="dxa" w:w="80"/>
              <w:right w:type="dxa" w:w="100"/>
            </w:tcMar>
          </w:tcPr>
          <w:p>
            <w:r>
              <w:rPr>
                <w:b w:val="false"/>
                <w:bCs w:val="false"/>
                <w:sz w:val="18"/>
                <w:szCs w:val="18"/>
              </w:rPr>
              <w:t xml:space="preserve">Uncertain, trust-seeking</w:t>
            </w:r>
          </w:p>
        </w:tc>
        <w:tc>
          <w:tcPr>
            <w:tcW w:type="dxa" w:w="2175"/>
            <w:tcMar>
              <w:top w:type="dxa" w:w="80"/>
              <w:left w:type="dxa" w:w="100"/>
              <w:bottom w:type="dxa" w:w="80"/>
              <w:right w:type="dxa" w:w="100"/>
            </w:tcMar>
          </w:tcPr>
          <w:p>
            <w:r>
              <w:rPr>
                <w:b w:val="false"/>
                <w:bCs w:val="false"/>
                <w:sz w:val="18"/>
                <w:szCs w:val="18"/>
              </w:rPr>
              <w:t xml:space="preserve">Resigned, not optimizing</w:t>
            </w:r>
          </w:p>
        </w:tc>
      </w:tr>
    </w:tbl>
    <w:p>
      <w:pPr>
        <w:pStyle w:val="Heading1"/>
        <w:pBdr>
          <w:bottom w:val="single" w:color="2E5090" w:sz="8" w:space="4"/>
        </w:pBdr>
        <w:spacing w:after="120" w:before="200"/>
      </w:pPr>
      <w:r>
        <w:rPr>
          <w:b/>
          <w:bCs/>
          <w:color w:val="2E5090"/>
          <w:sz w:val="26"/>
          <w:szCs w:val="26"/>
        </w:rPr>
        <w:t xml:space="preserve">4. Key Pain Points (Ranked)</w:t>
      </w:r>
    </w:p>
    <w:p>
      <w:pPr>
        <w:spacing w:after="60"/>
      </w:pPr>
      <w:r>
        <w:rPr>
          <w:b/>
          <w:bCs/>
          <w:sz w:val="20"/>
          <w:szCs w:val="20"/>
        </w:rPr>
        <w:t xml:space="preserve">1. The 6-month “non-resident” lockout</w:t>
      </w:r>
    </w:p>
    <w:p>
      <w:pPr>
        <w:spacing w:after="100"/>
      </w:pPr>
      <w:r>
        <w:rPr>
          <w:sz w:val="20"/>
          <w:szCs w:val="20"/>
        </w:rPr>
        <w:t xml:space="preserve">New arrivals cannot make or receive international wire transfers for their first 6 months in Japan under standard banking rules — exactly when debt repayment pressure is highest.</w:t>
      </w:r>
    </w:p>
    <w:p>
      <w:pPr>
        <w:spacing w:after="60"/>
      </w:pPr>
      <w:r>
        <w:rPr>
          <w:b/>
          <w:bCs/>
          <w:sz w:val="20"/>
          <w:szCs w:val="20"/>
        </w:rPr>
        <w:t xml:space="preserve">2. Identity verification friction</w:t>
      </w:r>
    </w:p>
    <w:p>
      <w:pPr>
        <w:spacing w:after="100"/>
      </w:pPr>
      <w:r>
        <w:rPr>
          <w:sz w:val="20"/>
          <w:szCs w:val="20"/>
        </w:rPr>
        <w:t xml:space="preserve">Strict document requirements (residence card, minimum stay validity, sometimes a hanko) combined with Japanese-only forms create a high failure/retry rate for first-time applicants.</w:t>
      </w:r>
    </w:p>
    <w:p>
      <w:pPr>
        <w:spacing w:after="60"/>
      </w:pPr>
      <w:r>
        <w:rPr>
          <w:b/>
          <w:bCs/>
          <w:sz w:val="20"/>
          <w:szCs w:val="20"/>
        </w:rPr>
        <w:t xml:space="preserve">3. Opaque fees and FX markups</w:t>
      </w:r>
    </w:p>
    <w:p>
      <w:pPr>
        <w:spacing w:after="100"/>
      </w:pPr>
      <w:r>
        <w:rPr>
          <w:sz w:val="20"/>
          <w:szCs w:val="20"/>
        </w:rPr>
        <w:t xml:space="preserve">Traditional banks charge 4,000–6,000 JPY per transfer plus hidden exchange-rate markup that can erase over 6,000 JPY on a single 1,000,000 JPY transfer — costs that are rarely disclosed upfront.</w:t>
      </w:r>
    </w:p>
    <w:p>
      <w:pPr>
        <w:spacing w:after="60"/>
      </w:pPr>
      <w:r>
        <w:rPr>
          <w:b/>
          <w:bCs/>
          <w:sz w:val="20"/>
          <w:szCs w:val="20"/>
        </w:rPr>
        <w:t xml:space="preserve">4. Fragmented, trust-dependent decision-making</w:t>
      </w:r>
    </w:p>
    <w:p>
      <w:pPr>
        <w:spacing w:after="100"/>
      </w:pPr>
      <w:r>
        <w:rPr>
          <w:sz w:val="20"/>
          <w:szCs w:val="20"/>
        </w:rPr>
        <w:t xml:space="preserve">Workers choose remittance services based on word-of-mouth from coworkers rather than an objective comparison of fee, speed, and cash-pickup needs — leading many to overpay for years.</w:t>
      </w:r>
    </w:p>
    <w:p>
      <w:pPr>
        <w:pStyle w:val="Heading1"/>
        <w:pBdr>
          <w:bottom w:val="single" w:color="2E5090" w:sz="8" w:space="4"/>
        </w:pBdr>
        <w:spacing w:after="120" w:before="200"/>
      </w:pPr>
      <w:r>
        <w:rPr>
          <w:b/>
          <w:bCs/>
          <w:color w:val="2E5090"/>
          <w:sz w:val="26"/>
          <w:szCs w:val="26"/>
        </w:rPr>
        <w:t xml:space="preserve">5. Proposed Value Proposition</w:t>
      </w:r>
    </w:p>
    <w:p>
      <w:pPr>
        <w:spacing w:after="100"/>
      </w:pPr>
      <w:r>
        <w:rPr>
          <w:sz w:val="20"/>
          <w:szCs w:val="20"/>
        </w:rPr>
        <w:t xml:space="preserve">A guided digital onboarding companion for Vietnamese workers and students arriving in Japan that:</w:t>
      </w:r>
    </w:p>
    <w:p>
      <w:pPr>
        <w:pStyle w:val="ListParagraph"/>
        <w:numPr>
          <w:ilvl w:val="0"/>
          <w:numId w:val="2"/>
        </w:numPr>
        <w:spacing w:after="60"/>
      </w:pPr>
      <w:r>
        <w:rPr>
          <w:sz w:val="20"/>
          <w:szCs w:val="20"/>
        </w:rPr>
        <w:t xml:space="preserve">Pre-verifies identity documents before or immediately upon arrival, shortening the path to a usable bank account (mirroring MUFG’s recent partnership with Bank Danamon to pre-process Indonesian trainee accounts before arrival)</w:t>
      </w:r>
    </w:p>
    <w:p>
      <w:pPr>
        <w:pStyle w:val="ListParagraph"/>
        <w:numPr>
          <w:ilvl w:val="0"/>
          <w:numId w:val="2"/>
        </w:numPr>
        <w:spacing w:after="60"/>
      </w:pPr>
      <w:r>
        <w:rPr>
          <w:sz w:val="20"/>
          <w:szCs w:val="20"/>
        </w:rPr>
        <w:t xml:space="preserve">Explains, in Vietnamese, exactly what “non-resident” status means and what becomes possible at 6 months, replacing anxiety with a clear timeline</w:t>
      </w:r>
    </w:p>
    <w:p>
      <w:pPr>
        <w:pStyle w:val="ListParagraph"/>
        <w:numPr>
          <w:ilvl w:val="0"/>
          <w:numId w:val="2"/>
        </w:numPr>
        <w:spacing w:after="60"/>
      </w:pPr>
      <w:r>
        <w:rPr>
          <w:sz w:val="20"/>
          <w:szCs w:val="20"/>
        </w:rPr>
        <w:t xml:space="preserve">Offers a transparent, side-by-side comparison of remittance options (fee, speed, cash-pickup availability) tailored to the Japan–Vietnam corridor</w:t>
      </w:r>
    </w:p>
    <w:p>
      <w:pPr>
        <w:spacing w:after="100"/>
      </w:pPr>
      <w:r>
        <w:rPr>
          <w:sz w:val="20"/>
          <w:szCs w:val="20"/>
        </w:rPr>
        <w:t xml:space="preserve">One-line pitch: “The trusted first 6 months — helping Vietnamese arrivals in Japan understand their financial rights, verify their identity faster, and never overpay to send money home.”</w:t>
      </w:r>
    </w:p>
    <w:p>
      <w:pPr>
        <w:pStyle w:val="Heading1"/>
        <w:pBdr>
          <w:bottom w:val="single" w:color="2E5090" w:sz="8" w:space="4"/>
        </w:pBdr>
        <w:spacing w:after="120" w:before="200"/>
      </w:pPr>
      <w:r>
        <w:rPr>
          <w:b/>
          <w:bCs/>
          <w:color w:val="2E5090"/>
          <w:sz w:val="26"/>
          <w:szCs w:val="26"/>
        </w:rPr>
        <w:t xml:space="preserve">6. Business Feasibility Notes</w:t>
      </w:r>
    </w:p>
    <w:p>
      <w:pPr>
        <w:pStyle w:val="ListParagraph"/>
        <w:numPr>
          <w:ilvl w:val="0"/>
          <w:numId w:val="2"/>
        </w:numPr>
        <w:spacing w:after="60"/>
      </w:pPr>
      <w:r>
        <w:rPr>
          <w:sz w:val="20"/>
          <w:szCs w:val="20"/>
        </w:rPr>
        <w:t xml:space="preserve">Regulatory: Any remittance-adjacent product must operate within Japan’s Payment Services Act and partner with (not replace) a licensed Funds Transfer Business Operator — the realistic path is a guidance/comparison layer, not a new license from scratch</w:t>
      </w:r>
    </w:p>
    <w:p>
      <w:pPr>
        <w:pStyle w:val="ListParagraph"/>
        <w:numPr>
          <w:ilvl w:val="0"/>
          <w:numId w:val="2"/>
        </w:numPr>
        <w:spacing w:after="60"/>
      </w:pPr>
      <w:r>
        <w:rPr>
          <w:sz w:val="20"/>
          <w:szCs w:val="20"/>
        </w:rPr>
        <w:t xml:space="preserve">Partnership potential: Precedent exists for bank–sending-country partnerships (MUFG × Bank Danamon for Indonesia); a similar Japan–Vietnam bank or fintech partnership is a plausible go-to-market path</w:t>
      </w:r>
    </w:p>
    <w:p>
      <w:pPr>
        <w:pStyle w:val="ListParagraph"/>
        <w:numPr>
          <w:ilvl w:val="0"/>
          <w:numId w:val="2"/>
        </w:numPr>
        <w:spacing w:after="60"/>
      </w:pPr>
      <w:r>
        <w:rPr>
          <w:sz w:val="20"/>
          <w:szCs w:val="20"/>
        </w:rPr>
        <w:t xml:space="preserve">Monetization: Referral/affiliate model with existing licensed remittance providers (Wise, SBI Remit, Kyodai, Smiles) rather than becoming a money-transfer operator directly</w:t>
      </w:r>
    </w:p>
    <w:p>
      <w:pPr>
        <w:pStyle w:val="ListParagraph"/>
        <w:numPr>
          <w:ilvl w:val="0"/>
          <w:numId w:val="2"/>
        </w:numPr>
        <w:spacing w:after="60"/>
      </w:pPr>
      <w:r>
        <w:rPr>
          <w:sz w:val="20"/>
          <w:szCs w:val="20"/>
        </w:rPr>
        <w:t xml:space="preserve">Risk: Must stay strictly informational/comparative to avoid financial-advice or money-transfer licensing requirements in early stages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2026-07-13T19:38:08.246Z</dcterms:created>
  <dcterms:modified xsi:type="dcterms:W3CDTF">2026-07-13T19:38:08.266Z</dcterms:modified>
</cp:coreProperties>
</file>

<file path=docProps/custom.xml><?xml version="1.0" encoding="utf-8"?>
<Properties xmlns="http://schemas.openxmlformats.org/officeDocument/2006/custom-properties" xmlns:vt="http://schemas.openxmlformats.org/officeDocument/2006/docPropsVTypes"/>
</file>