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Supplementary Material (Appendix)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Remote Sensing Image Change Caption Generation for Indian Sentinel-2 Imagery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Sankalp Chaturvedi (2025201083), KSPSVLN Siddardha Kumar Kavuri (2025201061), Rinkesh Verma (2025201070)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· Mentor: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Rama Chandra Prasad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Appendix tables and figures are cited in the main text as Appendix Table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Appendix Figure 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Prediction sheets for all saved test samples are published at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kaggle.com/datasets/kspsvlnsiddardha/rsicc-model-run-reports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ijzwgjnslcp4" w:id="0"/>
    <w:bookmarkEnd w:id="0"/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Appendix tables</w:t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Appendix Table A1.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Full LEVIR-CC test metrics (n = 1,929).</w:t>
      </w:r>
    </w:p>
    <w:tbl>
      <w:tblPr>
        <w:tblStyle w:val="Table1"/>
        <w:tblW w:w="9638.000000000002" w:type="dxa"/>
        <w:jc w:val="center"/>
        <w:tblBorders>
          <w:top w:color="1f3864" w:space="0" w:sz="8" w:val="single"/>
          <w:bottom w:color="1f3864" w:space="0" w:sz="8" w:val="single"/>
          <w:insideH w:color="bfbfbf" w:space="0" w:sz="4" w:val="single"/>
        </w:tblBorders>
        <w:tblLayout w:type="fixed"/>
        <w:tblLook w:val="0420"/>
      </w:tblPr>
      <w:tblGrid>
        <w:gridCol w:w="1821"/>
        <w:gridCol w:w="835"/>
        <w:gridCol w:w="987"/>
        <w:gridCol w:w="987"/>
        <w:gridCol w:w="987"/>
        <w:gridCol w:w="987"/>
        <w:gridCol w:w="987"/>
        <w:gridCol w:w="1062"/>
        <w:gridCol w:w="985"/>
        <w:tblGridChange w:id="0">
          <w:tblGrid>
            <w:gridCol w:w="1821"/>
            <w:gridCol w:w="835"/>
            <w:gridCol w:w="987"/>
            <w:gridCol w:w="987"/>
            <w:gridCol w:w="987"/>
            <w:gridCol w:w="987"/>
            <w:gridCol w:w="987"/>
            <w:gridCol w:w="1062"/>
            <w:gridCol w:w="985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BLEU-1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BLEU-2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BLEU-3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BLEU-4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METEOR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ROUGE-L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Cosine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0.9690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0.4720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0.3855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0.3393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0.3027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0.5966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0.6214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0.6477</w:t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0.9345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0.5168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0.4237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0.3712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0.3284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0.6304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0.6545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0.7061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0.8982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0.5311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0.4355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0.3810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0.3365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0.6392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0.6604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0.7123</w:t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0.9225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0.5214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0.4297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0.3777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0.3358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0.6357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0.6624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0.7149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Phase 8, stage 1a (epoch 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0.5092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0.4167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0.3658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0.3250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0.6155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0.6482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0.7007</w:t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Phase 8, stage 1b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0.0104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Appendix Table A2.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Training configuration.</w:t>
      </w:r>
    </w:p>
    <w:tbl>
      <w:tblPr>
        <w:tblStyle w:val="Table2"/>
        <w:tblW w:w="9638.0" w:type="dxa"/>
        <w:jc w:val="center"/>
        <w:tblBorders>
          <w:top w:color="1f3864" w:space="0" w:sz="8" w:val="single"/>
          <w:bottom w:color="1f3864" w:space="0" w:sz="8" w:val="single"/>
          <w:insideH w:color="bfbfbf" w:space="0" w:sz="4" w:val="single"/>
        </w:tblBorders>
        <w:tblLayout w:type="fixed"/>
        <w:tblLook w:val="0420"/>
      </w:tblPr>
      <w:tblGrid>
        <w:gridCol w:w="1728"/>
        <w:gridCol w:w="1091"/>
        <w:gridCol w:w="1091"/>
        <w:gridCol w:w="1091"/>
        <w:gridCol w:w="1546"/>
        <w:gridCol w:w="1455"/>
        <w:gridCol w:w="1636"/>
        <w:tblGridChange w:id="0">
          <w:tblGrid>
            <w:gridCol w:w="1728"/>
            <w:gridCol w:w="1091"/>
            <w:gridCol w:w="1091"/>
            <w:gridCol w:w="1091"/>
            <w:gridCol w:w="1546"/>
            <w:gridCol w:w="1455"/>
            <w:gridCol w:w="1636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Phase 8 (1a)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Phase 8 (1b)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Input size (px)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 × 224 tiles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224</w:t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Batch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≥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Learning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1×10⁻⁴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1×10⁻⁴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1×10⁻⁴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1×10⁻⁴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1×10⁻⁴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5×10⁻⁵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Weight decay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1×10⁻⁵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1×10⁻⁵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1×10⁻⁵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1×10⁻⁵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1×10⁻⁵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1×10⁻⁵</w:t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733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733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1,300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1,300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733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Qwen tokenizer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Appendix Table A3.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Forgetting after SECOND-CC fine-tuning (LEVIR-CC test set).</w:t>
      </w:r>
    </w:p>
    <w:tbl>
      <w:tblPr>
        <w:tblStyle w:val="Table3"/>
        <w:tblW w:w="9638.0" w:type="dxa"/>
        <w:jc w:val="center"/>
        <w:tblBorders>
          <w:top w:color="1f3864" w:space="0" w:sz="8" w:val="single"/>
          <w:bottom w:color="1f3864" w:space="0" w:sz="8" w:val="single"/>
          <w:insideH w:color="bfbfbf" w:space="0" w:sz="4" w:val="single"/>
        </w:tblBorders>
        <w:tblLayout w:type="fixed"/>
        <w:tblLook w:val="0420"/>
      </w:tblPr>
      <w:tblGrid>
        <w:gridCol w:w="2206"/>
        <w:gridCol w:w="1277"/>
        <w:gridCol w:w="1510"/>
        <w:gridCol w:w="1510"/>
        <w:gridCol w:w="1626"/>
        <w:gridCol w:w="1509"/>
        <w:tblGridChange w:id="0">
          <w:tblGrid>
            <w:gridCol w:w="2206"/>
            <w:gridCol w:w="1277"/>
            <w:gridCol w:w="1510"/>
            <w:gridCol w:w="1510"/>
            <w:gridCol w:w="1626"/>
            <w:gridCol w:w="1509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BLEU-4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METEOR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ROUGE-L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Cosine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Final,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0.898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0.337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0.639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0.660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0.712</w:t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Final, 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4.080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0.149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0.394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0.437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0.458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Phase 6,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0.923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0.336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0.636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0.662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0.715</w:t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Phase 6, 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3.520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0.121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0.318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0.374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0.438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Appendix Table A4.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Prediction behaviour on the saved prediction sheets (300 samples each).</w:t>
      </w:r>
    </w:p>
    <w:tbl>
      <w:tblPr>
        <w:tblStyle w:val="Table4"/>
        <w:tblW w:w="9638.0" w:type="dxa"/>
        <w:jc w:val="center"/>
        <w:tblBorders>
          <w:top w:color="1f3864" w:space="0" w:sz="8" w:val="single"/>
          <w:bottom w:color="1f3864" w:space="0" w:sz="8" w:val="single"/>
          <w:insideH w:color="bfbfbf" w:space="0" w:sz="4" w:val="single"/>
        </w:tblBorders>
        <w:tblLayout w:type="fixed"/>
        <w:tblLook w:val="0420"/>
      </w:tblPr>
      <w:tblGrid>
        <w:gridCol w:w="2182"/>
        <w:gridCol w:w="3091"/>
        <w:gridCol w:w="2455"/>
        <w:gridCol w:w="1910"/>
        <w:tblGridChange w:id="0">
          <w:tblGrid>
            <w:gridCol w:w="2182"/>
            <w:gridCol w:w="3091"/>
            <w:gridCol w:w="2455"/>
            <w:gridCol w:w="1910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Prediction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Changed pairs called “no difference”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Unchanged pairs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Distinct captions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Phase 6, LEVIR-CC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43 / 164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98 / 136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Phase 8, LEVIR-CC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31 / 164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96 / 136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Final after fine-tuning, LEVIR-CC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164 / 164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136 / 136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Phase 6, SECOND-CC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16 / 255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33 / 45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97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Phase 8, SECOND-CC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19 / 255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30 / 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82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Appendix Table A5.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Accepted and rejected patch pairs by region.</w:t>
      </w:r>
    </w:p>
    <w:tbl>
      <w:tblPr>
        <w:tblStyle w:val="Table5"/>
        <w:tblW w:w="9638.0" w:type="dxa"/>
        <w:jc w:val="center"/>
        <w:tblBorders>
          <w:top w:color="1f3864" w:space="0" w:sz="8" w:val="single"/>
          <w:bottom w:color="1f3864" w:space="0" w:sz="8" w:val="single"/>
          <w:insideH w:color="bfbfbf" w:space="0" w:sz="4" w:val="single"/>
        </w:tblBorders>
        <w:tblLayout w:type="fixed"/>
        <w:tblLook w:val="0420"/>
      </w:tblPr>
      <w:tblGrid>
        <w:gridCol w:w="3969"/>
        <w:gridCol w:w="2835"/>
        <w:gridCol w:w="2834"/>
        <w:tblGridChange w:id="0">
          <w:tblGrid>
            <w:gridCol w:w="3969"/>
            <w:gridCol w:w="2835"/>
            <w:gridCol w:w="2834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Deccan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3,902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2,738</w:t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Central-east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3,179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2,485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North plains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2,655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2,129</w:t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West desert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2,095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2,033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North-east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1,580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804</w:t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Himalaya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1,529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1,095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South and islands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994</w:t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15,610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12,278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Appendix Table A6.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How often each model called a pair “change”, by human label (n = 495).</w:t>
      </w:r>
    </w:p>
    <w:tbl>
      <w:tblPr>
        <w:tblStyle w:val="Table6"/>
        <w:tblW w:w="9638.0" w:type="dxa"/>
        <w:jc w:val="center"/>
        <w:tblBorders>
          <w:top w:color="1f3864" w:space="0" w:sz="8" w:val="single"/>
          <w:bottom w:color="1f3864" w:space="0" w:sz="8" w:val="single"/>
          <w:insideH w:color="bfbfbf" w:space="0" w:sz="4" w:val="single"/>
        </w:tblBorders>
        <w:tblLayout w:type="fixed"/>
        <w:tblLook w:val="0420"/>
      </w:tblPr>
      <w:tblGrid>
        <w:gridCol w:w="2332"/>
        <w:gridCol w:w="1244"/>
        <w:gridCol w:w="2954"/>
        <w:gridCol w:w="3108"/>
        <w:tblGridChange w:id="0">
          <w:tblGrid>
            <w:gridCol w:w="2332"/>
            <w:gridCol w:w="1244"/>
            <w:gridCol w:w="2954"/>
            <w:gridCol w:w="3108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Human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Qwen3-VL-32B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Qwen3-VL-235B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Seasonal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200 (93%)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67 (31%)</w:t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No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226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184 (81%)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53 (23%)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49 (89%)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25 (45%)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2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Appendix Table A7.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Results on all labelled pairs (n = 962; human label where available, automatic label otherwise).</w:t>
      </w:r>
    </w:p>
    <w:tbl>
      <w:tblPr>
        <w:tblStyle w:val="Table7"/>
        <w:tblW w:w="9638.0" w:type="dxa"/>
        <w:jc w:val="center"/>
        <w:tblBorders>
          <w:top w:color="1f3864" w:space="0" w:sz="8" w:val="single"/>
          <w:bottom w:color="1f3864" w:space="0" w:sz="8" w:val="single"/>
          <w:insideH w:color="bfbfbf" w:space="0" w:sz="4" w:val="single"/>
        </w:tblBorders>
        <w:tblLayout w:type="fixed"/>
        <w:tblLook w:val="0420"/>
      </w:tblPr>
      <w:tblGrid>
        <w:gridCol w:w="2445"/>
        <w:gridCol w:w="1870"/>
        <w:gridCol w:w="2302"/>
        <w:gridCol w:w="3021"/>
        <w:tblGridChange w:id="0">
          <w:tblGrid>
            <w:gridCol w:w="2445"/>
            <w:gridCol w:w="1870"/>
            <w:gridCol w:w="2302"/>
            <w:gridCol w:w="3021"/>
          </w:tblGrid>
        </w:tblGridChange>
      </w:tblGrid>
      <w:tr>
        <w:trPr>
          <w:cantSplit w:val="1"/>
          <w:tblHeader w:val="1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False-change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Qwen3-VL-32B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96%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26%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47%</w:t>
            </w:r>
          </w:p>
        </w:tc>
      </w:tr>
      <w:tr>
        <w:trPr>
          <w:cantSplit w:val="1"/>
          <w:tblHeader w:val="0"/>
        </w:trPr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Qwen3-VL-235B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79%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48%</w:t>
            </w:r>
          </w:p>
        </w:tc>
        <w:tc>
          <w:tcPr>
            <w:shd w:fill="f2f6fb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Both agree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78%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51%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13%</w:t>
            </w:r>
          </w:p>
        </w:tc>
      </w:tr>
    </w:tbl>
    <w:bookmarkStart w:colFirst="0" w:colLast="0" w:name="1osg6si1jq2a" w:id="1"/>
    <w:bookmarkEnd w:id="1"/>
    <w:p w:rsidR="00000000" w:rsidDel="00000000" w:rsidP="00000000" w:rsidRDefault="00000000" w:rsidRPr="00000000" w14:paraId="000000F4">
      <w:pPr>
        <w:pStyle w:val="Heading1"/>
        <w:rPr/>
      </w:pPr>
      <w:r w:rsidDel="00000000" w:rsidR="00000000" w:rsidRPr="00000000">
        <w:rPr>
          <w:rtl w:val="0"/>
        </w:rPr>
        <w:t xml:space="preserve">Appendix figures</w:t>
      </w:r>
    </w:p>
    <w:p w:rsidR="00000000" w:rsidDel="00000000" w:rsidP="00000000" w:rsidRDefault="00000000" w:rsidRPr="00000000" w14:paraId="000000F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334000" cy="3307080"/>
            <wp:effectExtent b="0" l="0" r="0" t="0"/>
            <wp:docPr descr="Appendix Figure A1. Training and validation loss for four runs: Phase 2, Phase 8 stage 1a, Phase 8 stage 1b and the Final model fine-tuned on SECOND-CC. Dots mark the best validation epoch." id="1" name="image2.png"/>
            <a:graphic>
              <a:graphicData uri="http://schemas.openxmlformats.org/drawingml/2006/picture">
                <pic:pic>
                  <pic:nvPicPr>
                    <pic:cNvPr descr="Appendix Figure A1. Training and validation loss for four runs: Phase 2, Phase 8 stage 1a, Phase 8 stage 1b and the Final model fine-tuned on SECOND-CC. Dots mark the best validation epoch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07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Appendix Figure A1.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Training and validation loss for four runs: Phase 2, Phase 8 stage 1a, Phase 8 stage 1b and the Final model fine-tuned on SECOND-CC. Dots mark the best validation epoch.</w:t>
      </w:r>
    </w:p>
    <w:p w:rsidR="00000000" w:rsidDel="00000000" w:rsidP="00000000" w:rsidRDefault="00000000" w:rsidRPr="00000000" w14:paraId="000000F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067300" cy="6813936"/>
            <wp:effectExtent b="0" l="0" r="0" t="0"/>
            <wp:docPr descr="Appendix Figure A2. The same LEVIR-CC test pairs captioned by three runs, with the reference caption." id="3" name="image10.png"/>
            <a:graphic>
              <a:graphicData uri="http://schemas.openxmlformats.org/drawingml/2006/picture">
                <pic:pic>
                  <pic:nvPicPr>
                    <pic:cNvPr descr="Appendix Figure A2. The same LEVIR-CC test pairs captioned by three runs, with the reference caption."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813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Appendix Figure A2.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The same LEVIR-CC test pairs captioned by three runs, with the reference caption.</w:t>
      </w:r>
    </w:p>
    <w:p w:rsidR="00000000" w:rsidDel="00000000" w:rsidP="00000000" w:rsidRDefault="00000000" w:rsidRPr="00000000" w14:paraId="000000F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800600" cy="5215755"/>
            <wp:effectExtent b="0" l="0" r="0" t="0"/>
            <wp:docPr descr="Appendix Figure A3. SECOND-CC test predictions (Phase 6 run)." id="2" name="image6.png"/>
            <a:graphic>
              <a:graphicData uri="http://schemas.openxmlformats.org/drawingml/2006/picture">
                <pic:pic>
                  <pic:nvPicPr>
                    <pic:cNvPr descr="Appendix Figure A3. SECOND-CC test predictions (Phase 6 run).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215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Appendix Figure A3.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SECOND-CC test predictions (Phase 6 run).</w:t>
      </w:r>
    </w:p>
    <w:p w:rsidR="00000000" w:rsidDel="00000000" w:rsidP="00000000" w:rsidRDefault="00000000" w:rsidRPr="00000000" w14:paraId="000000F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334000" cy="2921686"/>
            <wp:effectExtent b="0" l="0" r="0" t="0"/>
            <wp:docPr descr="Appendix Figure A4. Whole-image (left) and patch-wise (right) inference on unlabelled high-resolution pairs." id="5" name="image9.png"/>
            <a:graphic>
              <a:graphicData uri="http://schemas.openxmlformats.org/drawingml/2006/picture">
                <pic:pic>
                  <pic:nvPicPr>
                    <pic:cNvPr descr="Appendix Figure A4. Whole-image (left) and patch-wise (right) inference on unlabelled high-resolution pairs.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21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Appendix Figure A4.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Whole-image (left) and patch-wise (right) inference on unlabelled high-resolution pairs.</w:t>
      </w:r>
    </w:p>
    <w:p w:rsidR="00000000" w:rsidDel="00000000" w:rsidP="00000000" w:rsidRDefault="00000000" w:rsidRPr="00000000" w14:paraId="000000F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334000" cy="1935944"/>
            <wp:effectExtent b="0" l="0" r="0" t="0"/>
            <wp:docPr descr="Appendix Figure A5. A pair from the pilot Indian Sentinel-2 collection with its absolute-difference map." id="4" name="image7.png"/>
            <a:graphic>
              <a:graphicData uri="http://schemas.openxmlformats.org/drawingml/2006/picture">
                <pic:pic>
                  <pic:nvPicPr>
                    <pic:cNvPr descr="Appendix Figure A5. A pair from the pilot Indian Sentinel-2 collection with its absolute-difference map.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35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Appendix Figure A5.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A pair from the pilot Indian Sentinel-2 collection with its absolute-difference map.</w:t>
      </w:r>
    </w:p>
    <w:p w:rsidR="00000000" w:rsidDel="00000000" w:rsidP="00000000" w:rsidRDefault="00000000" w:rsidRPr="00000000" w14:paraId="000000F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267200" cy="2672735"/>
            <wp:effectExtent b="0" l="0" r="0" t="0"/>
            <wp:docPr descr="Appendix Figure A6. An Indian pilot pair with the answers of two off-the-shelf captioners." id="7" name="image3.png"/>
            <a:graphic>
              <a:graphicData uri="http://schemas.openxmlformats.org/drawingml/2006/picture">
                <pic:pic>
                  <pic:nvPicPr>
                    <pic:cNvPr descr="Appendix Figure A6. An Indian pilot pair with the answers of two off-the-shelf captioners.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72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Appendix Figure A6.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An Indian pilot pair with the answers of two off-the-shelf captioners.</w:t>
      </w:r>
    </w:p>
    <w:p w:rsidR="00000000" w:rsidDel="00000000" w:rsidP="00000000" w:rsidRDefault="00000000" w:rsidRPr="00000000" w14:paraId="000001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267200" cy="7295535"/>
            <wp:effectExtent b="0" l="0" r="0" t="0"/>
            <wp:docPr descr="Appendix Figure A7. A human-confirmed change with pixel-difference and CNN region boxes; the plain question finds the change, the boxed prompts miss it." id="6" name="image8.png"/>
            <a:graphic>
              <a:graphicData uri="http://schemas.openxmlformats.org/drawingml/2006/picture">
                <pic:pic>
                  <pic:nvPicPr>
                    <pic:cNvPr descr="Appendix Figure A7. A human-confirmed change with pixel-difference and CNN region boxes; the plain question finds the change, the boxed prompts miss it.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295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Appendix Figure A7.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A human-confirmed change with pixel-difference and CNN region boxes; the plain question finds the change, the boxed prompts miss it.</w:t>
      </w:r>
    </w:p>
    <w:p w:rsidR="00000000" w:rsidDel="00000000" w:rsidP="00000000" w:rsidRDefault="00000000" w:rsidRPr="00000000" w14:paraId="000001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334000" cy="4267200"/>
            <wp:effectExtent b="0" l="0" r="0" t="0"/>
            <wp:docPr descr="Appendix Figure A8. Rule-based change map on a pair labelled seasonal, with the caption written from it." id="9" name="image5.png"/>
            <a:graphic>
              <a:graphicData uri="http://schemas.openxmlformats.org/drawingml/2006/picture">
                <pic:pic>
                  <pic:nvPicPr>
                    <pic:cNvPr descr="Appendix Figure A8. Rule-based change map on a pair labelled seasonal, with the caption written from it.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Appendix Figure A8.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Rule-based change map on a pair labelled seasonal, with the caption written from it.</w:t>
      </w:r>
    </w:p>
    <w:p w:rsidR="00000000" w:rsidDel="00000000" w:rsidP="00000000" w:rsidRDefault="00000000" w:rsidRPr="00000000" w14:paraId="000001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533900" cy="1813560"/>
            <wp:effectExtent b="0" l="0" r="0" t="0"/>
            <wp:docPr descr="Appendix Figure A9. Change gate: precision–recall area under the curve (PR-AUC) per feature set, site-grouped cross-validation." id="8" name="image1.png"/>
            <a:graphic>
              <a:graphicData uri="http://schemas.openxmlformats.org/drawingml/2006/picture">
                <pic:pic>
                  <pic:nvPicPr>
                    <pic:cNvPr descr="Appendix Figure A9. Change gate: precision–recall area under the curve (PR-AUC) per feature set, site-grouped cross-validation.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813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Appendix Figure A9.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Change gate: precision–recall area under the curve (PR-AUC) per feature set, site-grouped cross-validation.</w:t>
      </w:r>
    </w:p>
    <w:p w:rsidR="00000000" w:rsidDel="00000000" w:rsidP="00000000" w:rsidRDefault="00000000" w:rsidRPr="00000000" w14:paraId="000001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533900" cy="2040254"/>
            <wp:effectExtent b="0" l="0" r="0" t="0"/>
            <wp:docPr descr="Appendix Figure A10. SECOND-CC test scores: zero-shot (Phase 8 stage 1a) and after fine-tuning (Phase 6, Final)." id="10" name="image4.png"/>
            <a:graphic>
              <a:graphicData uri="http://schemas.openxmlformats.org/drawingml/2006/picture">
                <pic:pic>
                  <pic:nvPicPr>
                    <pic:cNvPr descr="Appendix Figure A10. SECOND-CC test scores: zero-shot (Phase 8 stage 1a) and after fine-tuning (Phase 6, Final)."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040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8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Appendix Figure A10.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SECOND-CC test scores: zero-shot (Phase 8 stage 1a) and after fine-tuning (Phase 6, Final).</w:t>
      </w:r>
    </w:p>
    <w:sectPr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2e74b5" w:space="4" w:sz="8" w:val="single"/>
      </w:pBdr>
      <w:spacing w:after="160" w:before="360" w:lineRule="auto"/>
    </w:pPr>
    <w:rPr>
      <w:b w:val="1"/>
      <w:bCs w:val="1"/>
      <w:color w:val="1f3864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80" w:lineRule="auto"/>
    </w:pPr>
    <w:rPr>
      <w:b w:val="1"/>
      <w:bCs w:val="1"/>
      <w:color w:val="1f386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before="0" w:line="240" w:lineRule="auto"/>
      <w:jc w:val="center"/>
    </w:pPr>
    <w:rPr>
      <w:b w:val="1"/>
      <w:bCs w:val="1"/>
      <w:color w:val="1f3864"/>
      <w:sz w:val="44"/>
      <w:szCs w:val="44"/>
    </w:rPr>
  </w:style>
  <w:style w:type="paragraph" w:styleId="Subtitle">
    <w:name w:val="Subtitle"/>
    <w:basedOn w:val="Normal"/>
    <w:next w:val="Normal"/>
    <w:pPr>
      <w:spacing w:after="200" w:before="0" w:line="240" w:lineRule="auto"/>
      <w:jc w:val="center"/>
    </w:pPr>
    <w:rPr>
      <w:b w:val="0"/>
      <w:bCs w:val="0"/>
      <w:color w:val="404040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40.0" w:type="dxa"/>
        <w:left w:w="100.0" w:type="dxa"/>
        <w:bottom w:w="40.0" w:type="dxa"/>
        <w:right w:w="10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40.0" w:type="dxa"/>
        <w:left w:w="100.0" w:type="dxa"/>
        <w:bottom w:w="40.0" w:type="dxa"/>
        <w:right w:w="10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40.0" w:type="dxa"/>
        <w:left w:w="100.0" w:type="dxa"/>
        <w:bottom w:w="40.0" w:type="dxa"/>
        <w:right w:w="10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40.0" w:type="dxa"/>
        <w:left w:w="100.0" w:type="dxa"/>
        <w:bottom w:w="40.0" w:type="dxa"/>
        <w:right w:w="10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40.0" w:type="dxa"/>
        <w:left w:w="100.0" w:type="dxa"/>
        <w:bottom w:w="40.0" w:type="dxa"/>
        <w:right w:w="10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40.0" w:type="dxa"/>
        <w:left w:w="100.0" w:type="dxa"/>
        <w:bottom w:w="40.0" w:type="dxa"/>
        <w:right w:w="10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40.0" w:type="dxa"/>
        <w:left w:w="100.0" w:type="dxa"/>
        <w:bottom w:w="40.0" w:type="dxa"/>
        <w:right w:w="100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kaggle.com/datasets/kspsvlnsiddardha/rsicc-model-run-reports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Remote Sensing Image Change Caption Generation for Indian Sentinel-2 Imagery</vt:lpwstr>
  </property>
</Properties>
</file>