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Company Report</w:t>
      </w:r>
    </w:p>
    <w:p>
      <w:r>
        <w:t>Request ID: 5f0db30c-0105-4be1-8aab-0c0c2743ca06</w:t>
      </w:r>
    </w:p>
    <w:p>
      <w:pPr>
        <w:pStyle w:val="Heading2"/>
      </w:pPr>
      <w:r>
        <w:t>Company Information</w:t>
      </w:r>
    </w:p>
    <w:p>
      <w:r>
        <w:t>Company: Acme AI</w:t>
      </w:r>
    </w:p>
    <w:p>
      <w:r>
        <w:t>Sector: Artificial Intelligence</w:t>
      </w:r>
    </w:p>
    <w:p>
      <w:r>
        <w:t>Revenue: $5M</w:t>
      </w:r>
    </w:p>
    <w:p>
      <w:r>
        <w:t>Employees: 50</w:t>
      </w:r>
    </w:p>
    <w:p>
      <w:r>
        <w:t>Status: active</w:t>
      </w:r>
    </w:p>
    <w:p>
      <w:r>
        <w:t>Summary: Acme AI is an artificial intelligence company with a growing business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