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Company Report</w:t>
      </w:r>
    </w:p>
    <w:p>
      <w:r>
        <w:t>Request ID: 7cd04de6-0f11-42ad-9e5d-29341c108169</w:t>
      </w:r>
    </w:p>
    <w:p>
      <w:pPr>
        <w:pStyle w:val="Heading2"/>
      </w:pPr>
      <w:r>
        <w:t>Company Information</w:t>
      </w:r>
    </w:p>
    <w:p>
      <w:r>
        <w:t>Company: Acme AI</w:t>
      </w:r>
    </w:p>
    <w:p>
      <w:r>
        <w:t>Sector: Artificial Intelligence</w:t>
      </w:r>
    </w:p>
    <w:p>
      <w:r>
        <w:t>Revenue: $5M</w:t>
      </w:r>
    </w:p>
    <w:p>
      <w:r>
        <w:t>Employees: 50</w:t>
      </w:r>
    </w:p>
    <w:p>
      <w:r>
        <w:t>Status: active</w:t>
      </w:r>
    </w:p>
    <w:p>
      <w:r>
        <w:t>Summary: Acme AI is an artificial intelligence company with a growing business operation.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